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sz w:val="28"/>
          <w:szCs w:val="28"/>
        </w:rPr>
        <w:t xml:space="preserve">HOCHSCHULE PFORZHEIM</w:t>
      </w:r>
    </w:p>
    <w:p>
      <w:pPr>
        <w:spacing w:after="240" w:before="0"/>
      </w:pPr>
      <w:r>
        <w:t xml:space="preserve">– Fakultät Wirtschaft und Recht –</w:t>
      </w:r>
    </w:p>
    <w:p>
      <w:pPr>
        <w:spacing w:after="120" w:before="0"/>
      </w:pPr>
      <w:r>
        <w:rPr>
          <w:b/>
          <w:bCs/>
        </w:rPr>
        <w:t xml:space="preserve">Studiengang: </w:t>
      </w:r>
      <w:r>
        <w:t xml:space="preserve">BELS1/BWI1</w:t>
      </w:r>
    </w:p>
    <w:p>
      <w:pPr>
        <w:spacing w:after="120" w:before="0"/>
      </w:pPr>
      <w:r>
        <w:rPr>
          <w:b/>
          <w:bCs/>
        </w:rPr>
        <w:t xml:space="preserve">Fach: </w:t>
      </w:r>
      <w:r>
        <w:t xml:space="preserve">Grundlagen des Vertragsrechts</w:t>
      </w:r>
    </w:p>
    <w:p>
      <w:pPr>
        <w:spacing w:after="120" w:before="0"/>
      </w:pPr>
      <w:r>
        <w:rPr>
          <w:b/>
          <w:bCs/>
        </w:rPr>
        <w:t xml:space="preserve">Studiensemester: </w:t>
      </w:r>
      <w:r>
        <w:t xml:space="preserve">1</w:t>
      </w:r>
    </w:p>
    <w:p>
      <w:pPr>
        <w:spacing w:after="120" w:before="0"/>
      </w:pPr>
      <w:r>
        <w:rPr>
          <w:b/>
          <w:bCs/>
        </w:rPr>
        <w:t xml:space="preserve">Semester: </w:t>
      </w:r>
      <w:r>
        <w:t xml:space="preserve">WS 2026/27</w:t>
      </w:r>
    </w:p>
    <w:p>
      <w:pPr>
        <w:spacing w:after="120" w:before="0"/>
      </w:pPr>
      <w:r>
        <w:rPr>
          <w:b/>
          <w:bCs/>
        </w:rPr>
        <w:t xml:space="preserve">Datum: </w:t>
      </w:r>
      <w:r>
        <w:t xml:space="preserve">XXXX</w:t>
      </w:r>
    </w:p>
    <w:p>
      <w:pPr>
        <w:spacing w:after="120" w:before="0"/>
      </w:pPr>
      <w:r>
        <w:rPr>
          <w:b/>
          <w:bCs/>
        </w:rPr>
        <w:t xml:space="preserve">Prüfer: </w:t>
      </w:r>
      <w:r>
        <w:t xml:space="preserve">RA Tobias Trost</w:t>
      </w:r>
    </w:p>
    <w:p>
      <w:pPr>
        <w:spacing w:after="120" w:before="0"/>
      </w:pPr>
      <w:r>
        <w:rPr>
          <w:b/>
          <w:bCs/>
        </w:rPr>
        <w:t xml:space="preserve">Bearbeitungszeit: </w:t>
      </w:r>
      <w:r>
        <w:t xml:space="preserve">60 Minuten</w:t>
      </w:r>
    </w:p>
    <w:p>
      <w:pPr>
        <w:spacing w:after="120" w:before="0"/>
      </w:pPr>
      <w:r>
        <w:t xml:space="preserve"/>
      </w:r>
    </w:p>
    <w:p>
      <w:pPr>
        <w:spacing w:after="200" w:before="0"/>
      </w:pPr>
      <w:r>
        <w:t xml:space="preserve">Name: ________________________    Vorname: ________________________</w:t>
      </w:r>
    </w:p>
    <w:p>
      <w:pPr>
        <w:spacing w:after="240" w:before="0"/>
      </w:pPr>
      <w:r>
        <w:t xml:space="preserve">Matrikelnummer: ________________</w:t>
      </w:r>
    </w:p>
    <w:p>
      <w:pPr>
        <w:spacing w:after="120" w:before="0"/>
      </w:pPr>
      <w:r>
        <w:rPr>
          <w:b/>
          <w:bCs/>
        </w:rPr>
        <w:t xml:space="preserve">Zulässige Hilfsmittel: </w:t>
      </w:r>
      <w:r>
        <w:t xml:space="preserve">Unkommentierte Gesetzestexte – zulässig sind Unterstreichungen, farbige Markierungen, Querverweise auf andere §§ und Fähnchen zum schnelleren Auffinden einzelner Vorschriften, die nur §§-Ziffern und die Wiederholung von Gesetzestext enthalten dürfen.</w:t>
      </w:r>
    </w:p>
    <w:p>
      <w:pPr>
        <w:spacing w:after="120" w:before="0"/>
      </w:pPr>
      <w:r>
        <w:rPr>
          <w:b/>
          <w:bCs/>
        </w:rPr>
        <w:t xml:space="preserve">Hinweis zur verbindlichen Teilnahme: </w:t>
      </w:r>
      <w:r>
        <w:t xml:space="preserve">Mit dem Antritt zur Klausur erklären Sie Ihre verbindliche Teilnahme und dass Sie gesundheitlich in der Lage sind, den Leistungsnachweis abzulegen.</w:t>
      </w:r>
    </w:p>
    <w:p>
      <w:pPr>
        <w:spacing w:after="120" w:before="0"/>
      </w:pPr>
      <w:r>
        <w:rPr>
          <w:b/>
          <w:bCs/>
        </w:rPr>
        <w:t xml:space="preserve">Bearbeitungshinweise: </w:t>
      </w:r>
      <w:r>
        <w:t xml:space="preserve">Schreiben Sie Ihre Antworten direkt unter die jeweilige Aufgabe. Die Punktzahl jeder Aufgabe entspricht ungefähr der empfohlenen Bearbeitungszeit in Minuten. In den Aufgaben 1 bis 3 genügen Stichworte und Paragraphen; ganze Sätze sind nur in Aufgabe 4 verlangt.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Nur vom Prüfer auszufüllen: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Aufgabe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Punkte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erreicht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Richtig oder falsch?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Kurzfragen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Kurzfälle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Gutachten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40"/>
      </w:pPr>
      <w:r>
        <w:t xml:space="preserve">Aufgabe 1: Richtig oder falsch? (10 Punkte)</w:t>
      </w:r>
    </w:p>
    <w:p>
      <w:pPr>
        <w:spacing w:after="120" w:before="0"/>
      </w:pPr>
      <w:r>
        <w:rPr>
          <w:i/>
          <w:iCs/>
        </w:rPr>
        <w:t xml:space="preserve">Kreuzen Sie pro Aussage genau ein Feld an. Jede richtige Antwort gibt 1 Punkt. Falsche oder fehlende Kreuze geben 0 Punkte; es gibt keinen Punktabzug.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300"/>
        <w:gridCol w:w="600"/>
        <w:gridCol w:w="600"/>
      </w:tblGrid>
      <w:tr>
        <w:trPr>
          <w:cantSplit/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Nr.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Aussage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 Rechtsverhältnis zwischen einer Bürgerin und dem Finanzamt gehört zum öffentlichen Recht.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§ 812 Abs. 1 S. 1 Alt. 1 BGB ist eine Anspruchsgrundlage.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Ist der Kaufvertrag nichtig, ist wegen des Abstraktionsprinzips auch die Übereignung der Kaufsache automatisch nichtig.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Eine Willenserklärung unter Abwesenden wird erst wirksam, wenn der Empfänger sie tatsächlich zur Kenntnis nimmt.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Empfangsbedürftige Willenserklärungen werden nach dem objektiven Empfängerhorizont ausgelegt.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Eine Willenserklärung wird nicht wirksam, wenn dem Empfänger vorher oder gleichzeitig ein Widerruf zugeht.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Ist eine einzelne AGB-Klausel unwirksam, ist der gesamte Vertrag unwirksam.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 Sechsjähriger ist geschäftsunfähig.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 wirksam angefochtenes Rechtsgeschäft ist erst ab dem Zeitpunkt der Anfechtung nichtig.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Ein Rechtsgeschäft, das gegen die guten Sitten verstößt, ist nichtig.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2"/>
        <w:keepNext/>
        <w:spacing w:after="120" w:before="240"/>
      </w:pPr>
      <w:r>
        <w:t xml:space="preserve">Aufgabe 2: Kurzfragen (10 Punkte)</w:t>
      </w:r>
    </w:p>
    <w:p>
      <w:pPr>
        <w:keepNext/>
        <w:spacing w:after="120" w:before="0"/>
      </w:pPr>
      <w:r>
        <w:rPr>
          <w:b/>
          <w:bCs/>
        </w:rPr>
        <w:t xml:space="preserve">a. </w:t>
      </w:r>
      <w:r>
        <w:t xml:space="preserve">Was versteht man unter Erklärungsbewusstsein? Nennen Sie ein Beispiel, in dem es fehlt.</w:t>
      </w:r>
      <w:r>
        <w:rPr>
          <w:i/>
          <w:iCs/>
        </w:rPr>
        <w:t xml:space="preserve"> (2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b. </w:t>
      </w:r>
      <w:r>
        <w:t xml:space="preserve">Nennen Sie die drei Anfechtungsgründe des § 119 BGB mit genauer Normangabe.</w:t>
      </w:r>
      <w:r>
        <w:rPr>
          <w:i/>
          <w:iCs/>
        </w:rPr>
        <w:t xml:space="preserve"> (3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c. </w:t>
      </w:r>
      <w:r>
        <w:t xml:space="preserve">Wie viele Rechtsgeschäfte werden beim Barkauf eines Buches geschlossen? Benennen Sie sie mit Norm.</w:t>
      </w:r>
      <w:r>
        <w:rPr>
          <w:i/>
          <w:iCs/>
        </w:rPr>
        <w:t xml:space="preserve"> (3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d. </w:t>
      </w:r>
      <w:r>
        <w:t xml:space="preserve">Welche Rechtsfolge hat ein Verstoß eines Rechtsgeschäfts gegen ein gesetzliches Verbot? Nennen Sie die Norm.</w:t>
      </w:r>
      <w:r>
        <w:rPr>
          <w:i/>
          <w:iCs/>
        </w:rPr>
        <w:t xml:space="preserve"> (2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2"/>
        <w:keepNext/>
        <w:spacing w:after="120" w:before="240"/>
      </w:pPr>
      <w:r>
        <w:t xml:space="preserve">Aufgabe 3: Kurzfälle (20 Punkte)</w:t>
      </w:r>
    </w:p>
    <w:p>
      <w:pPr>
        <w:spacing w:after="120" w:before="0"/>
      </w:pPr>
      <w:r>
        <w:rPr>
          <w:i/>
          <w:iCs/>
        </w:rPr>
        <w:t xml:space="preserve">Antworten Sie in Stichworten unter Nennung der Paragraphen.</w:t>
      </w:r>
    </w:p>
    <w:p>
      <w:pPr>
        <w:keepNext/>
        <w:spacing w:after="120" w:before="0"/>
      </w:pPr>
      <w:r>
        <w:rPr>
          <w:b/>
          <w:bCs/>
        </w:rPr>
        <w:t xml:space="preserve">a. </w:t>
      </w:r>
      <w:r>
        <w:t xml:space="preserve">Verbraucherin S bestellt am 01.02.2027 im Onlineshop des Unternehmers H einen Drucker, der ihr am 04.02.2027 geliefert wird. H belehrt S nicht über ihr Widerrufsrecht. Am 10.06.2027 erklärt S per E-Mail gegenüber H ohne Begründung den Widerruf.</w:t>
      </w:r>
    </w:p>
    <w:p>
      <w:pPr>
        <w:keepNext/>
        <w:spacing w:after="120" w:before="0"/>
      </w:pPr>
      <w:r>
        <w:rPr>
          <w:b/>
          <w:bCs/>
        </w:rPr>
        <w:t xml:space="preserve">Hat S rechtzeitig widerrufen? (Stichworte und Paragraphen)</w:t>
      </w:r>
      <w:r>
        <w:rPr>
          <w:i/>
          <w:iCs/>
        </w:rPr>
        <w:t xml:space="preserve"> (4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Welche Rechtsfolgen hat der wirksame Widerruf? (Stichworte und Paragraphen)</w:t>
      </w:r>
      <w:r>
        <w:rPr>
          <w:i/>
          <w:iCs/>
        </w:rPr>
        <w:t xml:space="preserve"> (2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b. </w:t>
      </w:r>
      <w:r>
        <w:t xml:space="preserve">A ist Assistent des Unternehmers B. B bevollmächtigt ihn, für das Büro einen Laptop zu kaufen. A kauft beim Händler H einen Laptop für 1.200 € auf Rechnung. Dabei erwähnt er B mit keinem Wort. H geht davon aus, dass A für sich selbst kauft, und stellt die Rechnung auf A aus.</w:t>
      </w:r>
    </w:p>
    <w:p>
      <w:pPr>
        <w:keepNext/>
        <w:spacing w:after="120" w:before="0"/>
      </w:pPr>
      <w:r>
        <w:rPr>
          <w:b/>
          <w:bCs/>
        </w:rPr>
        <w:t xml:space="preserve">Mit wem ist der Kaufvertrag zustande gekommen, und von wem kann H Zahlung verlangen? (Stichworte und Paragraphen)</w:t>
      </w:r>
      <w:r>
        <w:rPr>
          <w:i/>
          <w:iCs/>
        </w:rPr>
        <w:t xml:space="preserve"> (5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c. </w:t>
      </w:r>
      <w:r>
        <w:t xml:space="preserve">Die 12-jährige M bekommt von ihrem Onkel O ein gebrauchtes Smartphone geschenkt und übereignet. Ihre Eltern wurden vorher nicht gefragt. Sie sind verärgert und erklären O gegenüber, dass sie mit dem Geschenk nicht einverstanden sind.</w:t>
      </w:r>
    </w:p>
    <w:p>
      <w:pPr>
        <w:keepNext/>
        <w:spacing w:after="120" w:before="0"/>
      </w:pPr>
      <w:r>
        <w:rPr>
          <w:b/>
          <w:bCs/>
        </w:rPr>
        <w:t xml:space="preserve">Ist der Schenkungsvertrag wirksam? (Stichworte und Paragraphen)</w:t>
      </w:r>
      <w:r>
        <w:rPr>
          <w:i/>
          <w:iCs/>
        </w:rPr>
        <w:t xml:space="preserve"> (5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keepNext/>
        <w:spacing w:after="120" w:before="0"/>
      </w:pPr>
      <w:r>
        <w:rPr>
          <w:b/>
          <w:bCs/>
        </w:rPr>
        <w:t xml:space="preserve">d. </w:t>
      </w:r>
      <w:r>
        <w:t xml:space="preserve">K kauft im Ladengeschäft des Händlers H einen Laptop, bezahlt und nimmt ihn mit. Im Laden gibt es keinen Hinweis auf Allgemeine Geschäftsbedingungen. Eine Woche später schickt H die Rechnung per Post. Auf deren Rückseite stehen die AGB des H, die H für alle seine Verkäufe verwendet. Darin heißt es: „Reparaturkosten trägt in jedem Fall der Käufer.“</w:t>
      </w:r>
    </w:p>
    <w:p>
      <w:pPr>
        <w:keepNext/>
        <w:spacing w:after="120" w:before="0"/>
      </w:pPr>
      <w:r>
        <w:rPr>
          <w:b/>
          <w:bCs/>
        </w:rPr>
        <w:t xml:space="preserve">Ist die Klausel Bestandteil des Kaufvertrags geworden? Was gilt stattdessen? (Stichworte und Paragraphen)</w:t>
      </w:r>
      <w:r>
        <w:rPr>
          <w:i/>
          <w:iCs/>
        </w:rPr>
        <w:t xml:space="preserve"> (4 P.)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2"/>
        <w:keepNext/>
        <w:spacing w:after="120" w:before="240"/>
      </w:pPr>
      <w:r>
        <w:t xml:space="preserve">Aufgabe 4: Falllösung im Gutachten (20 Punkte)</w:t>
      </w:r>
    </w:p>
    <w:p>
      <w:pPr>
        <w:spacing w:after="120" w:before="0"/>
      </w:pPr>
      <w:r>
        <w:rPr>
          <w:b/>
          <w:bCs/>
        </w:rPr>
        <w:t xml:space="preserve">Sachverhalt:</w:t>
      </w:r>
    </w:p>
    <w:p>
      <w:pPr>
        <w:spacing w:after="120" w:before="0"/>
      </w:pPr>
      <w:r>
        <w:t xml:space="preserve">H betreibt einen Fahrradladen. In seinem Schaufenster steht ein gebrauchtes Lastenrad mit einem Preisschild über 2.000 €. K, eine Privatperson, sieht das Rad am Montag und schreibt H am selben Abend eine E-Mail: „Ich kaufe das Lastenrad aus Ihrem Schaufenster für 2.000 €.“</w:t>
      </w:r>
    </w:p>
    <w:p>
      <w:pPr>
        <w:spacing w:after="120" w:before="0"/>
      </w:pPr>
      <w:r>
        <w:t xml:space="preserve">H antwortet am Dienstag per E-Mail: „Gern, allerdings nur für 2.200 €, weil ich den Akku noch austauschen musste.“ K antwortet darauf nicht. Am Freitag bringt H das Lastenrad zu K und verlangt 2.200 €. K lehnt die Annahme des Rades ab: Er habe einem Preis von 2.200 € nie zugestimmt. H meint, K müsse dann jedenfalls die 2.000 € zahlen, die er selbst angeboten habe.</w:t>
      </w:r>
    </w:p>
    <w:p>
      <w:pPr>
        <w:spacing w:after="120" w:before="120"/>
      </w:pPr>
      <w:r>
        <w:rPr>
          <w:b/>
          <w:bCs/>
        </w:rPr>
        <w:t xml:space="preserve">Fallfrage: </w:t>
      </w:r>
      <w:r>
        <w:t xml:space="preserve">Kann H von K Zahlung von 2.200 € verlangen? Kann er jedenfalls Zahlung von 2.000 € verlangen?</w:t>
      </w:r>
    </w:p>
    <w:p>
      <w:pPr>
        <w:spacing w:after="120" w:before="0"/>
      </w:pPr>
      <w:r>
        <w:rPr>
          <w:b/>
          <w:bCs/>
        </w:rPr>
        <w:t xml:space="preserve">Bearbeitervermerk: </w:t>
      </w:r>
      <w:r>
        <w:t xml:space="preserve">Zur Fallfrage ist gutachterlich Stellung zu nehmen. Das Gutachten ist in ganzen Sätzen und unter Nennung der einschlägigen Paragraphen zu fertigen. Ein Widerrufsrecht des K ist nicht zu prüfen.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b/>
          <w:bCs/>
        </w:rPr>
        <w:t xml:space="preserve">Fortsetzung Aufgabe 4: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2026-09-27T18:11:33.578Z</dcterms:created>
  <dcterms:modified xsi:type="dcterms:W3CDTF">2026-09-27T18:11:33.590Z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