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b/>
          <w:bCs/>
          <w:sz w:val="28"/>
          <w:szCs w:val="28"/>
        </w:rPr>
        <w:t xml:space="preserve">Grundlagen des Vertragsrechts – WS 2026/27</w:t>
      </w:r>
    </w:p>
    <w:p>
      <w:pPr>
        <w:spacing w:after="120" w:before="0"/>
      </w:pPr>
      <w:r>
        <w:rPr>
          <w:b/>
          <w:bCs/>
          <w:sz w:val="24"/>
          <w:szCs w:val="24"/>
        </w:rPr>
        <w:t xml:space="preserve">Klausur – Lösung und Korrekturraster</w:t>
      </w:r>
    </w:p>
    <w:p>
      <w:pPr>
        <w:spacing w:after="120" w:before="0"/>
      </w:pPr>
      <w:r>
        <w:rPr>
          <w:i/>
          <w:iCs/>
        </w:rPr>
        <w:t xml:space="preserve">Nur für den Prüfer. Punkte werden je Zeile vergeben. Maßgeblich ist, ob der Gedanke erkennbar ist; exakter Wortlaut ist nicht erforderlich. Halbe Punkte sind nicht vorgesehen, damit die Korrektur zügig bleibt.</w:t>
      </w:r>
    </w:p>
    <w:p>
      <w:pPr>
        <w:pStyle w:val="Heading2"/>
        <w:keepNext/>
        <w:spacing w:after="120" w:before="240"/>
      </w:pPr>
      <w:r>
        <w:t xml:space="preserve">Aufgabe 1 (10 P.) – Lösungsschablone</w:t>
      </w:r>
    </w:p>
    <w:p>
      <w:pPr>
        <w:spacing w:after="120" w:before="0"/>
      </w:pPr>
      <w:r>
        <w:rPr>
          <w:i/>
          <w:iCs/>
        </w:rPr>
        <w:t xml:space="preserve">Tipp: Die Spalte „Lösung" auf Folie kopieren und auf den Antwortbogen legen.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900"/>
        <w:gridCol w:w="1700"/>
      </w:tblGrid>
      <w:tr>
        <w:trPr>
          <w:cantSplit/>
          <w:tblHeader/>
        </w:trPr>
        <w:tc>
          <w:tcPr>
            <w:tcW w:type="dxa" w:w="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Nr.</w:t>
            </w:r>
          </w:p>
        </w:tc>
        <w:tc>
          <w:tcPr>
            <w:tcW w:type="dxa" w:w="5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Aussage</w:t>
            </w:r>
          </w:p>
        </w:tc>
        <w:tc>
          <w:tcPr>
            <w:tcW w:type="dxa" w:w="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Lösung</w:t>
            </w:r>
          </w:p>
        </w:tc>
        <w:tc>
          <w:tcPr>
            <w:tcW w:type="dxa" w:w="1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Norm/Grund</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Das Rechtsverhältnis zwischen einer Bürgerin und dem Finanzamt gehört zum öffentlichen Recht.</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Über-/Unterordnung</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812 Abs. 1 S. 1 Alt. 1 BGB ist eine Anspruchsgrundlage.</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Herausgabe des Erlangten</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3</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Ist der Kaufvertrag nichtig, ist wegen des Abstraktionsprinzips auch die Übereignung der Kaufsache automatisch nichtig.</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F</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Abstraktionsprinzip: Übereignung bleibt wirksam</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4</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Eine Willenserklärung unter Abwesenden wird erst wirksam, wenn der Empfänger sie tatsächlich zur Kenntnis nimmt.</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F</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130 Abs. 1 S. 1: Zugang genügt</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5</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Empfangsbedürftige Willenserklärungen werden nach dem objektiven Empfängerhorizont ausgelegt.</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133, 157</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6</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Eine Willenserklärung wird nicht wirksam, wenn dem Empfänger vorher oder gleichzeitig ein Widerruf zugeht.</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130 Abs. 1 S. 2</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7</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Ist eine einzelne AGB-Klausel unwirksam, ist der gesamte Vertrag unwirksam.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F</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306 Abs. 1</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8</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 Sechsjähriger ist geschäftsunfähig.</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104 Nr. 1</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9</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 wirksam angefochtenes Rechtsgeschäft ist erst ab dem Zeitpunkt der Anfechtung nichtig.</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F</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142 Abs. 1: von Anfang an</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10</w:t>
            </w:r>
          </w:p>
        </w:tc>
        <w:tc>
          <w:tcPr>
            <w:tcW w:type="dxa" w:w="5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 Rechtsgeschäft, das gegen die guten Sitten verstößt, ist nichtig.</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138 Abs. 1</w:t>
            </w:r>
          </w:p>
        </w:tc>
      </w:tr>
    </w:tbl>
    <w:p>
      <w:pPr>
        <w:pStyle w:val="Heading2"/>
        <w:keepNext/>
        <w:spacing w:after="120" w:before="240"/>
      </w:pPr>
      <w:r>
        <w:t xml:space="preserve">Aufgabe 2 (10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500"/>
      </w:tblGrid>
      <w:tr>
        <w:trPr>
          <w:cantSplit/>
          <w:tblHeader/>
        </w:trPr>
        <w:tc>
          <w:tcPr>
            <w:tcW w:type="dxa" w:w="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Nr.</w:t>
            </w:r>
          </w:p>
        </w:tc>
        <w:tc>
          <w:tcPr>
            <w:tcW w:type="dxa" w:w="68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Erwartete Antwort</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Punkte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Bewusstsein, irgendetwas rechtlich Erhebliches zu erklären (1); Beispiel: Trierer Weinversteigerung (Handheben zum Grüßen) o. ä. (1).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b.</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Inhaltsirrtum, § 119 Abs. 1 Alt. 1 (1); Erklärungsirrtum, § 119 Abs. 1 Alt. 2 (1); Eigenschaftsirrtum, § 119 Abs. 2 (1).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3</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Kaufvertrag, § 433 (1); Übereignung des Buches, § 929 S. 1 (1); Übereignung des Geldes, § 929 S. 1 (1).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3</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Nichtigkeit (1), § 134 BGB (1); „wenn sich nicht aus dem Gesetz ein anderes ergibt“ muss nicht genannt werden.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r>
    </w:tbl>
    <w:p>
      <w:pPr>
        <w:pStyle w:val="Heading2"/>
        <w:keepNext/>
        <w:spacing w:after="120" w:before="240"/>
      </w:pPr>
      <w:r>
        <w:t xml:space="preserve">Aufgabe 3 (20 P.)</w:t>
      </w:r>
    </w:p>
    <w:p>
      <w:pPr>
        <w:keepNext/>
        <w:spacing w:after="120" w:before="0"/>
      </w:pPr>
      <w:r>
        <w:rPr>
          <w:b/>
          <w:bCs/>
        </w:rPr>
        <w:t xml:space="preserve">a. Widerruf ohne Belehrung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500"/>
        <w:gridCol w:w="1500"/>
      </w:tblGrid>
      <w:tr>
        <w:trPr>
          <w:cantSplit/>
          <w:tblHeader/>
        </w:trPr>
        <w:tc>
          <w:tcPr>
            <w:tcW w:type="dxa" w:w="7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Erwarteter Punkt</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Punkte</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Widerrufsrecht beim Fernabsatzvertrag, § 312g Abs. 1 i.V.m. § 355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Regelfrist von 14 Tagen (§ 355 Abs. 2 S. 1) wäre am 10.06. längst abgelaufen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Frist beginnt aber nicht vor ordnungsgemäßer Belehrung, § 356 Abs. 3 S. 1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Erlöschen erst nach 12 Monaten und 14 Tagen, § 356 Abs. 3 S. 2 BGB → rechtzeitig; Begründung nicht nötig, § 355 Abs. 1 S. 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Rechtsfolge: Parteien nicht mehr an ihre Willenserklärungen gebunden, § 355 Abs. 1 S. 1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Empfangene Leistungen sind zurückzugewähren (Drucker gegen Kaufpreis), § 355 Abs. 3 S. 1 BGB (§ 357 BGB mitzitiert: ebenfalls voll)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Summe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6</w:t>
            </w:r>
          </w:p>
        </w:tc>
      </w:tr>
    </w:tbl>
    <w:p>
      <w:pPr>
        <w:spacing w:after="120" w:before="60"/>
      </w:pPr>
      <w:r>
        <w:rPr>
          <w:i/>
          <w:iCs/>
        </w:rPr>
        <w:t xml:space="preserve">Korrekturhinweis: </w:t>
      </w:r>
      <w:r>
        <w:t xml:space="preserve">Wer schreibt, der Vertrag werde „unwirksam“, erhält für die erste Rechtsfolgenzeile keinen Punkt; die Rückgewährpflicht wird unabhängig davon gewertet.</w:t>
      </w:r>
    </w:p>
    <w:p>
      <w:pPr>
        <w:spacing w:after="60" w:before="0"/>
      </w:pPr>
      <w:r>
        <w:t xml:space="preserve"/>
      </w:r>
    </w:p>
    <w:p>
      <w:pPr>
        <w:keepNext/>
        <w:spacing w:after="120" w:before="0"/>
      </w:pPr>
      <w:r>
        <w:rPr>
          <w:b/>
          <w:bCs/>
        </w:rPr>
        <w:t xml:space="preserve">b. Offenkundigkeit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500"/>
        <w:gridCol w:w="1500"/>
      </w:tblGrid>
      <w:tr>
        <w:trPr>
          <w:cantSplit/>
          <w:tblHeader/>
        </w:trPr>
        <w:tc>
          <w:tcPr>
            <w:tcW w:type="dxa" w:w="7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Erwarteter Punkt</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Punkte</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Vertretung setzt Handeln im fremden Namen voraus (Offenkundigkeit), § 164 Abs. 1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 handelt weder ausdrücklich noch erkennbar aus den Umständen für B, § 164 Abs. 1 S. 2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Vollmacht allein genügt nicht; Offenkundigkeit fehlt → keine Wirkung für und gegen 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164 Abs. 2 BGB: Der Mangel des Willens, im eigenen Namen zu handeln, bleibt unbeachtlich → Eigengeschäft des 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H kann Zahlung von A verlangen, § 433 Abs. 2 BGB; kein Anspruch gegen 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Summe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5</w:t>
            </w:r>
          </w:p>
        </w:tc>
      </w:tr>
    </w:tbl>
    <w:p>
      <w:pPr>
        <w:spacing w:after="120" w:before="60"/>
      </w:pPr>
      <w:r>
        <w:rPr>
          <w:i/>
          <w:iCs/>
        </w:rPr>
        <w:t xml:space="preserve">Korrekturhinweis: </w:t>
      </w:r>
      <w:r>
        <w:t xml:space="preserve">Wer ein „Geschäft für den, den es angeht“ prüft und ablehnt (kein Bargeschäft des täglichen Lebens, Kauf auf Rechnung), erhält dafür keinen Zusatzpunkt, aber auch keinen Abzug.</w:t>
      </w:r>
    </w:p>
    <w:p>
      <w:pPr>
        <w:spacing w:after="60" w:before="0"/>
      </w:pPr>
      <w:r>
        <w:t xml:space="preserve"/>
      </w:r>
    </w:p>
    <w:p>
      <w:pPr>
        <w:keepNext/>
        <w:spacing w:after="120" w:before="0"/>
      </w:pPr>
      <w:r>
        <w:rPr>
          <w:b/>
          <w:bCs/>
        </w:rPr>
        <w:t xml:space="preserve">c. Lediglich rechtlicher Vorteil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500"/>
        <w:gridCol w:w="1500"/>
      </w:tblGrid>
      <w:tr>
        <w:trPr>
          <w:cantSplit/>
          <w:tblHeader/>
        </w:trPr>
        <w:tc>
          <w:tcPr>
            <w:tcW w:type="dxa" w:w="7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Erwarteter Punkt</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Punkte</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M ist beschränkt geschäftsfähig, §§ 2, 106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Einwilligung der Eltern nur nötig, wenn die WE nicht lediglich einen rechtlichen Vorteil bringt, § 107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Schenkungsvertrag (§ 516 BGB) begründet Pflichten nur für den Schenker, nicht für 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Maßgeblich ist der rechtliche, nicht der wirtschaftliche Vorteil; mögliche Folgekosten (Tarif, Reparatur) sind unbeachtlich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Ergebnis: Vertrag ohne Zustimmung wirksam; Widerspruch der Eltern ändert daran nichts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Summe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5</w:t>
            </w:r>
          </w:p>
        </w:tc>
      </w:tr>
    </w:tbl>
    <w:p>
      <w:pPr>
        <w:spacing w:after="60" w:before="0"/>
      </w:pPr>
      <w:r>
        <w:t xml:space="preserve"/>
      </w:r>
    </w:p>
    <w:p>
      <w:pPr>
        <w:keepNext/>
        <w:spacing w:after="120" w:before="0"/>
      </w:pPr>
      <w:r>
        <w:rPr>
          <w:b/>
          <w:bCs/>
        </w:rPr>
        <w:t xml:space="preserve">d. Einbeziehung von AGB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500"/>
        <w:gridCol w:w="1500"/>
      </w:tblGrid>
      <w:tr>
        <w:trPr>
          <w:cantSplit/>
          <w:tblHeader/>
        </w:trPr>
        <w:tc>
          <w:tcPr>
            <w:tcW w:type="dxa" w:w="7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Erwarteter Punkt</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Punkte</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Klausel ist AGB: für eine Vielzahl von Verträgen vorformuliert und von H gestellt, § 305 Abs. 1 S. 1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Einbeziehung erfordert bei Vertragsschluss ausdrücklichen Hinweis und zumutbare Möglichkeit der Kenntnisnahme, § 305 Abs. 2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Hier erst nach Vertragsschluss übersandt → nicht Vertragsbestandteil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Vertrag bleibt im Übrigen wirksam; es gelten die gesetzlichen Vorschriften, § 306 Abs. 1, 2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Summe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4</w:t>
            </w:r>
          </w:p>
        </w:tc>
      </w:tr>
    </w:tbl>
    <w:p>
      <w:pPr>
        <w:spacing w:after="120" w:before="60"/>
      </w:pPr>
      <w:r>
        <w:rPr>
          <w:i/>
          <w:iCs/>
        </w:rPr>
        <w:t xml:space="preserve">Korrekturhinweis: </w:t>
      </w:r>
      <w:r>
        <w:t xml:space="preserve">Wer zusätzlich die Inhaltskontrolle (§§ 307 ff.) prüft, erhält dafür keine Punkte, aber auch keinen Abzug.</w:t>
      </w:r>
    </w:p>
    <w:p>
      <w:pPr>
        <w:spacing w:after="60" w:before="0"/>
      </w:pPr>
      <w:r>
        <w:t xml:space="preserve"/>
      </w:r>
    </w:p>
    <w:p>
      <w:pPr>
        <w:pStyle w:val="Heading2"/>
        <w:keepNext/>
        <w:spacing w:after="120" w:before="240"/>
      </w:pPr>
      <w:r>
        <w:t xml:space="preserve">Aufgabe 4 (20 P.) – Punkteraster Gutachten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500"/>
        <w:gridCol w:w="1500"/>
      </w:tblGrid>
      <w:tr>
        <w:trPr>
          <w:cantSplit/>
          <w:tblHeader/>
        </w:trPr>
        <w:tc>
          <w:tcPr>
            <w:tcW w:type="dxa" w:w="7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Erwarteter Prüfungspunkt</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Punkte</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Obersatz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Anspruchsgrundlage § 433 Abs. 2 BGB korrekt genannt; Obersatz im Konjunktiv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I. Kaufvertrag durch Angebot und Annahme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Preisschild im Schaufenster ist kein Angebot, sondern invitatio ad offerendum (fehlender Rechtsbindungswille, z. B. Gefahr der Mehrfachverpflichtung)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Angebot liegt daher erst in der E-Mail des K: WE mit Rechtsbindungswillen und allen wesentlichen Vertragsbestandteilen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Wirksamwerden durch Zugang, § 130 Abs. 1 S. 1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Antwort des H ist keine Annahme, weil sie vom Angebot abweicht (Preis); nach § 150 Abs. 2 BGB Ablehnung, verbunden mit einem neuen Antrag über 2.200 €</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3</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Angebot des K über 2.000 € erlischt durch die Ablehnung, § 146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Daher auch kein Vertrag über 2.000 € (H kann das Angebot des K nicht mehr annehmen)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Neuer Antrag des H über 2.200 € ist K per E-Mail zugegangen, § 130 Abs. 1 S. 1 BGB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Annahme des neuen Antrags über 2.200 € durch K? K schweigt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Schweigen ist grundsätzlich keine Willenserklärung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Keine Ausnahme ersichtlich (keine Vereinbarung, K ist Privatperson, kein kaufmännisches Bestätigungsschreiben)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Am Freitag lehnt K ausdrücklich ab → auch keine spätere (konkludente) Annahme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II. Ergebnis und Form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Ergebnis: Kein Kaufvertrag; H kann weder 2.200 € noch 2.000 € aus § 433 Abs. 2 BGB verlangen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Gutachtenstil durchgehalten (Obersatz – Definition – Subsumtion – Ergebnis)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r>
      <w:tr>
        <w:trPr>
          <w:cantSplit/>
          <w:tblHeader w:val="false"/>
        </w:trPr>
        <w:tc>
          <w:tcPr>
            <w:tcW w:type="dxa" w:w="7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Summe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20</w:t>
            </w:r>
          </w:p>
        </w:tc>
      </w:tr>
    </w:tbl>
    <w:p>
      <w:pPr>
        <w:spacing w:after="120" w:before="60"/>
      </w:pPr>
      <w:r>
        <w:rPr>
          <w:i/>
          <w:iCs/>
        </w:rPr>
        <w:t xml:space="preserve">Korrekturhinweis: </w:t>
      </w:r>
      <w:r>
        <w:t xml:space="preserve">Folgefehler: Wer das Preisschild als Angebot und die E-Mail des K als Annahme wertet, kommt zu einem Vertrag über 2.000 €. Dann entfallen die Punkte für invitatio, § 150 Abs. 2 und § 146; Obersatz, Zugang, Gutachtenstil und ein konsequent begründetes Ergebnis werden gewertet.</w:t>
      </w:r>
    </w:p>
    <w:p>
      <w:pPr>
        <w:spacing w:after="120" w:before="60"/>
      </w:pPr>
      <w:r>
        <w:rPr>
          <w:i/>
          <w:iCs/>
        </w:rPr>
        <w:t xml:space="preserve">Korrekturhinweis: </w:t>
      </w:r>
      <w:r>
        <w:t xml:space="preserve">Wer § 150 Abs. 1 (verspätete Annahme) statt Abs. 2 zitiert, erhält in der § 150-Zeile 2 von 3 Punkten, wenn die Folge (Ablehnung + neuer Antrag) richtig beschrieben ist.</w:t>
      </w:r>
    </w:p>
    <w:p>
      <w:pPr>
        <w:pStyle w:val="Heading2"/>
        <w:keepNext/>
        <w:spacing w:after="120" w:before="240"/>
      </w:pPr>
      <w:r>
        <w:t xml:space="preserve">Musterlösung Aufgabe 4 (Kurzfassung im Gutachtenstil)</w:t>
      </w:r>
    </w:p>
    <w:p>
      <w:pPr>
        <w:spacing w:after="120" w:before="0"/>
      </w:pPr>
      <w:r>
        <w:t xml:space="preserve">H könnte gegen K einen Anspruch auf Zahlung von 2.200 €, hilfsweise von 2.000 €, aus § 433 Abs. 2 BGB haben. Dazu müsste zwischen H und K ein Kaufvertrag zustande gekommen sein, also zwei übereinstimmende Willenserklärungen, Angebot und Annahme.</w:t>
      </w:r>
    </w:p>
    <w:p>
      <w:pPr>
        <w:spacing w:after="120" w:before="0"/>
      </w:pPr>
      <w:r>
        <w:t xml:space="preserve">Ein Angebot des H könnte im Preisschild im Schaufenster liegen. Ein Angebot setzt einen Rechtsbindungswillen voraus. Wer Ware im Schaufenster auszeichnet, will sich aber noch nicht gegenüber jedem Interessenten binden, schon weil er sonst Gefahr liefe, mehr Verträge zu schließen, als er erfüllen kann. Es handelt sich daher um eine bloße Aufforderung zur Abgabe von Angeboten (invitatio ad offerendum).</w:t>
      </w:r>
    </w:p>
    <w:p>
      <w:pPr>
        <w:spacing w:after="120" w:before="0"/>
      </w:pPr>
      <w:r>
        <w:t xml:space="preserve">Das Angebot liegt deshalb erst in der E-Mail des K. Sie bezeichnet Kaufsache und Preis und lässt den Willen erkennen, sich zu binden. Sie ist H zugegangen und damit wirksam geworden (§ 130 Abs. 1 S. 1 BGB).</w:t>
      </w:r>
    </w:p>
    <w:p>
      <w:pPr>
        <w:spacing w:after="120" w:before="0"/>
      </w:pPr>
      <w:r>
        <w:t xml:space="preserve">H hat dieses Angebot nicht angenommen. Seine Antwort weicht beim Preis ab. Eine Annahme unter Änderungen gilt nach § 150 Abs. 2 BGB als Ablehnung, verbunden mit einem neuen Antrag über 2.200 €. Durch die Ablehnung ist das Angebot des K erloschen (§ 146 BGB). Ein Vertrag über 2.000 € ist daher nicht zustande gekommen.</w:t>
      </w:r>
    </w:p>
    <w:p>
      <w:pPr>
        <w:spacing w:after="120" w:before="0"/>
      </w:pPr>
      <w:r>
        <w:t xml:space="preserve">K müsste den neuen Antrag des H angenommen haben. K hat auf die E-Mail nicht reagiert. Schweigen ist grundsätzlich keine Willenserklärung. Eine Ausnahme ist nicht ersichtlich: Die Parteien haben dem Schweigen keine Bedeutung beigemessen, und K ist Privatperson. Am Freitag hat K die Annahme zudem ausdrücklich abgelehnt. Ein Vertrag über 2.200 € ist ebenfalls nicht zustande gekommen.</w:t>
      </w:r>
    </w:p>
    <w:p>
      <w:pPr>
        <w:spacing w:after="120" w:before="0"/>
      </w:pPr>
      <w:r>
        <w:t xml:space="preserve">Ergebnis: H kann von K weder Zahlung von 2.200 € noch von 2.000 € aus § 433 Abs. 2 BGB verlangen.</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2026-09-27T18:11:33.836Z</dcterms:created>
  <dcterms:modified xsi:type="dcterms:W3CDTF">2026-09-27T18:11:33.836Z</dcterms:modified>
</cp:coreProperties>
</file>

<file path=docProps/custom.xml><?xml version="1.0" encoding="utf-8"?>
<Properties xmlns="http://schemas.openxmlformats.org/officeDocument/2006/custom-properties" xmlns:vt="http://schemas.openxmlformats.org/officeDocument/2006/docPropsVTypes"/>
</file>