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F7D54" w14:textId="0AA0CB6A" w:rsidR="005811FD" w:rsidRPr="005811FD" w:rsidRDefault="005811FD" w:rsidP="005811FD">
      <w:pPr>
        <w:rPr>
          <w:rFonts w:ascii="Arial" w:eastAsia="Times New Roman" w:hAnsi="Arial" w:cs="Arial"/>
          <w:b/>
          <w:bCs/>
          <w:color w:val="FFFFFF"/>
          <w:sz w:val="21"/>
          <w:szCs w:val="21"/>
          <w:lang w:val="en-US"/>
        </w:rPr>
      </w:pPr>
      <w:r>
        <w:rPr>
          <w:lang w:val="en-US"/>
        </w:rPr>
        <w:t>Area:</w:t>
      </w:r>
      <w:r w:rsidRPr="005811FD">
        <w:rPr>
          <w:rFonts w:ascii="Arial" w:eastAsia="Times New Roman" w:hAnsi="Arial" w:cs="Arial"/>
          <w:b/>
          <w:bCs/>
          <w:color w:val="FFFFFF"/>
          <w:sz w:val="21"/>
          <w:szCs w:val="21"/>
          <w:lang w:val="en-US"/>
        </w:rPr>
        <w:t xml:space="preserve"> </w:t>
      </w:r>
    </w:p>
    <w:p w14:paraId="2097C6C6" w14:textId="77777777" w:rsidR="005811FD" w:rsidRPr="005811FD" w:rsidRDefault="005811FD" w:rsidP="005811FD">
      <w:pPr>
        <w:spacing w:after="90" w:line="240" w:lineRule="auto"/>
        <w:textAlignment w:val="baseline"/>
        <w:rPr>
          <w:rFonts w:ascii="Arial" w:eastAsia="Times New Roman" w:hAnsi="Arial" w:cs="Arial"/>
          <w:b/>
          <w:bCs/>
          <w:color w:val="4A4A4A"/>
          <w:sz w:val="21"/>
          <w:szCs w:val="21"/>
          <w:lang w:val="en-US"/>
        </w:rPr>
      </w:pPr>
      <w:r w:rsidRPr="005811FD">
        <w:rPr>
          <w:rFonts w:ascii="Arial" w:eastAsia="Times New Roman" w:hAnsi="Arial" w:cs="Arial"/>
          <w:b/>
          <w:bCs/>
          <w:color w:val="4A4A4A"/>
          <w:sz w:val="21"/>
          <w:szCs w:val="21"/>
          <w:lang w:val="en-US"/>
        </w:rPr>
        <w:t xml:space="preserve">Total </w:t>
      </w:r>
      <w:proofErr w:type="spellStart"/>
      <w:r w:rsidRPr="005811FD">
        <w:rPr>
          <w:rFonts w:ascii="Arial" w:eastAsia="Times New Roman" w:hAnsi="Arial" w:cs="Arial"/>
          <w:b/>
          <w:bCs/>
          <w:color w:val="4A4A4A"/>
          <w:sz w:val="21"/>
          <w:szCs w:val="21"/>
          <w:lang w:val="en-US"/>
        </w:rPr>
        <w:t>neighbourhood</w:t>
      </w:r>
      <w:proofErr w:type="spellEnd"/>
      <w:r w:rsidRPr="005811FD">
        <w:rPr>
          <w:rFonts w:ascii="Arial" w:eastAsia="Times New Roman" w:hAnsi="Arial" w:cs="Arial"/>
          <w:b/>
          <w:bCs/>
          <w:color w:val="4A4A4A"/>
          <w:sz w:val="21"/>
          <w:szCs w:val="21"/>
          <w:lang w:val="en-US"/>
        </w:rPr>
        <w:t xml:space="preserve"> area in square </w:t>
      </w:r>
      <w:proofErr w:type="spellStart"/>
      <w:r w:rsidRPr="005811FD">
        <w:rPr>
          <w:rFonts w:ascii="Arial" w:eastAsia="Times New Roman" w:hAnsi="Arial" w:cs="Arial"/>
          <w:b/>
          <w:bCs/>
          <w:color w:val="4A4A4A"/>
          <w:sz w:val="21"/>
          <w:szCs w:val="21"/>
          <w:lang w:val="en-US"/>
        </w:rPr>
        <w:t>kilometres</w:t>
      </w:r>
      <w:proofErr w:type="spellEnd"/>
      <w:r w:rsidRPr="005811FD">
        <w:rPr>
          <w:rFonts w:ascii="Arial" w:eastAsia="Times New Roman" w:hAnsi="Arial" w:cs="Arial"/>
          <w:b/>
          <w:bCs/>
          <w:color w:val="4A4A4A"/>
          <w:sz w:val="21"/>
          <w:szCs w:val="21"/>
          <w:lang w:val="en-US"/>
        </w:rPr>
        <w:t>.</w:t>
      </w:r>
    </w:p>
    <w:p w14:paraId="79B169CD" w14:textId="77777777" w:rsidR="005811FD" w:rsidRPr="005811FD" w:rsidRDefault="005811FD" w:rsidP="005811FD">
      <w:pPr>
        <w:spacing w:line="240" w:lineRule="auto"/>
        <w:textAlignment w:val="baseline"/>
        <w:rPr>
          <w:rFonts w:ascii="Arial" w:eastAsia="Times New Roman" w:hAnsi="Arial" w:cs="Arial"/>
          <w:color w:val="777777"/>
          <w:sz w:val="19"/>
          <w:szCs w:val="19"/>
          <w:lang w:val="en-US"/>
        </w:rPr>
      </w:pPr>
      <w:r w:rsidRPr="005811FD">
        <w:rPr>
          <w:rFonts w:ascii="Arial" w:eastAsia="Times New Roman" w:hAnsi="Arial" w:cs="Arial"/>
          <w:color w:val="777777"/>
          <w:sz w:val="19"/>
          <w:szCs w:val="19"/>
          <w:lang w:val="en-US"/>
        </w:rPr>
        <w:t xml:space="preserve">For Reference Period 2014 and 2011: Total </w:t>
      </w:r>
      <w:proofErr w:type="spellStart"/>
      <w:r w:rsidRPr="005811FD">
        <w:rPr>
          <w:rFonts w:ascii="Arial" w:eastAsia="Times New Roman" w:hAnsi="Arial" w:cs="Arial"/>
          <w:color w:val="777777"/>
          <w:sz w:val="19"/>
          <w:szCs w:val="19"/>
          <w:lang w:val="en-US"/>
        </w:rPr>
        <w:t>neighbourhood</w:t>
      </w:r>
      <w:proofErr w:type="spellEnd"/>
      <w:r w:rsidRPr="005811FD">
        <w:rPr>
          <w:rFonts w:ascii="Arial" w:eastAsia="Times New Roman" w:hAnsi="Arial" w:cs="Arial"/>
          <w:color w:val="777777"/>
          <w:sz w:val="19"/>
          <w:szCs w:val="19"/>
          <w:lang w:val="en-US"/>
        </w:rPr>
        <w:t xml:space="preserve"> area in square </w:t>
      </w:r>
      <w:proofErr w:type="spellStart"/>
      <w:r w:rsidRPr="005811FD">
        <w:rPr>
          <w:rFonts w:ascii="Arial" w:eastAsia="Times New Roman" w:hAnsi="Arial" w:cs="Arial"/>
          <w:color w:val="777777"/>
          <w:sz w:val="19"/>
          <w:szCs w:val="19"/>
          <w:lang w:val="en-US"/>
        </w:rPr>
        <w:t>kilometres</w:t>
      </w:r>
      <w:proofErr w:type="spellEnd"/>
      <w:r w:rsidRPr="005811FD">
        <w:rPr>
          <w:rFonts w:ascii="Arial" w:eastAsia="Times New Roman" w:hAnsi="Arial" w:cs="Arial"/>
          <w:color w:val="777777"/>
          <w:sz w:val="19"/>
          <w:szCs w:val="19"/>
          <w:lang w:val="en-US"/>
        </w:rPr>
        <w:t xml:space="preserve"> (unchanged, as </w:t>
      </w:r>
      <w:proofErr w:type="spellStart"/>
      <w:r w:rsidRPr="005811FD">
        <w:rPr>
          <w:rFonts w:ascii="Arial" w:eastAsia="Times New Roman" w:hAnsi="Arial" w:cs="Arial"/>
          <w:color w:val="777777"/>
          <w:sz w:val="19"/>
          <w:szCs w:val="19"/>
          <w:lang w:val="en-US"/>
        </w:rPr>
        <w:t>neighbourhood</w:t>
      </w:r>
      <w:proofErr w:type="spellEnd"/>
      <w:r w:rsidRPr="005811FD">
        <w:rPr>
          <w:rFonts w:ascii="Arial" w:eastAsia="Times New Roman" w:hAnsi="Arial" w:cs="Arial"/>
          <w:color w:val="777777"/>
          <w:sz w:val="19"/>
          <w:szCs w:val="19"/>
          <w:lang w:val="en-US"/>
        </w:rPr>
        <w:t xml:space="preserve"> boundaries did not change in the 2008-2016 period). For Reference Period 2008: Total </w:t>
      </w:r>
      <w:proofErr w:type="spellStart"/>
      <w:r w:rsidRPr="005811FD">
        <w:rPr>
          <w:rFonts w:ascii="Arial" w:eastAsia="Times New Roman" w:hAnsi="Arial" w:cs="Arial"/>
          <w:color w:val="777777"/>
          <w:sz w:val="19"/>
          <w:szCs w:val="19"/>
          <w:lang w:val="en-US"/>
        </w:rPr>
        <w:t>neighbourhood</w:t>
      </w:r>
      <w:proofErr w:type="spellEnd"/>
      <w:r w:rsidRPr="005811FD">
        <w:rPr>
          <w:rFonts w:ascii="Arial" w:eastAsia="Times New Roman" w:hAnsi="Arial" w:cs="Arial"/>
          <w:color w:val="777777"/>
          <w:sz w:val="19"/>
          <w:szCs w:val="19"/>
          <w:lang w:val="en-US"/>
        </w:rPr>
        <w:t xml:space="preserve"> area in square </w:t>
      </w:r>
      <w:proofErr w:type="spellStart"/>
      <w:r w:rsidRPr="005811FD">
        <w:rPr>
          <w:rFonts w:ascii="Arial" w:eastAsia="Times New Roman" w:hAnsi="Arial" w:cs="Arial"/>
          <w:color w:val="777777"/>
          <w:sz w:val="19"/>
          <w:szCs w:val="19"/>
          <w:lang w:val="en-US"/>
        </w:rPr>
        <w:t>kilometres</w:t>
      </w:r>
      <w:proofErr w:type="spellEnd"/>
      <w:r w:rsidRPr="005811FD">
        <w:rPr>
          <w:rFonts w:ascii="Arial" w:eastAsia="Times New Roman" w:hAnsi="Arial" w:cs="Arial"/>
          <w:color w:val="777777"/>
          <w:sz w:val="19"/>
          <w:szCs w:val="19"/>
          <w:lang w:val="en-US"/>
        </w:rPr>
        <w:t xml:space="preserve">. </w:t>
      </w:r>
    </w:p>
    <w:p w14:paraId="78B3C8E3" w14:textId="55A85595" w:rsidR="005811FD" w:rsidRDefault="005811FD">
      <w:pPr>
        <w:rPr>
          <w:lang w:val="en-US"/>
        </w:rPr>
      </w:pPr>
    </w:p>
    <w:p w14:paraId="35E8182F" w14:textId="5E148D4C" w:rsidR="005811FD" w:rsidRDefault="00794B15">
      <w:pPr>
        <w:rPr>
          <w:lang w:val="en-US"/>
        </w:rPr>
      </w:pPr>
      <w:r>
        <w:rPr>
          <w:lang w:val="en-US"/>
        </w:rPr>
        <w:t>Visible Minority</w:t>
      </w:r>
      <w:r w:rsidR="00767762">
        <w:rPr>
          <w:lang w:val="en-US"/>
        </w:rPr>
        <w:t xml:space="preserve"> </w:t>
      </w:r>
      <w:proofErr w:type="gramStart"/>
      <w:r w:rsidR="00A24876">
        <w:rPr>
          <w:lang w:val="en-US"/>
        </w:rPr>
        <w:t xml:space="preserve">Category </w:t>
      </w:r>
      <w:r>
        <w:rPr>
          <w:lang w:val="en-US"/>
        </w:rPr>
        <w:t>:</w:t>
      </w:r>
      <w:proofErr w:type="gramEnd"/>
    </w:p>
    <w:p w14:paraId="7B07537F" w14:textId="42CE548A" w:rsidR="00794B15" w:rsidRDefault="00794B15">
      <w:pPr>
        <w:rPr>
          <w:rFonts w:ascii="Helvetica" w:hAnsi="Helvetica" w:cs="Helvetica"/>
          <w:color w:val="333333"/>
          <w:shd w:val="clear" w:color="auto" w:fill="F9F9F9"/>
        </w:rPr>
      </w:pPr>
      <w:r>
        <w:rPr>
          <w:rFonts w:ascii="Helvetica" w:hAnsi="Helvetica" w:cs="Helvetica"/>
          <w:color w:val="333333"/>
          <w:shd w:val="clear" w:color="auto" w:fill="F9F9F9"/>
        </w:rPr>
        <w:t>The Visible minority variable is derived from information collected in Question 19: Population group and Question 18: Aboriginal group. Persons who reported 'Yes, First Nations (North American Indian),' 'Yes, Métis' or 'Yes, Inuk (Inuit)' to Question 18 (Aboriginal peoples) were not asked the Population group question but are included in the 'Not a visible minority' category in the Visible minority variable, along with persons reporting other selected groups such as 'White.'</w:t>
      </w:r>
    </w:p>
    <w:p w14:paraId="48828E1C" w14:textId="77777777" w:rsidR="00380E14" w:rsidRDefault="00380E14">
      <w:pPr>
        <w:rPr>
          <w:rFonts w:ascii="Helvetica" w:hAnsi="Helvetica" w:cs="Helvetica"/>
          <w:color w:val="333333"/>
          <w:shd w:val="clear" w:color="auto" w:fill="F9F9F9"/>
        </w:rPr>
      </w:pPr>
    </w:p>
    <w:p w14:paraId="008E083B" w14:textId="6427089E" w:rsidR="00380E14" w:rsidRDefault="00380E14">
      <w:pPr>
        <w:rPr>
          <w:rFonts w:ascii="Helvetica" w:hAnsi="Helvetica" w:cs="Helvetica"/>
          <w:color w:val="333333"/>
          <w:shd w:val="clear" w:color="auto" w:fill="F9F9F9"/>
        </w:rPr>
      </w:pPr>
      <w:r>
        <w:rPr>
          <w:rFonts w:ascii="Helvetica" w:hAnsi="Helvetica" w:cs="Helvetica"/>
          <w:color w:val="333333"/>
          <w:shd w:val="clear" w:color="auto" w:fill="F9F9F9"/>
        </w:rPr>
        <w:t>Not a visible minority:</w:t>
      </w:r>
    </w:p>
    <w:p w14:paraId="4290508E" w14:textId="16D9F5AF" w:rsidR="00380E14" w:rsidRDefault="00380E14">
      <w:pPr>
        <w:rPr>
          <w:rFonts w:ascii="Helvetica" w:hAnsi="Helvetica" w:cs="Helvetica"/>
          <w:color w:val="333333"/>
          <w:shd w:val="clear" w:color="auto" w:fill="F9F9F9"/>
        </w:rPr>
      </w:pPr>
      <w:r>
        <w:rPr>
          <w:rFonts w:ascii="Helvetica" w:hAnsi="Helvetica" w:cs="Helvetica"/>
          <w:color w:val="333333"/>
          <w:shd w:val="clear" w:color="auto" w:fill="F9F9F9"/>
        </w:rPr>
        <w:t xml:space="preserve">White and aboriginals </w:t>
      </w:r>
    </w:p>
    <w:p w14:paraId="42B2E5CF" w14:textId="5392938D" w:rsidR="00380E14" w:rsidRDefault="00380E14">
      <w:pPr>
        <w:rPr>
          <w:rFonts w:ascii="Helvetica" w:hAnsi="Helvetica" w:cs="Helvetica"/>
          <w:color w:val="333333"/>
          <w:shd w:val="clear" w:color="auto" w:fill="F9F9F9"/>
        </w:rPr>
      </w:pPr>
    </w:p>
    <w:p w14:paraId="393357B9" w14:textId="0EA02CA4" w:rsidR="00380E14" w:rsidRDefault="00D63707">
      <w:pPr>
        <w:rPr>
          <w:rFonts w:ascii="Helvetica" w:hAnsi="Helvetica" w:cs="Helvetica"/>
          <w:color w:val="333333"/>
          <w:shd w:val="clear" w:color="auto" w:fill="F9F9F9"/>
        </w:rPr>
      </w:pPr>
      <w:r>
        <w:rPr>
          <w:rFonts w:ascii="Helvetica" w:hAnsi="Helvetica" w:cs="Helvetica"/>
          <w:color w:val="333333"/>
          <w:shd w:val="clear" w:color="auto" w:fill="F9F9F9"/>
        </w:rPr>
        <w:t>In Labour Force</w:t>
      </w:r>
    </w:p>
    <w:p w14:paraId="05538B91" w14:textId="31DD4574" w:rsidR="00380E14" w:rsidRDefault="00380E14">
      <w:pPr>
        <w:rPr>
          <w:rFonts w:ascii="Arial" w:hAnsi="Arial" w:cs="Arial"/>
          <w:color w:val="777777"/>
          <w:sz w:val="19"/>
          <w:szCs w:val="19"/>
          <w:shd w:val="clear" w:color="auto" w:fill="F6FBF0"/>
        </w:rPr>
      </w:pPr>
      <w:r>
        <w:rPr>
          <w:rFonts w:ascii="Arial" w:hAnsi="Arial" w:cs="Arial"/>
          <w:color w:val="777777"/>
          <w:sz w:val="19"/>
          <w:szCs w:val="19"/>
          <w:shd w:val="clear" w:color="auto" w:fill="F6FBF0"/>
        </w:rPr>
        <w:t>Labour Force (working). Only includes population 15 years of age or older.</w:t>
      </w:r>
    </w:p>
    <w:p w14:paraId="10BE3D9F" w14:textId="6D4EC55D" w:rsidR="00D63707" w:rsidRDefault="00D63707">
      <w:pPr>
        <w:rPr>
          <w:rFonts w:ascii="Arial" w:hAnsi="Arial" w:cs="Arial"/>
          <w:color w:val="777777"/>
          <w:sz w:val="19"/>
          <w:szCs w:val="19"/>
          <w:shd w:val="clear" w:color="auto" w:fill="F6FBF0"/>
        </w:rPr>
      </w:pPr>
    </w:p>
    <w:p w14:paraId="01F6815E" w14:textId="3BF2F26B" w:rsidR="00D63707" w:rsidRDefault="00D63707">
      <w:pPr>
        <w:rPr>
          <w:rFonts w:ascii="Arial" w:hAnsi="Arial" w:cs="Arial"/>
          <w:color w:val="777777"/>
          <w:sz w:val="19"/>
          <w:szCs w:val="19"/>
          <w:shd w:val="clear" w:color="auto" w:fill="F6FBF0"/>
        </w:rPr>
      </w:pPr>
      <w:r>
        <w:rPr>
          <w:rFonts w:ascii="Arial" w:hAnsi="Arial" w:cs="Arial"/>
          <w:color w:val="777777"/>
          <w:sz w:val="19"/>
          <w:szCs w:val="19"/>
          <w:shd w:val="clear" w:color="auto" w:fill="F6FBF0"/>
        </w:rPr>
        <w:t xml:space="preserve">Recent </w:t>
      </w:r>
      <w:proofErr w:type="gramStart"/>
      <w:r>
        <w:rPr>
          <w:rFonts w:ascii="Arial" w:hAnsi="Arial" w:cs="Arial"/>
          <w:color w:val="777777"/>
          <w:sz w:val="19"/>
          <w:szCs w:val="19"/>
          <w:shd w:val="clear" w:color="auto" w:fill="F6FBF0"/>
        </w:rPr>
        <w:t>Immigration :</w:t>
      </w:r>
      <w:proofErr w:type="gramEnd"/>
    </w:p>
    <w:p w14:paraId="724AB9FA" w14:textId="625531E5" w:rsidR="00D63707" w:rsidRDefault="00D63707">
      <w:pPr>
        <w:rPr>
          <w:rFonts w:ascii="Arial" w:hAnsi="Arial" w:cs="Arial"/>
          <w:color w:val="777777"/>
          <w:sz w:val="19"/>
          <w:szCs w:val="19"/>
          <w:shd w:val="clear" w:color="auto" w:fill="F6FBF0"/>
        </w:rPr>
      </w:pPr>
      <w:r>
        <w:rPr>
          <w:rFonts w:ascii="Arial" w:hAnsi="Arial" w:cs="Arial"/>
          <w:color w:val="777777"/>
          <w:sz w:val="19"/>
          <w:szCs w:val="19"/>
          <w:shd w:val="clear" w:color="auto" w:fill="F6FBF0"/>
        </w:rPr>
        <w:t>Number of people who are new to Canada within 5 years prior to 2014</w:t>
      </w:r>
    </w:p>
    <w:p w14:paraId="7967FE65" w14:textId="25977196" w:rsidR="00D63707" w:rsidRDefault="00D63707">
      <w:pPr>
        <w:rPr>
          <w:rFonts w:ascii="Arial" w:hAnsi="Arial" w:cs="Arial"/>
          <w:color w:val="777777"/>
          <w:sz w:val="19"/>
          <w:szCs w:val="19"/>
          <w:shd w:val="clear" w:color="auto" w:fill="F6FBF0"/>
        </w:rPr>
      </w:pPr>
    </w:p>
    <w:p w14:paraId="3DED5BF0" w14:textId="0FCC88E0" w:rsidR="00D63707" w:rsidRDefault="00D63707">
      <w:pPr>
        <w:rPr>
          <w:lang w:val="en-US"/>
        </w:rPr>
      </w:pPr>
      <w:r>
        <w:rPr>
          <w:lang w:val="en-US"/>
        </w:rPr>
        <w:t>Unemployed:</w:t>
      </w:r>
    </w:p>
    <w:p w14:paraId="34ABA955" w14:textId="5ADCA2EB" w:rsidR="00D63707" w:rsidRDefault="00D63707">
      <w:pPr>
        <w:rPr>
          <w:rFonts w:ascii="Arial" w:hAnsi="Arial" w:cs="Arial"/>
          <w:color w:val="777777"/>
          <w:sz w:val="19"/>
          <w:szCs w:val="19"/>
          <w:shd w:val="clear" w:color="auto" w:fill="F6FBF0"/>
        </w:rPr>
      </w:pPr>
      <w:r>
        <w:rPr>
          <w:rFonts w:ascii="Arial" w:hAnsi="Arial" w:cs="Arial"/>
          <w:color w:val="777777"/>
          <w:sz w:val="19"/>
          <w:szCs w:val="19"/>
          <w:shd w:val="clear" w:color="auto" w:fill="F6FBF0"/>
        </w:rPr>
        <w:t>Unemployed (not working). Only includes population 15 years of age and older.</w:t>
      </w:r>
    </w:p>
    <w:p w14:paraId="5D62F0FA" w14:textId="37C39E55" w:rsidR="00D63707" w:rsidRDefault="00D63707">
      <w:pPr>
        <w:rPr>
          <w:rFonts w:ascii="Arial" w:hAnsi="Arial" w:cs="Arial"/>
          <w:color w:val="777777"/>
          <w:sz w:val="19"/>
          <w:szCs w:val="19"/>
          <w:shd w:val="clear" w:color="auto" w:fill="F6FBF0"/>
        </w:rPr>
      </w:pPr>
    </w:p>
    <w:p w14:paraId="669DF1DA" w14:textId="27653504" w:rsidR="00D63707" w:rsidRDefault="002069E2">
      <w:pPr>
        <w:rPr>
          <w:rFonts w:ascii="Arial" w:hAnsi="Arial" w:cs="Arial"/>
          <w:color w:val="777777"/>
          <w:sz w:val="19"/>
          <w:szCs w:val="19"/>
          <w:shd w:val="clear" w:color="auto" w:fill="F6FBF0"/>
        </w:rPr>
      </w:pPr>
      <w:r>
        <w:rPr>
          <w:rFonts w:ascii="Arial" w:hAnsi="Arial" w:cs="Arial"/>
          <w:color w:val="777777"/>
          <w:sz w:val="19"/>
          <w:szCs w:val="19"/>
          <w:shd w:val="clear" w:color="auto" w:fill="F6FBF0"/>
        </w:rPr>
        <w:t>Not in Labour Force:</w:t>
      </w:r>
    </w:p>
    <w:p w14:paraId="70AF97D1" w14:textId="43AD6108" w:rsidR="002069E2" w:rsidRDefault="002069E2">
      <w:pPr>
        <w:rPr>
          <w:rFonts w:ascii="Arial" w:hAnsi="Arial" w:cs="Arial"/>
          <w:color w:val="777777"/>
          <w:sz w:val="19"/>
          <w:szCs w:val="19"/>
          <w:shd w:val="clear" w:color="auto" w:fill="F6FBF0"/>
        </w:rPr>
      </w:pPr>
      <w:r>
        <w:rPr>
          <w:rFonts w:ascii="Arial" w:hAnsi="Arial" w:cs="Arial"/>
          <w:color w:val="777777"/>
          <w:sz w:val="19"/>
          <w:szCs w:val="19"/>
          <w:shd w:val="clear" w:color="auto" w:fill="F6FBF0"/>
        </w:rPr>
        <w:t xml:space="preserve">Not </w:t>
      </w:r>
      <w:proofErr w:type="gramStart"/>
      <w:r>
        <w:rPr>
          <w:rFonts w:ascii="Arial" w:hAnsi="Arial" w:cs="Arial"/>
          <w:color w:val="777777"/>
          <w:sz w:val="19"/>
          <w:szCs w:val="19"/>
          <w:shd w:val="clear" w:color="auto" w:fill="F6FBF0"/>
        </w:rPr>
        <w:t>In</w:t>
      </w:r>
      <w:proofErr w:type="gramEnd"/>
      <w:r>
        <w:rPr>
          <w:rFonts w:ascii="Arial" w:hAnsi="Arial" w:cs="Arial"/>
          <w:color w:val="777777"/>
          <w:sz w:val="19"/>
          <w:szCs w:val="19"/>
          <w:shd w:val="clear" w:color="auto" w:fill="F6FBF0"/>
        </w:rPr>
        <w:t xml:space="preserve"> Labour Force. Only includes population 15 years of age and older. Labour force data has been moved from the 2011 Census to the 2011 National Household </w:t>
      </w:r>
      <w:proofErr w:type="gramStart"/>
      <w:r>
        <w:rPr>
          <w:rFonts w:ascii="Arial" w:hAnsi="Arial" w:cs="Arial"/>
          <w:color w:val="777777"/>
          <w:sz w:val="19"/>
          <w:szCs w:val="19"/>
          <w:shd w:val="clear" w:color="auto" w:fill="F6FBF0"/>
        </w:rPr>
        <w:t>Survey,</w:t>
      </w:r>
      <w:r w:rsidR="00E104F6">
        <w:rPr>
          <w:rFonts w:ascii="Arial" w:hAnsi="Arial" w:cs="Arial"/>
          <w:color w:val="777777"/>
          <w:sz w:val="19"/>
          <w:szCs w:val="19"/>
          <w:shd w:val="clear" w:color="auto" w:fill="F6FBF0"/>
        </w:rPr>
        <w:t>\</w:t>
      </w:r>
      <w:proofErr w:type="gramEnd"/>
    </w:p>
    <w:p w14:paraId="1B04BD55" w14:textId="77777777" w:rsidR="003E2863" w:rsidRDefault="003E2863">
      <w:pPr>
        <w:rPr>
          <w:rFonts w:ascii="Arial" w:hAnsi="Arial" w:cs="Arial"/>
          <w:color w:val="777777"/>
          <w:sz w:val="19"/>
          <w:szCs w:val="19"/>
          <w:shd w:val="clear" w:color="auto" w:fill="F6FBF0"/>
        </w:rPr>
      </w:pPr>
    </w:p>
    <w:p w14:paraId="6D7039DC" w14:textId="0F932525" w:rsidR="00E104F6" w:rsidRDefault="00E104F6">
      <w:pPr>
        <w:rPr>
          <w:rFonts w:ascii="Arial" w:hAnsi="Arial" w:cs="Arial"/>
          <w:color w:val="777777"/>
          <w:sz w:val="19"/>
          <w:szCs w:val="19"/>
          <w:shd w:val="clear" w:color="auto" w:fill="F6FBF0"/>
        </w:rPr>
      </w:pPr>
      <w:r>
        <w:rPr>
          <w:rFonts w:ascii="Arial" w:hAnsi="Arial" w:cs="Arial"/>
          <w:color w:val="777777"/>
          <w:sz w:val="19"/>
          <w:szCs w:val="19"/>
          <w:shd w:val="clear" w:color="auto" w:fill="F6FBF0"/>
        </w:rPr>
        <w:t>Less than grade 9:</w:t>
      </w:r>
    </w:p>
    <w:p w14:paraId="0B3E52AB" w14:textId="6CB581C2" w:rsidR="00E104F6" w:rsidRDefault="00E104F6">
      <w:pPr>
        <w:rPr>
          <w:rFonts w:ascii="Arial" w:hAnsi="Arial" w:cs="Arial"/>
          <w:color w:val="777777"/>
          <w:sz w:val="19"/>
          <w:szCs w:val="19"/>
          <w:shd w:val="clear" w:color="auto" w:fill="F6FBF0"/>
        </w:rPr>
      </w:pPr>
      <w:r>
        <w:rPr>
          <w:rFonts w:ascii="Arial" w:hAnsi="Arial" w:cs="Arial"/>
          <w:color w:val="777777"/>
          <w:sz w:val="19"/>
          <w:szCs w:val="19"/>
          <w:shd w:val="clear" w:color="auto" w:fill="F6FBF0"/>
        </w:rPr>
        <w:t>Highest Level of Educational Achievement - Less Than Grade 9.</w:t>
      </w:r>
    </w:p>
    <w:p w14:paraId="0A3FF155" w14:textId="02648409" w:rsidR="00E104F6" w:rsidRDefault="00E104F6">
      <w:pPr>
        <w:rPr>
          <w:rFonts w:ascii="Arial" w:hAnsi="Arial" w:cs="Arial"/>
          <w:color w:val="777777"/>
          <w:sz w:val="19"/>
          <w:szCs w:val="19"/>
          <w:shd w:val="clear" w:color="auto" w:fill="F6FBF0"/>
        </w:rPr>
      </w:pPr>
    </w:p>
    <w:p w14:paraId="652A02D7" w14:textId="17BBED71" w:rsidR="009A1416" w:rsidRDefault="009A1416">
      <w:pPr>
        <w:rPr>
          <w:rFonts w:ascii="Arial" w:hAnsi="Arial" w:cs="Arial"/>
          <w:color w:val="777777"/>
          <w:sz w:val="19"/>
          <w:szCs w:val="19"/>
          <w:shd w:val="clear" w:color="auto" w:fill="F6FBF0"/>
        </w:rPr>
      </w:pPr>
    </w:p>
    <w:p w14:paraId="1F90D1C8" w14:textId="77777777" w:rsidR="009A1416" w:rsidRDefault="009A1416">
      <w:pPr>
        <w:rPr>
          <w:rFonts w:ascii="Arial" w:hAnsi="Arial" w:cs="Arial"/>
          <w:color w:val="777777"/>
          <w:sz w:val="19"/>
          <w:szCs w:val="19"/>
          <w:shd w:val="clear" w:color="auto" w:fill="F6FBF0"/>
        </w:rPr>
      </w:pPr>
    </w:p>
    <w:p w14:paraId="74F435D0" w14:textId="4C63FA95" w:rsidR="003E2863" w:rsidRDefault="009A1416">
      <w:pPr>
        <w:rPr>
          <w:rFonts w:ascii="Arial" w:hAnsi="Arial" w:cs="Arial"/>
          <w:b/>
          <w:bCs/>
          <w:color w:val="4A4A4A"/>
          <w:sz w:val="21"/>
          <w:szCs w:val="21"/>
          <w:shd w:val="clear" w:color="auto" w:fill="F6FBF0"/>
        </w:rPr>
      </w:pPr>
      <w:r>
        <w:rPr>
          <w:rFonts w:ascii="Arial" w:hAnsi="Arial" w:cs="Arial"/>
          <w:b/>
          <w:bCs/>
          <w:color w:val="4A4A4A"/>
          <w:sz w:val="21"/>
          <w:szCs w:val="21"/>
          <w:shd w:val="clear" w:color="auto" w:fill="F6FBF0"/>
        </w:rPr>
        <w:lastRenderedPageBreak/>
        <w:t>Education - With College Certificate/Diploma</w:t>
      </w:r>
    </w:p>
    <w:p w14:paraId="3290F328" w14:textId="29D64C13" w:rsidR="009A1416" w:rsidRDefault="009A1416">
      <w:pPr>
        <w:rPr>
          <w:rFonts w:ascii="Arial" w:hAnsi="Arial" w:cs="Arial"/>
          <w:color w:val="777777"/>
          <w:sz w:val="19"/>
          <w:szCs w:val="19"/>
          <w:shd w:val="clear" w:color="auto" w:fill="F6FBF0"/>
        </w:rPr>
      </w:pPr>
      <w:r>
        <w:rPr>
          <w:rFonts w:ascii="Arial" w:hAnsi="Arial" w:cs="Arial"/>
          <w:color w:val="777777"/>
          <w:sz w:val="19"/>
          <w:szCs w:val="19"/>
          <w:shd w:val="clear" w:color="auto" w:fill="F6FBF0"/>
        </w:rPr>
        <w:t>H</w:t>
      </w:r>
      <w:r>
        <w:rPr>
          <w:rFonts w:ascii="Arial" w:hAnsi="Arial" w:cs="Arial"/>
          <w:color w:val="777777"/>
          <w:sz w:val="19"/>
          <w:szCs w:val="19"/>
          <w:shd w:val="clear" w:color="auto" w:fill="F6FBF0"/>
        </w:rPr>
        <w:t>ighest Level of Educational Achievement - College Certificate or Diploma.</w:t>
      </w:r>
    </w:p>
    <w:p w14:paraId="1D3139EA" w14:textId="77777777" w:rsidR="009A1416" w:rsidRDefault="009A1416">
      <w:pPr>
        <w:rPr>
          <w:rFonts w:ascii="Arial" w:hAnsi="Arial" w:cs="Arial"/>
          <w:color w:val="777777"/>
          <w:sz w:val="19"/>
          <w:szCs w:val="19"/>
          <w:shd w:val="clear" w:color="auto" w:fill="F6FBF0"/>
        </w:rPr>
      </w:pPr>
    </w:p>
    <w:p w14:paraId="48DD2BF5" w14:textId="327411A9" w:rsidR="00E104F6" w:rsidRDefault="009A1416">
      <w:r>
        <w:rPr>
          <w:rFonts w:ascii="Arial" w:hAnsi="Arial" w:cs="Arial"/>
          <w:b/>
          <w:bCs/>
          <w:color w:val="4A4A4A"/>
          <w:sz w:val="21"/>
          <w:szCs w:val="21"/>
          <w:shd w:val="clear" w:color="auto" w:fill="F6FBF0"/>
        </w:rPr>
        <w:t xml:space="preserve">Total Respondents </w:t>
      </w:r>
      <w:proofErr w:type="spellStart"/>
      <w:r>
        <w:rPr>
          <w:rFonts w:ascii="Arial" w:hAnsi="Arial" w:cs="Arial"/>
          <w:b/>
          <w:bCs/>
          <w:color w:val="4A4A4A"/>
          <w:sz w:val="21"/>
          <w:szCs w:val="21"/>
          <w:shd w:val="clear" w:color="auto" w:fill="F6FBF0"/>
        </w:rPr>
        <w:t>byTenure</w:t>
      </w:r>
      <w:proofErr w:type="spellEnd"/>
      <w:r>
        <w:rPr>
          <w:rFonts w:ascii="Arial" w:hAnsi="Arial" w:cs="Arial"/>
          <w:b/>
          <w:bCs/>
          <w:color w:val="4A4A4A"/>
          <w:sz w:val="21"/>
          <w:szCs w:val="21"/>
          <w:shd w:val="clear" w:color="auto" w:fill="F6FBF0"/>
        </w:rPr>
        <w:t xml:space="preserve"> in Occupied Private Dwellings</w:t>
      </w:r>
    </w:p>
    <w:p w14:paraId="1B793412" w14:textId="7B46B081" w:rsidR="009A1416" w:rsidRPr="009A1416" w:rsidRDefault="009A1416">
      <w:r>
        <w:rPr>
          <w:rFonts w:ascii="Arial" w:hAnsi="Arial" w:cs="Arial"/>
          <w:color w:val="777777"/>
          <w:sz w:val="19"/>
          <w:szCs w:val="19"/>
          <w:shd w:val="clear" w:color="auto" w:fill="F6FBF0"/>
        </w:rPr>
        <w:t>Refers to the total number of respondents to the question of tenure, whether by owned, rented or band housing.</w:t>
      </w:r>
    </w:p>
    <w:p w14:paraId="75544E65" w14:textId="048784A7" w:rsidR="009A1416" w:rsidRDefault="009A1416">
      <w:pPr>
        <w:rPr>
          <w:lang w:val="en-US"/>
        </w:rPr>
      </w:pPr>
    </w:p>
    <w:p w14:paraId="5DF8A873" w14:textId="24A84910" w:rsidR="009A1416" w:rsidRDefault="009A1416">
      <w:pPr>
        <w:rPr>
          <w:rFonts w:ascii="Arial" w:hAnsi="Arial" w:cs="Arial"/>
          <w:b/>
          <w:bCs/>
          <w:color w:val="4A4A4A"/>
          <w:sz w:val="21"/>
          <w:szCs w:val="21"/>
          <w:shd w:val="clear" w:color="auto" w:fill="F6FBF0"/>
        </w:rPr>
      </w:pPr>
      <w:r>
        <w:rPr>
          <w:rFonts w:ascii="Arial" w:hAnsi="Arial" w:cs="Arial"/>
          <w:b/>
          <w:bCs/>
          <w:color w:val="4A4A4A"/>
          <w:sz w:val="21"/>
          <w:szCs w:val="21"/>
          <w:shd w:val="clear" w:color="auto" w:fill="F6FBF0"/>
        </w:rPr>
        <w:t>$ Tenant Average Gross Rent</w:t>
      </w:r>
    </w:p>
    <w:p w14:paraId="6707A09C" w14:textId="06A6DE76" w:rsidR="009A1416" w:rsidRDefault="009A1416">
      <w:pPr>
        <w:rPr>
          <w:rFonts w:ascii="Arial" w:hAnsi="Arial" w:cs="Arial"/>
          <w:color w:val="777777"/>
          <w:sz w:val="19"/>
          <w:szCs w:val="19"/>
          <w:shd w:val="clear" w:color="auto" w:fill="F6FBF0"/>
        </w:rPr>
      </w:pPr>
      <w:r>
        <w:rPr>
          <w:rFonts w:ascii="Arial" w:hAnsi="Arial" w:cs="Arial"/>
          <w:color w:val="777777"/>
          <w:sz w:val="19"/>
          <w:szCs w:val="19"/>
          <w:shd w:val="clear" w:color="auto" w:fill="F6FBF0"/>
        </w:rPr>
        <w:t>Average Gross Rent $ - Tenant-occupied non-farm, non-reserve dwelling.</w:t>
      </w:r>
    </w:p>
    <w:p w14:paraId="4AB10BA4" w14:textId="051863F4" w:rsidR="009A1416" w:rsidRDefault="009A1416">
      <w:pPr>
        <w:rPr>
          <w:rFonts w:ascii="Arial" w:hAnsi="Arial" w:cs="Arial"/>
          <w:color w:val="777777"/>
          <w:sz w:val="19"/>
          <w:szCs w:val="19"/>
          <w:shd w:val="clear" w:color="auto" w:fill="F6FBF0"/>
        </w:rPr>
      </w:pPr>
    </w:p>
    <w:p w14:paraId="13BF4529" w14:textId="6402C960" w:rsidR="009A1416" w:rsidRDefault="00285110">
      <w:pPr>
        <w:rPr>
          <w:rFonts w:ascii="Arial" w:hAnsi="Arial" w:cs="Arial"/>
          <w:b/>
          <w:bCs/>
          <w:color w:val="4A4A4A"/>
          <w:sz w:val="21"/>
          <w:szCs w:val="21"/>
          <w:shd w:val="clear" w:color="auto" w:fill="F6FBF0"/>
        </w:rPr>
      </w:pPr>
      <w:r>
        <w:rPr>
          <w:rFonts w:ascii="Arial" w:hAnsi="Arial" w:cs="Arial"/>
          <w:b/>
          <w:bCs/>
          <w:color w:val="4A4A4A"/>
          <w:sz w:val="21"/>
          <w:szCs w:val="21"/>
          <w:shd w:val="clear" w:color="auto" w:fill="F6FBF0"/>
        </w:rPr>
        <w:t>$ Average after-tax family income</w:t>
      </w:r>
    </w:p>
    <w:p w14:paraId="59F45379" w14:textId="1ACB55DB" w:rsidR="00285110" w:rsidRDefault="00285110">
      <w:pPr>
        <w:rPr>
          <w:rFonts w:ascii="Arial" w:hAnsi="Arial" w:cs="Arial"/>
          <w:color w:val="777777"/>
          <w:sz w:val="19"/>
          <w:szCs w:val="19"/>
          <w:shd w:val="clear" w:color="auto" w:fill="F6FBF0"/>
        </w:rPr>
      </w:pPr>
      <w:r>
        <w:rPr>
          <w:rFonts w:ascii="Arial" w:hAnsi="Arial" w:cs="Arial"/>
          <w:color w:val="777777"/>
          <w:sz w:val="19"/>
          <w:szCs w:val="19"/>
          <w:shd w:val="clear" w:color="auto" w:fill="F6FBF0"/>
        </w:rPr>
        <w:t>For Reference Period 2011: Average (mean) After-tax Family Income in $,</w:t>
      </w:r>
    </w:p>
    <w:p w14:paraId="05A97446" w14:textId="50DE605E" w:rsidR="00783BFA" w:rsidRDefault="00783BFA">
      <w:pPr>
        <w:rPr>
          <w:rFonts w:ascii="Arial" w:hAnsi="Arial" w:cs="Arial"/>
          <w:color w:val="777777"/>
          <w:sz w:val="19"/>
          <w:szCs w:val="19"/>
          <w:shd w:val="clear" w:color="auto" w:fill="F6FBF0"/>
        </w:rPr>
      </w:pPr>
    </w:p>
    <w:p w14:paraId="7E23E62A" w14:textId="40F5487B" w:rsidR="00783BFA" w:rsidRDefault="00783BFA">
      <w:pPr>
        <w:rPr>
          <w:rFonts w:ascii="Arial" w:hAnsi="Arial" w:cs="Arial"/>
          <w:color w:val="777777"/>
          <w:sz w:val="19"/>
          <w:szCs w:val="19"/>
          <w:shd w:val="clear" w:color="auto" w:fill="F6FBF0"/>
        </w:rPr>
      </w:pPr>
      <w:r>
        <w:rPr>
          <w:rFonts w:ascii="Arial" w:hAnsi="Arial" w:cs="Arial"/>
          <w:color w:val="777777"/>
          <w:sz w:val="19"/>
          <w:szCs w:val="19"/>
          <w:shd w:val="clear" w:color="auto" w:fill="F6FBF0"/>
        </w:rPr>
        <w:t>After-Tax Household Income</w:t>
      </w:r>
    </w:p>
    <w:p w14:paraId="1CEA6B35" w14:textId="033EDD0E" w:rsidR="00783BFA" w:rsidRDefault="00783BFA">
      <w:pPr>
        <w:rPr>
          <w:rFonts w:ascii="Arial" w:hAnsi="Arial" w:cs="Arial"/>
          <w:color w:val="777777"/>
          <w:sz w:val="19"/>
          <w:szCs w:val="19"/>
          <w:shd w:val="clear" w:color="auto" w:fill="F6FBF0"/>
        </w:rPr>
      </w:pPr>
      <w:r>
        <w:rPr>
          <w:rFonts w:ascii="Arial" w:hAnsi="Arial" w:cs="Arial"/>
          <w:color w:val="777777"/>
          <w:sz w:val="19"/>
          <w:szCs w:val="19"/>
          <w:shd w:val="clear" w:color="auto" w:fill="F6FBF0"/>
        </w:rPr>
        <w:t xml:space="preserve">Median Private Household Income </w:t>
      </w:r>
      <w:proofErr w:type="gramStart"/>
      <w:r>
        <w:rPr>
          <w:rFonts w:ascii="Arial" w:hAnsi="Arial" w:cs="Arial"/>
          <w:color w:val="777777"/>
          <w:sz w:val="19"/>
          <w:szCs w:val="19"/>
          <w:shd w:val="clear" w:color="auto" w:fill="F6FBF0"/>
        </w:rPr>
        <w:t>after-Tax</w:t>
      </w:r>
      <w:proofErr w:type="gramEnd"/>
    </w:p>
    <w:p w14:paraId="1DB3205B" w14:textId="7BECF45C" w:rsidR="00783BFA" w:rsidRDefault="00783BFA">
      <w:pPr>
        <w:rPr>
          <w:rFonts w:ascii="Arial" w:hAnsi="Arial" w:cs="Arial"/>
          <w:color w:val="777777"/>
          <w:sz w:val="19"/>
          <w:szCs w:val="19"/>
          <w:shd w:val="clear" w:color="auto" w:fill="F6FBF0"/>
        </w:rPr>
      </w:pPr>
    </w:p>
    <w:p w14:paraId="4C677232" w14:textId="3FB8753B" w:rsidR="00783BFA" w:rsidRDefault="00783BFA">
      <w:pPr>
        <w:rPr>
          <w:rFonts w:ascii="Arial" w:hAnsi="Arial" w:cs="Arial"/>
          <w:color w:val="777777"/>
          <w:sz w:val="19"/>
          <w:szCs w:val="19"/>
          <w:shd w:val="clear" w:color="auto" w:fill="F6FBF0"/>
        </w:rPr>
      </w:pPr>
      <w:r>
        <w:rPr>
          <w:rFonts w:ascii="Arial" w:hAnsi="Arial" w:cs="Arial"/>
          <w:color w:val="777777"/>
          <w:sz w:val="19"/>
          <w:szCs w:val="19"/>
          <w:shd w:val="clear" w:color="auto" w:fill="F6FBF0"/>
        </w:rPr>
        <w:t>Pre-Tax Household Income</w:t>
      </w:r>
    </w:p>
    <w:p w14:paraId="22762C95" w14:textId="7A02BA87" w:rsidR="00783BFA" w:rsidRDefault="00783BFA">
      <w:pPr>
        <w:rPr>
          <w:rFonts w:ascii="Arial" w:hAnsi="Arial" w:cs="Arial"/>
          <w:color w:val="777777"/>
          <w:sz w:val="19"/>
          <w:szCs w:val="19"/>
          <w:shd w:val="clear" w:color="auto" w:fill="F6FBF0"/>
        </w:rPr>
      </w:pPr>
      <w:r>
        <w:rPr>
          <w:rFonts w:ascii="Arial" w:hAnsi="Arial" w:cs="Arial"/>
          <w:color w:val="777777"/>
          <w:sz w:val="19"/>
          <w:szCs w:val="19"/>
          <w:shd w:val="clear" w:color="auto" w:fill="F6FBF0"/>
        </w:rPr>
        <w:t>Median Private Household Income Before-Tax</w:t>
      </w:r>
    </w:p>
    <w:p w14:paraId="55BAC201" w14:textId="78B18F07" w:rsidR="00EB6121" w:rsidRDefault="00EB6121">
      <w:pPr>
        <w:rPr>
          <w:rFonts w:ascii="Arial" w:hAnsi="Arial" w:cs="Arial"/>
          <w:color w:val="777777"/>
          <w:sz w:val="19"/>
          <w:szCs w:val="19"/>
          <w:shd w:val="clear" w:color="auto" w:fill="F6FBF0"/>
        </w:rPr>
      </w:pPr>
    </w:p>
    <w:p w14:paraId="4A93671C" w14:textId="77777777" w:rsidR="00EB6121" w:rsidRPr="00EB6121" w:rsidRDefault="00EB6121" w:rsidP="00EB6121">
      <w:pPr>
        <w:shd w:val="clear" w:color="auto" w:fill="F6FBF0"/>
        <w:spacing w:after="90" w:line="240" w:lineRule="auto"/>
        <w:textAlignment w:val="baseline"/>
        <w:rPr>
          <w:rFonts w:ascii="Arial" w:eastAsia="Times New Roman" w:hAnsi="Arial" w:cs="Arial"/>
          <w:b/>
          <w:bCs/>
          <w:color w:val="4A4A4A"/>
          <w:sz w:val="26"/>
          <w:szCs w:val="26"/>
          <w:lang w:val="en-US"/>
        </w:rPr>
      </w:pPr>
      <w:r w:rsidRPr="00EB6121">
        <w:rPr>
          <w:rFonts w:ascii="Arial" w:eastAsia="Times New Roman" w:hAnsi="Arial" w:cs="Arial"/>
          <w:b/>
          <w:bCs/>
          <w:color w:val="4A4A4A"/>
          <w:sz w:val="26"/>
          <w:szCs w:val="26"/>
          <w:lang w:val="en-US"/>
        </w:rPr>
        <w:t xml:space="preserve">All-Sectors Total Part-Time Employment by </w:t>
      </w:r>
      <w:proofErr w:type="spellStart"/>
      <w:r w:rsidRPr="00EB6121">
        <w:rPr>
          <w:rFonts w:ascii="Arial" w:eastAsia="Times New Roman" w:hAnsi="Arial" w:cs="Arial"/>
          <w:b/>
          <w:bCs/>
          <w:color w:val="4A4A4A"/>
          <w:sz w:val="26"/>
          <w:szCs w:val="26"/>
          <w:lang w:val="en-US"/>
        </w:rPr>
        <w:t>Neighbourhood</w:t>
      </w:r>
      <w:proofErr w:type="spellEnd"/>
    </w:p>
    <w:p w14:paraId="13E76C73" w14:textId="77777777" w:rsidR="00EB6121" w:rsidRPr="00EB6121" w:rsidRDefault="00EB6121" w:rsidP="00EB6121">
      <w:pPr>
        <w:shd w:val="clear" w:color="auto" w:fill="F6FBF0"/>
        <w:spacing w:after="0" w:line="240" w:lineRule="auto"/>
        <w:textAlignment w:val="baseline"/>
        <w:rPr>
          <w:rFonts w:ascii="Arial" w:eastAsia="Times New Roman" w:hAnsi="Arial" w:cs="Arial"/>
          <w:color w:val="777777"/>
          <w:sz w:val="19"/>
          <w:szCs w:val="19"/>
          <w:lang w:val="en-US"/>
        </w:rPr>
      </w:pPr>
      <w:r w:rsidRPr="00EB6121">
        <w:rPr>
          <w:rFonts w:ascii="Arial" w:eastAsia="Times New Roman" w:hAnsi="Arial" w:cs="Arial"/>
          <w:color w:val="777777"/>
          <w:sz w:val="19"/>
          <w:szCs w:val="19"/>
          <w:lang w:val="en-US"/>
        </w:rPr>
        <w:t>Part-time local employment (defined as working less than 30 hours per week) from the Toronto Employment Survey 2014</w:t>
      </w:r>
    </w:p>
    <w:p w14:paraId="4EC90A9C" w14:textId="303831FF" w:rsidR="00EB6121" w:rsidRDefault="00EB6121">
      <w:pPr>
        <w:rPr>
          <w:lang w:val="en-US"/>
        </w:rPr>
      </w:pPr>
    </w:p>
    <w:p w14:paraId="0DE3260E" w14:textId="6FFBAD07" w:rsidR="00EB6121" w:rsidRPr="00EB6121" w:rsidRDefault="00C763B4" w:rsidP="00EB6121">
      <w:pPr>
        <w:shd w:val="clear" w:color="auto" w:fill="F6FBF0"/>
        <w:spacing w:after="90" w:line="240" w:lineRule="auto"/>
        <w:textAlignment w:val="baseline"/>
        <w:rPr>
          <w:rFonts w:ascii="Arial" w:eastAsia="Times New Roman" w:hAnsi="Arial" w:cs="Arial"/>
          <w:b/>
          <w:bCs/>
          <w:color w:val="4A4A4A"/>
          <w:sz w:val="26"/>
          <w:szCs w:val="26"/>
          <w:lang w:val="en-US"/>
        </w:rPr>
      </w:pPr>
      <w:proofErr w:type="spellStart"/>
      <w:r>
        <w:rPr>
          <w:rFonts w:ascii="Arial" w:eastAsia="Times New Roman" w:hAnsi="Arial" w:cs="Arial"/>
          <w:b/>
          <w:bCs/>
          <w:color w:val="4A4A4A"/>
          <w:sz w:val="26"/>
          <w:szCs w:val="26"/>
          <w:lang w:val="en-US"/>
        </w:rPr>
        <w:t>T</w:t>
      </w:r>
      <w:r w:rsidRPr="00D8558C">
        <w:rPr>
          <w:rFonts w:ascii="Arial" w:eastAsia="Times New Roman" w:hAnsi="Arial" w:cs="Arial"/>
          <w:b/>
          <w:bCs/>
          <w:color w:val="4A4A4A"/>
          <w:sz w:val="26"/>
          <w:szCs w:val="26"/>
          <w:lang w:val="en-US"/>
        </w:rPr>
        <w:t>axfiler</w:t>
      </w:r>
      <w:proofErr w:type="spellEnd"/>
      <w:r w:rsidRPr="00D8558C">
        <w:rPr>
          <w:rFonts w:ascii="Arial" w:eastAsia="Times New Roman" w:hAnsi="Arial" w:cs="Arial"/>
          <w:b/>
          <w:bCs/>
          <w:color w:val="4A4A4A"/>
          <w:sz w:val="26"/>
          <w:szCs w:val="26"/>
          <w:lang w:val="en-US"/>
        </w:rPr>
        <w:t xml:space="preserve"> </w:t>
      </w:r>
      <w:r w:rsidR="00EB6121" w:rsidRPr="00EB6121">
        <w:rPr>
          <w:rFonts w:ascii="Arial" w:eastAsia="Times New Roman" w:hAnsi="Arial" w:cs="Arial"/>
          <w:b/>
          <w:bCs/>
          <w:color w:val="4A4A4A"/>
          <w:sz w:val="26"/>
          <w:szCs w:val="26"/>
          <w:lang w:val="en-US"/>
        </w:rPr>
        <w:t>All Low-Income Families &amp; Non-Family Persons, Grand Total 2012</w:t>
      </w:r>
    </w:p>
    <w:p w14:paraId="5E37A3ED" w14:textId="77777777" w:rsidR="00EB6121" w:rsidRPr="00EB6121" w:rsidRDefault="00EB6121" w:rsidP="00EB6121">
      <w:pPr>
        <w:shd w:val="clear" w:color="auto" w:fill="F6FBF0"/>
        <w:spacing w:after="0" w:line="240" w:lineRule="auto"/>
        <w:textAlignment w:val="baseline"/>
        <w:rPr>
          <w:rFonts w:ascii="Arial" w:eastAsia="Times New Roman" w:hAnsi="Arial" w:cs="Arial"/>
          <w:color w:val="777777"/>
          <w:sz w:val="19"/>
          <w:szCs w:val="19"/>
          <w:lang w:val="en-US"/>
        </w:rPr>
      </w:pPr>
      <w:r w:rsidRPr="00EB6121">
        <w:rPr>
          <w:rFonts w:ascii="Arial" w:eastAsia="Times New Roman" w:hAnsi="Arial" w:cs="Arial"/>
          <w:color w:val="777777"/>
          <w:sz w:val="19"/>
          <w:szCs w:val="19"/>
          <w:lang w:val="en-US"/>
        </w:rPr>
        <w:t xml:space="preserve">Describes all low-income census families and non-family persons based on the Low-Income Measure After Tax (LIM-AT) and using </w:t>
      </w:r>
      <w:proofErr w:type="spellStart"/>
      <w:r w:rsidRPr="00EB6121">
        <w:rPr>
          <w:rFonts w:ascii="Arial" w:eastAsia="Times New Roman" w:hAnsi="Arial" w:cs="Arial"/>
          <w:color w:val="777777"/>
          <w:sz w:val="19"/>
          <w:szCs w:val="19"/>
          <w:lang w:val="en-US"/>
        </w:rPr>
        <w:t>Taxfiler</w:t>
      </w:r>
      <w:proofErr w:type="spellEnd"/>
      <w:r w:rsidRPr="00EB6121">
        <w:rPr>
          <w:rFonts w:ascii="Arial" w:eastAsia="Times New Roman" w:hAnsi="Arial" w:cs="Arial"/>
          <w:color w:val="777777"/>
          <w:sz w:val="19"/>
          <w:szCs w:val="19"/>
          <w:lang w:val="en-US"/>
        </w:rPr>
        <w:t xml:space="preserve"> data (T1FF),</w:t>
      </w:r>
    </w:p>
    <w:p w14:paraId="76E2E2A5" w14:textId="22BAD5AB" w:rsidR="00EB6121" w:rsidRDefault="00EB6121">
      <w:pPr>
        <w:rPr>
          <w:lang w:val="en-US"/>
        </w:rPr>
      </w:pPr>
    </w:p>
    <w:p w14:paraId="45906582" w14:textId="4579ABCF" w:rsidR="00D8558C" w:rsidRPr="00D8558C" w:rsidRDefault="00C763B4" w:rsidP="00D8558C">
      <w:pPr>
        <w:shd w:val="clear" w:color="auto" w:fill="F6FBF0"/>
        <w:spacing w:after="90" w:line="240" w:lineRule="auto"/>
        <w:textAlignment w:val="baseline"/>
        <w:rPr>
          <w:rFonts w:ascii="Arial" w:eastAsia="Times New Roman" w:hAnsi="Arial" w:cs="Arial"/>
          <w:b/>
          <w:bCs/>
          <w:color w:val="4A4A4A"/>
          <w:sz w:val="26"/>
          <w:szCs w:val="26"/>
          <w:lang w:val="en-US"/>
        </w:rPr>
      </w:pPr>
      <w:proofErr w:type="spellStart"/>
      <w:r>
        <w:rPr>
          <w:rFonts w:ascii="Arial" w:eastAsia="Times New Roman" w:hAnsi="Arial" w:cs="Arial"/>
          <w:b/>
          <w:bCs/>
          <w:color w:val="4A4A4A"/>
          <w:sz w:val="26"/>
          <w:szCs w:val="26"/>
          <w:lang w:val="en-US"/>
        </w:rPr>
        <w:t>T</w:t>
      </w:r>
      <w:r w:rsidR="00D8558C" w:rsidRPr="00D8558C">
        <w:rPr>
          <w:rFonts w:ascii="Arial" w:eastAsia="Times New Roman" w:hAnsi="Arial" w:cs="Arial"/>
          <w:b/>
          <w:bCs/>
          <w:color w:val="4A4A4A"/>
          <w:sz w:val="26"/>
          <w:szCs w:val="26"/>
          <w:lang w:val="en-US"/>
        </w:rPr>
        <w:t>axfiler</w:t>
      </w:r>
      <w:proofErr w:type="spellEnd"/>
      <w:r w:rsidR="00D8558C" w:rsidRPr="00D8558C">
        <w:rPr>
          <w:rFonts w:ascii="Arial" w:eastAsia="Times New Roman" w:hAnsi="Arial" w:cs="Arial"/>
          <w:b/>
          <w:bCs/>
          <w:color w:val="4A4A4A"/>
          <w:sz w:val="26"/>
          <w:szCs w:val="26"/>
          <w:lang w:val="en-US"/>
        </w:rPr>
        <w:t xml:space="preserve"> All Lone Parent Families, Grand Total 2012</w:t>
      </w:r>
    </w:p>
    <w:p w14:paraId="4F9306D0" w14:textId="77777777" w:rsidR="00D8558C" w:rsidRPr="00D8558C" w:rsidRDefault="00D8558C" w:rsidP="00D8558C">
      <w:pPr>
        <w:shd w:val="clear" w:color="auto" w:fill="F6FBF0"/>
        <w:spacing w:after="0" w:line="240" w:lineRule="auto"/>
        <w:textAlignment w:val="baseline"/>
        <w:rPr>
          <w:rFonts w:ascii="Arial" w:eastAsia="Times New Roman" w:hAnsi="Arial" w:cs="Arial"/>
          <w:color w:val="777777"/>
          <w:sz w:val="19"/>
          <w:szCs w:val="19"/>
          <w:lang w:val="en-US"/>
        </w:rPr>
      </w:pPr>
      <w:r w:rsidRPr="00D8558C">
        <w:rPr>
          <w:rFonts w:ascii="Arial" w:eastAsia="Times New Roman" w:hAnsi="Arial" w:cs="Arial"/>
          <w:color w:val="777777"/>
          <w:sz w:val="19"/>
          <w:szCs w:val="19"/>
          <w:lang w:val="en-US"/>
        </w:rPr>
        <w:t xml:space="preserve">Describes all lone parent families using </w:t>
      </w:r>
      <w:proofErr w:type="spellStart"/>
      <w:r w:rsidRPr="00D8558C">
        <w:rPr>
          <w:rFonts w:ascii="Arial" w:eastAsia="Times New Roman" w:hAnsi="Arial" w:cs="Arial"/>
          <w:color w:val="777777"/>
          <w:sz w:val="19"/>
          <w:szCs w:val="19"/>
          <w:lang w:val="en-US"/>
        </w:rPr>
        <w:t>Taxfiler</w:t>
      </w:r>
      <w:proofErr w:type="spellEnd"/>
      <w:r w:rsidRPr="00D8558C">
        <w:rPr>
          <w:rFonts w:ascii="Arial" w:eastAsia="Times New Roman" w:hAnsi="Arial" w:cs="Arial"/>
          <w:color w:val="777777"/>
          <w:sz w:val="19"/>
          <w:szCs w:val="19"/>
          <w:lang w:val="en-US"/>
        </w:rPr>
        <w:t xml:space="preserve"> data (T1FF), 2012 from Statistics Canada</w:t>
      </w:r>
    </w:p>
    <w:p w14:paraId="74A3CED2" w14:textId="4E817683" w:rsidR="00D8558C" w:rsidRDefault="00D8558C">
      <w:pPr>
        <w:rPr>
          <w:lang w:val="en-US"/>
        </w:rPr>
      </w:pPr>
    </w:p>
    <w:p w14:paraId="47C09C77" w14:textId="77777777" w:rsidR="008C4CF3" w:rsidRPr="008C4CF3" w:rsidRDefault="008C4CF3" w:rsidP="008C4CF3">
      <w:pPr>
        <w:shd w:val="clear" w:color="auto" w:fill="F6FBF0"/>
        <w:spacing w:after="90" w:line="240" w:lineRule="auto"/>
        <w:textAlignment w:val="baseline"/>
        <w:rPr>
          <w:rFonts w:ascii="Arial" w:eastAsia="Times New Roman" w:hAnsi="Arial" w:cs="Arial"/>
          <w:b/>
          <w:bCs/>
          <w:color w:val="4A4A4A"/>
          <w:sz w:val="26"/>
          <w:szCs w:val="26"/>
          <w:lang w:val="en-US"/>
        </w:rPr>
      </w:pPr>
      <w:proofErr w:type="spellStart"/>
      <w:r w:rsidRPr="008C4CF3">
        <w:rPr>
          <w:rFonts w:ascii="Arial" w:eastAsia="Times New Roman" w:hAnsi="Arial" w:cs="Arial"/>
          <w:b/>
          <w:bCs/>
          <w:color w:val="4A4A4A"/>
          <w:sz w:val="26"/>
          <w:szCs w:val="26"/>
          <w:lang w:val="en-US"/>
        </w:rPr>
        <w:t>Taxfiler</w:t>
      </w:r>
      <w:proofErr w:type="spellEnd"/>
      <w:r w:rsidRPr="008C4CF3">
        <w:rPr>
          <w:rFonts w:ascii="Arial" w:eastAsia="Times New Roman" w:hAnsi="Arial" w:cs="Arial"/>
          <w:b/>
          <w:bCs/>
          <w:color w:val="4A4A4A"/>
          <w:sz w:val="26"/>
          <w:szCs w:val="26"/>
          <w:lang w:val="en-US"/>
        </w:rPr>
        <w:t xml:space="preserve"> All Persons in Low Income Families &amp; Non-Family Persons, Grand Total 2012</w:t>
      </w:r>
    </w:p>
    <w:p w14:paraId="433F5C6B" w14:textId="77777777" w:rsidR="008C4CF3" w:rsidRPr="008C4CF3" w:rsidRDefault="008C4CF3" w:rsidP="008C4CF3">
      <w:pPr>
        <w:shd w:val="clear" w:color="auto" w:fill="F6FBF0"/>
        <w:spacing w:after="0" w:line="240" w:lineRule="auto"/>
        <w:textAlignment w:val="baseline"/>
        <w:rPr>
          <w:rFonts w:ascii="Arial" w:eastAsia="Times New Roman" w:hAnsi="Arial" w:cs="Arial"/>
          <w:color w:val="777777"/>
          <w:sz w:val="19"/>
          <w:szCs w:val="19"/>
          <w:lang w:val="en-US"/>
        </w:rPr>
      </w:pPr>
      <w:r w:rsidRPr="008C4CF3">
        <w:rPr>
          <w:rFonts w:ascii="Arial" w:eastAsia="Times New Roman" w:hAnsi="Arial" w:cs="Arial"/>
          <w:color w:val="777777"/>
          <w:sz w:val="19"/>
          <w:szCs w:val="19"/>
          <w:lang w:val="en-US"/>
        </w:rPr>
        <w:t xml:space="preserve">Describes all persons living in low-income census families and non-family persons based on the Low-Income Measure After Tax (LIM-AT) and using </w:t>
      </w:r>
      <w:proofErr w:type="spellStart"/>
      <w:r w:rsidRPr="008C4CF3">
        <w:rPr>
          <w:rFonts w:ascii="Arial" w:eastAsia="Times New Roman" w:hAnsi="Arial" w:cs="Arial"/>
          <w:color w:val="777777"/>
          <w:sz w:val="19"/>
          <w:szCs w:val="19"/>
          <w:lang w:val="en-US"/>
        </w:rPr>
        <w:t>Taxfiler</w:t>
      </w:r>
      <w:proofErr w:type="spellEnd"/>
      <w:r w:rsidRPr="008C4CF3">
        <w:rPr>
          <w:rFonts w:ascii="Arial" w:eastAsia="Times New Roman" w:hAnsi="Arial" w:cs="Arial"/>
          <w:color w:val="777777"/>
          <w:sz w:val="19"/>
          <w:szCs w:val="19"/>
          <w:lang w:val="en-US"/>
        </w:rPr>
        <w:t xml:space="preserve"> data (T1FF)</w:t>
      </w:r>
    </w:p>
    <w:p w14:paraId="57AC6D95" w14:textId="239A7ABF" w:rsidR="008C4CF3" w:rsidRDefault="008C4CF3">
      <w:pPr>
        <w:rPr>
          <w:lang w:val="en-US"/>
        </w:rPr>
      </w:pPr>
    </w:p>
    <w:p w14:paraId="7408A905" w14:textId="77777777" w:rsidR="00C31743" w:rsidRPr="00C31743" w:rsidRDefault="00C31743" w:rsidP="00C31743">
      <w:pPr>
        <w:shd w:val="clear" w:color="auto" w:fill="F6FBF0"/>
        <w:spacing w:after="90" w:line="240" w:lineRule="auto"/>
        <w:textAlignment w:val="baseline"/>
        <w:rPr>
          <w:rFonts w:ascii="Arial" w:eastAsia="Times New Roman" w:hAnsi="Arial" w:cs="Arial"/>
          <w:b/>
          <w:bCs/>
          <w:color w:val="4A4A4A"/>
          <w:sz w:val="26"/>
          <w:szCs w:val="26"/>
          <w:lang w:val="en-US"/>
        </w:rPr>
      </w:pPr>
      <w:r w:rsidRPr="00C31743">
        <w:rPr>
          <w:rFonts w:ascii="Arial" w:eastAsia="Times New Roman" w:hAnsi="Arial" w:cs="Arial"/>
          <w:b/>
          <w:bCs/>
          <w:color w:val="4A4A4A"/>
          <w:sz w:val="26"/>
          <w:szCs w:val="26"/>
          <w:lang w:val="en-US"/>
        </w:rPr>
        <w:lastRenderedPageBreak/>
        <w:t>Early Development Instrument (EDI)</w:t>
      </w:r>
    </w:p>
    <w:p w14:paraId="0B491D61" w14:textId="77777777" w:rsidR="00C31743" w:rsidRPr="00C31743" w:rsidRDefault="00C31743" w:rsidP="00C31743">
      <w:pPr>
        <w:shd w:val="clear" w:color="auto" w:fill="F6FBF0"/>
        <w:spacing w:after="0" w:line="240" w:lineRule="auto"/>
        <w:textAlignment w:val="baseline"/>
        <w:rPr>
          <w:rFonts w:ascii="Arial" w:eastAsia="Times New Roman" w:hAnsi="Arial" w:cs="Arial"/>
          <w:color w:val="777777"/>
          <w:sz w:val="19"/>
          <w:szCs w:val="19"/>
          <w:lang w:val="en-US"/>
        </w:rPr>
      </w:pPr>
      <w:r w:rsidRPr="00C31743">
        <w:rPr>
          <w:rFonts w:ascii="Arial" w:eastAsia="Times New Roman" w:hAnsi="Arial" w:cs="Arial"/>
          <w:color w:val="777777"/>
          <w:sz w:val="19"/>
          <w:szCs w:val="19"/>
          <w:lang w:val="en-US"/>
        </w:rPr>
        <w:t xml:space="preserve">Early Development Instrument (EDI) indicates the proportion of participants who scored low on 2 or more domains (data for 3 years). Data is current to 2016 inside the Wellbeing Toronto 2014 Reference Period dropdown. The Early Development Instrument (EDI) is a population-based measure of children's ability to meet age-appropriate developmental expectations. On the Wellbeing Toronto map, higher numbers for this indicator (shown with more red/brown </w:t>
      </w:r>
      <w:proofErr w:type="spellStart"/>
      <w:r w:rsidRPr="00C31743">
        <w:rPr>
          <w:rFonts w:ascii="Arial" w:eastAsia="Times New Roman" w:hAnsi="Arial" w:cs="Arial"/>
          <w:color w:val="777777"/>
          <w:sz w:val="19"/>
          <w:szCs w:val="19"/>
          <w:lang w:val="en-US"/>
        </w:rPr>
        <w:t>colours</w:t>
      </w:r>
      <w:proofErr w:type="spellEnd"/>
      <w:r w:rsidRPr="00C31743">
        <w:rPr>
          <w:rFonts w:ascii="Arial" w:eastAsia="Times New Roman" w:hAnsi="Arial" w:cs="Arial"/>
          <w:color w:val="777777"/>
          <w:sz w:val="19"/>
          <w:szCs w:val="19"/>
          <w:lang w:val="en-US"/>
        </w:rPr>
        <w:t xml:space="preserve"> by default) show worse results; lower numbers (shown with </w:t>
      </w:r>
      <w:proofErr w:type="gramStart"/>
      <w:r w:rsidRPr="00C31743">
        <w:rPr>
          <w:rFonts w:ascii="Arial" w:eastAsia="Times New Roman" w:hAnsi="Arial" w:cs="Arial"/>
          <w:color w:val="777777"/>
          <w:sz w:val="19"/>
          <w:szCs w:val="19"/>
          <w:lang w:val="en-US"/>
        </w:rPr>
        <w:t>more pale</w:t>
      </w:r>
      <w:proofErr w:type="gramEnd"/>
      <w:r w:rsidRPr="00C31743">
        <w:rPr>
          <w:rFonts w:ascii="Arial" w:eastAsia="Times New Roman" w:hAnsi="Arial" w:cs="Arial"/>
          <w:color w:val="777777"/>
          <w:sz w:val="19"/>
          <w:szCs w:val="19"/>
          <w:lang w:val="en-US"/>
        </w:rPr>
        <w:t xml:space="preserve">/cream </w:t>
      </w:r>
      <w:proofErr w:type="spellStart"/>
      <w:r w:rsidRPr="00C31743">
        <w:rPr>
          <w:rFonts w:ascii="Arial" w:eastAsia="Times New Roman" w:hAnsi="Arial" w:cs="Arial"/>
          <w:color w:val="777777"/>
          <w:sz w:val="19"/>
          <w:szCs w:val="19"/>
          <w:lang w:val="en-US"/>
        </w:rPr>
        <w:t>colours</w:t>
      </w:r>
      <w:proofErr w:type="spellEnd"/>
      <w:r w:rsidRPr="00C31743">
        <w:rPr>
          <w:rFonts w:ascii="Arial" w:eastAsia="Times New Roman" w:hAnsi="Arial" w:cs="Arial"/>
          <w:color w:val="777777"/>
          <w:sz w:val="19"/>
          <w:szCs w:val="19"/>
          <w:lang w:val="en-US"/>
        </w:rPr>
        <w:t xml:space="preserve">) show better results. Learn more about the Early Development Instrument by clicking on the More Info link below. </w:t>
      </w:r>
    </w:p>
    <w:p w14:paraId="7863C9E0" w14:textId="238DF56B" w:rsidR="00C31743" w:rsidRDefault="00C31743">
      <w:pPr>
        <w:rPr>
          <w:lang w:val="en-US"/>
        </w:rPr>
      </w:pPr>
    </w:p>
    <w:p w14:paraId="7CF494F4" w14:textId="77777777" w:rsidR="00843F46" w:rsidRPr="00843F46" w:rsidRDefault="00843F46" w:rsidP="00843F46">
      <w:pPr>
        <w:shd w:val="clear" w:color="auto" w:fill="F6FBF0"/>
        <w:spacing w:after="90" w:line="240" w:lineRule="auto"/>
        <w:textAlignment w:val="baseline"/>
        <w:rPr>
          <w:rFonts w:ascii="Arial" w:eastAsia="Times New Roman" w:hAnsi="Arial" w:cs="Arial"/>
          <w:b/>
          <w:bCs/>
          <w:color w:val="4A4A4A"/>
          <w:sz w:val="26"/>
          <w:szCs w:val="26"/>
          <w:lang w:val="en-US"/>
        </w:rPr>
      </w:pPr>
      <w:r w:rsidRPr="00843F46">
        <w:rPr>
          <w:rFonts w:ascii="Arial" w:eastAsia="Times New Roman" w:hAnsi="Arial" w:cs="Arial"/>
          <w:b/>
          <w:bCs/>
          <w:color w:val="4A4A4A"/>
          <w:sz w:val="26"/>
          <w:szCs w:val="26"/>
          <w:lang w:val="en-US"/>
        </w:rPr>
        <w:t>Seniors in Private Households Living Alone (age 65+)</w:t>
      </w:r>
    </w:p>
    <w:p w14:paraId="4E034170" w14:textId="77777777" w:rsidR="00843F46" w:rsidRPr="00843F46" w:rsidRDefault="00843F46" w:rsidP="00843F46">
      <w:pPr>
        <w:shd w:val="clear" w:color="auto" w:fill="F6FBF0"/>
        <w:spacing w:after="0" w:line="240" w:lineRule="auto"/>
        <w:textAlignment w:val="baseline"/>
        <w:rPr>
          <w:rFonts w:ascii="Arial" w:eastAsia="Times New Roman" w:hAnsi="Arial" w:cs="Arial"/>
          <w:color w:val="777777"/>
          <w:sz w:val="19"/>
          <w:szCs w:val="19"/>
          <w:lang w:val="en-US"/>
        </w:rPr>
      </w:pPr>
      <w:r w:rsidRPr="00843F46">
        <w:rPr>
          <w:rFonts w:ascii="Arial" w:eastAsia="Times New Roman" w:hAnsi="Arial" w:cs="Arial"/>
          <w:color w:val="777777"/>
          <w:sz w:val="19"/>
          <w:szCs w:val="19"/>
          <w:lang w:val="en-US"/>
        </w:rPr>
        <w:t xml:space="preserve">2016 Census of Population - Socio-Demographic Variables (Population in Private Households - Living Alone and Activities of Daily Living) - City of Toronto </w:t>
      </w:r>
      <w:proofErr w:type="spellStart"/>
      <w:r w:rsidRPr="00843F46">
        <w:rPr>
          <w:rFonts w:ascii="Arial" w:eastAsia="Times New Roman" w:hAnsi="Arial" w:cs="Arial"/>
          <w:color w:val="777777"/>
          <w:sz w:val="19"/>
          <w:szCs w:val="19"/>
          <w:lang w:val="en-US"/>
        </w:rPr>
        <w:t>Neighbourhoods.Difficulties</w:t>
      </w:r>
      <w:proofErr w:type="spellEnd"/>
      <w:r w:rsidRPr="00843F46">
        <w:rPr>
          <w:rFonts w:ascii="Arial" w:eastAsia="Times New Roman" w:hAnsi="Arial" w:cs="Arial"/>
          <w:color w:val="777777"/>
          <w:sz w:val="19"/>
          <w:szCs w:val="19"/>
          <w:lang w:val="en-US"/>
        </w:rPr>
        <w:t xml:space="preserve"> with Activities of Daily Living refers to Statistics Canada's classification of "difficulties a person may have doing certain activities as a result of physical, mental, or other health-related conditions or problems." It </w:t>
      </w:r>
      <w:proofErr w:type="gramStart"/>
      <w:r w:rsidRPr="00843F46">
        <w:rPr>
          <w:rFonts w:ascii="Arial" w:eastAsia="Times New Roman" w:hAnsi="Arial" w:cs="Arial"/>
          <w:color w:val="777777"/>
          <w:sz w:val="19"/>
          <w:szCs w:val="19"/>
          <w:lang w:val="en-US"/>
        </w:rPr>
        <w:t>includes:</w:t>
      </w:r>
      <w:proofErr w:type="gramEnd"/>
      <w:r w:rsidRPr="00843F46">
        <w:rPr>
          <w:rFonts w:ascii="Arial" w:eastAsia="Times New Roman" w:hAnsi="Arial" w:cs="Arial"/>
          <w:color w:val="777777"/>
          <w:sz w:val="19"/>
          <w:szCs w:val="19"/>
          <w:lang w:val="en-US"/>
        </w:rPr>
        <w:t xml:space="preserve"> seeing; hearing; using hands or fingers; walking or using stairs; difficulty concentrating, remembering or learning; and emotional, </w:t>
      </w:r>
      <w:proofErr w:type="spellStart"/>
      <w:r w:rsidRPr="00843F46">
        <w:rPr>
          <w:rFonts w:ascii="Arial" w:eastAsia="Times New Roman" w:hAnsi="Arial" w:cs="Arial"/>
          <w:color w:val="777777"/>
          <w:sz w:val="19"/>
          <w:szCs w:val="19"/>
          <w:lang w:val="en-US"/>
        </w:rPr>
        <w:t>phychological</w:t>
      </w:r>
      <w:proofErr w:type="spellEnd"/>
      <w:r w:rsidRPr="00843F46">
        <w:rPr>
          <w:rFonts w:ascii="Arial" w:eastAsia="Times New Roman" w:hAnsi="Arial" w:cs="Arial"/>
          <w:color w:val="777777"/>
          <w:sz w:val="19"/>
          <w:szCs w:val="19"/>
          <w:lang w:val="en-US"/>
        </w:rPr>
        <w:t xml:space="preserve"> or mental health conditions. Refer to Statistics Canada's website for additional explanation.</w:t>
      </w:r>
    </w:p>
    <w:p w14:paraId="180CD2C7" w14:textId="6DF235A2" w:rsidR="00843F46" w:rsidRDefault="00843F46">
      <w:pPr>
        <w:rPr>
          <w:lang w:val="en-US"/>
        </w:rPr>
      </w:pPr>
    </w:p>
    <w:p w14:paraId="04C2FA56" w14:textId="77777777" w:rsidR="009616F2" w:rsidRPr="009616F2" w:rsidRDefault="009616F2" w:rsidP="009616F2">
      <w:pPr>
        <w:shd w:val="clear" w:color="auto" w:fill="F6FBF0"/>
        <w:spacing w:after="90" w:line="240" w:lineRule="auto"/>
        <w:textAlignment w:val="baseline"/>
        <w:rPr>
          <w:rFonts w:ascii="Arial" w:eastAsia="Times New Roman" w:hAnsi="Arial" w:cs="Arial"/>
          <w:b/>
          <w:bCs/>
          <w:color w:val="4A4A4A"/>
          <w:sz w:val="26"/>
          <w:szCs w:val="26"/>
          <w:lang w:val="en-US"/>
        </w:rPr>
      </w:pPr>
      <w:r w:rsidRPr="009616F2">
        <w:rPr>
          <w:rFonts w:ascii="Arial" w:eastAsia="Times New Roman" w:hAnsi="Arial" w:cs="Arial"/>
          <w:b/>
          <w:bCs/>
          <w:color w:val="4A4A4A"/>
          <w:sz w:val="26"/>
          <w:szCs w:val="26"/>
          <w:lang w:val="en-US"/>
        </w:rPr>
        <w:t>Hospital Readmissions within 30 days for selected Inpatient Grouper (HIG) conditions</w:t>
      </w:r>
    </w:p>
    <w:p w14:paraId="470A75FB" w14:textId="77777777" w:rsidR="009616F2" w:rsidRPr="009616F2" w:rsidRDefault="009616F2" w:rsidP="009616F2">
      <w:pPr>
        <w:shd w:val="clear" w:color="auto" w:fill="F6FBF0"/>
        <w:spacing w:after="0" w:line="240" w:lineRule="auto"/>
        <w:textAlignment w:val="baseline"/>
        <w:rPr>
          <w:rFonts w:ascii="Arial" w:eastAsia="Times New Roman" w:hAnsi="Arial" w:cs="Arial"/>
          <w:color w:val="777777"/>
          <w:sz w:val="19"/>
          <w:szCs w:val="19"/>
          <w:lang w:val="en-US"/>
        </w:rPr>
      </w:pPr>
      <w:r w:rsidRPr="009616F2">
        <w:rPr>
          <w:rFonts w:ascii="Arial" w:eastAsia="Times New Roman" w:hAnsi="Arial" w:cs="Arial"/>
          <w:color w:val="777777"/>
          <w:sz w:val="19"/>
          <w:szCs w:val="19"/>
          <w:lang w:val="en-US"/>
        </w:rPr>
        <w:t>Hospital Readmissions within 30 days for selected Inpatient Grouper (HIG) conditions 2015/16 to 2016/17, rate ratio calculation, both sexes. Readmissions are calculated based on adopting the methodology used in ICES. Denominator: Total number of patients discharged from a hospital. Excludes patients of less than one year of age. Data source: Canadian Institute for Health Information (CIHI). Numerator: Number of readmissions to a hospital for urgent and emergent care within 30 days of discharge.</w:t>
      </w:r>
    </w:p>
    <w:p w14:paraId="000080CA" w14:textId="17371D93" w:rsidR="00843F46" w:rsidRDefault="00843F46">
      <w:pPr>
        <w:rPr>
          <w:lang w:val="en-US"/>
        </w:rPr>
      </w:pPr>
    </w:p>
    <w:p w14:paraId="06801ABC" w14:textId="77777777" w:rsidR="009C1830" w:rsidRPr="009C1830" w:rsidRDefault="009C1830" w:rsidP="009C1830">
      <w:pPr>
        <w:shd w:val="clear" w:color="auto" w:fill="F6FBF0"/>
        <w:spacing w:after="90" w:line="240" w:lineRule="auto"/>
        <w:textAlignment w:val="baseline"/>
        <w:rPr>
          <w:rFonts w:ascii="Arial" w:eastAsia="Times New Roman" w:hAnsi="Arial" w:cs="Arial"/>
          <w:b/>
          <w:bCs/>
          <w:color w:val="4A4A4A"/>
          <w:sz w:val="26"/>
          <w:szCs w:val="26"/>
          <w:lang w:val="en-US"/>
        </w:rPr>
      </w:pPr>
      <w:r w:rsidRPr="009C1830">
        <w:rPr>
          <w:rFonts w:ascii="Arial" w:eastAsia="Times New Roman" w:hAnsi="Arial" w:cs="Arial"/>
          <w:b/>
          <w:bCs/>
          <w:color w:val="4A4A4A"/>
          <w:sz w:val="26"/>
          <w:szCs w:val="26"/>
          <w:lang w:val="en-US"/>
        </w:rPr>
        <w:t>Modified Food Retail Environment Index</w:t>
      </w:r>
    </w:p>
    <w:p w14:paraId="7B8E446F" w14:textId="77777777" w:rsidR="009C1830" w:rsidRPr="009C1830" w:rsidRDefault="009C1830" w:rsidP="009C1830">
      <w:pPr>
        <w:shd w:val="clear" w:color="auto" w:fill="F6FBF0"/>
        <w:spacing w:after="0" w:line="240" w:lineRule="auto"/>
        <w:textAlignment w:val="baseline"/>
        <w:rPr>
          <w:rFonts w:ascii="Arial" w:eastAsia="Times New Roman" w:hAnsi="Arial" w:cs="Arial"/>
          <w:color w:val="777777"/>
          <w:sz w:val="19"/>
          <w:szCs w:val="19"/>
          <w:lang w:val="en-US"/>
        </w:rPr>
      </w:pPr>
      <w:r w:rsidRPr="009C1830">
        <w:rPr>
          <w:rFonts w:ascii="Arial" w:eastAsia="Times New Roman" w:hAnsi="Arial" w:cs="Arial"/>
          <w:color w:val="777777"/>
          <w:sz w:val="19"/>
          <w:szCs w:val="19"/>
          <w:lang w:val="en-US"/>
        </w:rPr>
        <w:t xml:space="preserve">The Modified Food Retail Environment Index represents the closeness of the population to healthy food retail establishments across the City. Lower scores (lighter </w:t>
      </w:r>
      <w:proofErr w:type="spellStart"/>
      <w:r w:rsidRPr="009C1830">
        <w:rPr>
          <w:rFonts w:ascii="Arial" w:eastAsia="Times New Roman" w:hAnsi="Arial" w:cs="Arial"/>
          <w:color w:val="777777"/>
          <w:sz w:val="19"/>
          <w:szCs w:val="19"/>
          <w:lang w:val="en-US"/>
        </w:rPr>
        <w:t>colours</w:t>
      </w:r>
      <w:proofErr w:type="spellEnd"/>
      <w:r w:rsidRPr="009C1830">
        <w:rPr>
          <w:rFonts w:ascii="Arial" w:eastAsia="Times New Roman" w:hAnsi="Arial" w:cs="Arial"/>
          <w:color w:val="777777"/>
          <w:sz w:val="19"/>
          <w:szCs w:val="19"/>
          <w:lang w:val="en-US"/>
        </w:rPr>
        <w:t xml:space="preserve"> on the map) indicate higher healthiness of the retail food environment. Higher scores (darker </w:t>
      </w:r>
      <w:proofErr w:type="spellStart"/>
      <w:r w:rsidRPr="009C1830">
        <w:rPr>
          <w:rFonts w:ascii="Arial" w:eastAsia="Times New Roman" w:hAnsi="Arial" w:cs="Arial"/>
          <w:color w:val="777777"/>
          <w:sz w:val="19"/>
          <w:szCs w:val="19"/>
          <w:lang w:val="en-US"/>
        </w:rPr>
        <w:t>colours</w:t>
      </w:r>
      <w:proofErr w:type="spellEnd"/>
      <w:r w:rsidRPr="009C1830">
        <w:rPr>
          <w:rFonts w:ascii="Arial" w:eastAsia="Times New Roman" w:hAnsi="Arial" w:cs="Arial"/>
          <w:color w:val="777777"/>
          <w:sz w:val="19"/>
          <w:szCs w:val="19"/>
          <w:lang w:val="en-US"/>
        </w:rPr>
        <w:t xml:space="preserve"> on the map) indicate a </w:t>
      </w:r>
      <w:proofErr w:type="gramStart"/>
      <w:r w:rsidRPr="009C1830">
        <w:rPr>
          <w:rFonts w:ascii="Arial" w:eastAsia="Times New Roman" w:hAnsi="Arial" w:cs="Arial"/>
          <w:color w:val="777777"/>
          <w:sz w:val="19"/>
          <w:szCs w:val="19"/>
          <w:lang w:val="en-US"/>
        </w:rPr>
        <w:t>more unhealthy</w:t>
      </w:r>
      <w:proofErr w:type="gramEnd"/>
      <w:r w:rsidRPr="009C1830">
        <w:rPr>
          <w:rFonts w:ascii="Arial" w:eastAsia="Times New Roman" w:hAnsi="Arial" w:cs="Arial"/>
          <w:color w:val="777777"/>
          <w:sz w:val="19"/>
          <w:szCs w:val="19"/>
          <w:lang w:val="en-US"/>
        </w:rPr>
        <w:t xml:space="preserve"> retail food environment. The MFREI is calculated by dividing the number of 'healthier food retail' establishments by the total number of food retail establishments, multiplied by 100. </w:t>
      </w:r>
    </w:p>
    <w:p w14:paraId="38763DF6" w14:textId="1BE441A0" w:rsidR="009C1830" w:rsidRDefault="009C1830">
      <w:pPr>
        <w:rPr>
          <w:lang w:val="en-US"/>
        </w:rPr>
      </w:pPr>
    </w:p>
    <w:p w14:paraId="3E64D339" w14:textId="77777777" w:rsidR="00A30E9A" w:rsidRPr="00A30E9A" w:rsidRDefault="00A30E9A" w:rsidP="00A30E9A">
      <w:pPr>
        <w:shd w:val="clear" w:color="auto" w:fill="F6FBF0"/>
        <w:spacing w:after="90" w:line="240" w:lineRule="auto"/>
        <w:textAlignment w:val="baseline"/>
        <w:rPr>
          <w:rFonts w:ascii="Arial" w:eastAsia="Times New Roman" w:hAnsi="Arial" w:cs="Arial"/>
          <w:b/>
          <w:bCs/>
          <w:color w:val="4A4A4A"/>
          <w:sz w:val="26"/>
          <w:szCs w:val="26"/>
          <w:lang w:val="en-US"/>
        </w:rPr>
      </w:pPr>
      <w:r w:rsidRPr="00A30E9A">
        <w:rPr>
          <w:rFonts w:ascii="Arial" w:eastAsia="Times New Roman" w:hAnsi="Arial" w:cs="Arial"/>
          <w:b/>
          <w:bCs/>
          <w:color w:val="4A4A4A"/>
          <w:sz w:val="26"/>
          <w:szCs w:val="26"/>
          <w:lang w:val="en-US"/>
        </w:rPr>
        <w:t>Rent Bank Applicants</w:t>
      </w:r>
    </w:p>
    <w:p w14:paraId="3D07FCA3" w14:textId="77777777" w:rsidR="00A30E9A" w:rsidRPr="00A30E9A" w:rsidRDefault="00A30E9A" w:rsidP="00A30E9A">
      <w:pPr>
        <w:shd w:val="clear" w:color="auto" w:fill="F6FBF0"/>
        <w:spacing w:after="0" w:line="240" w:lineRule="auto"/>
        <w:textAlignment w:val="baseline"/>
        <w:rPr>
          <w:rFonts w:ascii="Arial" w:eastAsia="Times New Roman" w:hAnsi="Arial" w:cs="Arial"/>
          <w:color w:val="777777"/>
          <w:sz w:val="19"/>
          <w:szCs w:val="19"/>
          <w:lang w:val="en-US"/>
        </w:rPr>
      </w:pPr>
      <w:r w:rsidRPr="00A30E9A">
        <w:rPr>
          <w:rFonts w:ascii="Arial" w:eastAsia="Times New Roman" w:hAnsi="Arial" w:cs="Arial"/>
          <w:color w:val="777777"/>
          <w:sz w:val="19"/>
          <w:szCs w:val="19"/>
          <w:lang w:val="en-US"/>
        </w:rPr>
        <w:t xml:space="preserve">For Reference Period 2014: Shelter Support &amp; Housing Administration, City of Toronto, via the </w:t>
      </w:r>
      <w:proofErr w:type="spellStart"/>
      <w:r w:rsidRPr="00A30E9A">
        <w:rPr>
          <w:rFonts w:ascii="Arial" w:eastAsia="Times New Roman" w:hAnsi="Arial" w:cs="Arial"/>
          <w:color w:val="777777"/>
          <w:sz w:val="19"/>
          <w:szCs w:val="19"/>
          <w:lang w:val="en-US"/>
        </w:rPr>
        <w:t>Neighbourhood</w:t>
      </w:r>
      <w:proofErr w:type="spellEnd"/>
      <w:r w:rsidRPr="00A30E9A">
        <w:rPr>
          <w:rFonts w:ascii="Arial" w:eastAsia="Times New Roman" w:hAnsi="Arial" w:cs="Arial"/>
          <w:color w:val="777777"/>
          <w:sz w:val="19"/>
          <w:szCs w:val="19"/>
          <w:lang w:val="en-US"/>
        </w:rPr>
        <w:t xml:space="preserve"> Information Post, 2014 data. Tabulation of all rent bank applicants, whether successful or not (both Y and N column) for calendar year 2014. For Reference Period 2008: City of Toronto, Shelter, Support and Housing Administration, 2008 data. This looks at the number of people who have submitted applications to the rent bank to receive assistance with their rental arrears. The Rent Bank Program provides limited, interest free loans and to seniors, individuals, and families who face eviction for rental arrears.</w:t>
      </w:r>
    </w:p>
    <w:p w14:paraId="1EB64ECD" w14:textId="40804704" w:rsidR="009C1830" w:rsidRDefault="009C1830">
      <w:pPr>
        <w:rPr>
          <w:lang w:val="en-US"/>
        </w:rPr>
      </w:pPr>
    </w:p>
    <w:p w14:paraId="48D96AC0" w14:textId="77777777" w:rsidR="006B6108" w:rsidRPr="006B6108" w:rsidRDefault="006B6108" w:rsidP="006B6108">
      <w:pPr>
        <w:shd w:val="clear" w:color="auto" w:fill="F6FBF0"/>
        <w:spacing w:after="90" w:line="240" w:lineRule="auto"/>
        <w:textAlignment w:val="baseline"/>
        <w:rPr>
          <w:rFonts w:ascii="Arial" w:eastAsia="Times New Roman" w:hAnsi="Arial" w:cs="Arial"/>
          <w:b/>
          <w:bCs/>
          <w:color w:val="4A4A4A"/>
          <w:sz w:val="26"/>
          <w:szCs w:val="26"/>
          <w:lang w:val="en-US"/>
        </w:rPr>
      </w:pPr>
      <w:r w:rsidRPr="006B6108">
        <w:rPr>
          <w:rFonts w:ascii="Arial" w:eastAsia="Times New Roman" w:hAnsi="Arial" w:cs="Arial"/>
          <w:b/>
          <w:bCs/>
          <w:color w:val="4A4A4A"/>
          <w:sz w:val="26"/>
          <w:szCs w:val="26"/>
          <w:lang w:val="en-US"/>
        </w:rPr>
        <w:t>Social Housing Total Units in the city</w:t>
      </w:r>
    </w:p>
    <w:p w14:paraId="57E1172C" w14:textId="77777777" w:rsidR="006B6108" w:rsidRPr="006B6108" w:rsidRDefault="006B6108" w:rsidP="006B6108">
      <w:pPr>
        <w:shd w:val="clear" w:color="auto" w:fill="F6FBF0"/>
        <w:spacing w:after="0" w:line="240" w:lineRule="auto"/>
        <w:textAlignment w:val="baseline"/>
        <w:rPr>
          <w:rFonts w:ascii="Arial" w:eastAsia="Times New Roman" w:hAnsi="Arial" w:cs="Arial"/>
          <w:color w:val="777777"/>
          <w:sz w:val="19"/>
          <w:szCs w:val="19"/>
          <w:lang w:val="en-US"/>
        </w:rPr>
      </w:pPr>
      <w:r w:rsidRPr="006B6108">
        <w:rPr>
          <w:rFonts w:ascii="Arial" w:eastAsia="Times New Roman" w:hAnsi="Arial" w:cs="Arial"/>
          <w:color w:val="777777"/>
          <w:sz w:val="19"/>
          <w:szCs w:val="19"/>
          <w:lang w:val="en-US"/>
        </w:rPr>
        <w:t>For Reference Period 2014: Total Social Housing Units, including TCH units, 2014. Source: Social Housing and Administration System (SHAS), extracted December 10, 2014. SHAS automates core business processes in the Shelter, Support and Housing Administration (SSHA) Division of the City of Toronto and integrates information about the City's Social Housing programs.</w:t>
      </w:r>
    </w:p>
    <w:p w14:paraId="14312A97" w14:textId="7142E180" w:rsidR="006B6108" w:rsidRDefault="006B6108">
      <w:pPr>
        <w:rPr>
          <w:lang w:val="en-US"/>
        </w:rPr>
      </w:pPr>
    </w:p>
    <w:p w14:paraId="2DD1E8A2" w14:textId="6EEFC616" w:rsidR="006B6108" w:rsidRDefault="006B6108">
      <w:pPr>
        <w:rPr>
          <w:lang w:val="en-US"/>
        </w:rPr>
      </w:pPr>
    </w:p>
    <w:p w14:paraId="1B16CA66" w14:textId="77777777" w:rsidR="006C62A4" w:rsidRPr="006C62A4" w:rsidRDefault="006C62A4" w:rsidP="006C62A4">
      <w:pPr>
        <w:shd w:val="clear" w:color="auto" w:fill="F6FBF0"/>
        <w:spacing w:after="90" w:line="240" w:lineRule="auto"/>
        <w:textAlignment w:val="baseline"/>
        <w:rPr>
          <w:rFonts w:ascii="Arial" w:eastAsia="Times New Roman" w:hAnsi="Arial" w:cs="Arial"/>
          <w:b/>
          <w:bCs/>
          <w:color w:val="4A4A4A"/>
          <w:sz w:val="26"/>
          <w:szCs w:val="26"/>
          <w:lang w:val="en-US"/>
        </w:rPr>
      </w:pPr>
      <w:r w:rsidRPr="006C62A4">
        <w:rPr>
          <w:rFonts w:ascii="Arial" w:eastAsia="Times New Roman" w:hAnsi="Arial" w:cs="Arial"/>
          <w:b/>
          <w:bCs/>
          <w:color w:val="4A4A4A"/>
          <w:sz w:val="26"/>
          <w:szCs w:val="26"/>
          <w:lang w:val="en-US"/>
        </w:rPr>
        <w:lastRenderedPageBreak/>
        <w:t>Social Housing Rent Geared-to-Income (RGI) Units</w:t>
      </w:r>
    </w:p>
    <w:p w14:paraId="545F5889" w14:textId="77777777" w:rsidR="006C62A4" w:rsidRPr="006C62A4" w:rsidRDefault="006C62A4" w:rsidP="006C62A4">
      <w:pPr>
        <w:shd w:val="clear" w:color="auto" w:fill="F6FBF0"/>
        <w:spacing w:after="0" w:line="240" w:lineRule="auto"/>
        <w:textAlignment w:val="baseline"/>
        <w:rPr>
          <w:rFonts w:ascii="Arial" w:eastAsia="Times New Roman" w:hAnsi="Arial" w:cs="Arial"/>
          <w:color w:val="777777"/>
          <w:sz w:val="19"/>
          <w:szCs w:val="19"/>
          <w:lang w:val="en-US"/>
        </w:rPr>
      </w:pPr>
      <w:r w:rsidRPr="006C62A4">
        <w:rPr>
          <w:rFonts w:ascii="Arial" w:eastAsia="Times New Roman" w:hAnsi="Arial" w:cs="Arial"/>
          <w:color w:val="777777"/>
          <w:sz w:val="19"/>
          <w:szCs w:val="19"/>
          <w:lang w:val="en-US"/>
        </w:rPr>
        <w:t xml:space="preserve">The number of social housing units that are classified as rent-geared-to-income (RGI), including Toronto Community Housing, for 2014. </w:t>
      </w:r>
    </w:p>
    <w:p w14:paraId="7F8F2AD5" w14:textId="2E082821" w:rsidR="006C62A4" w:rsidRDefault="006C62A4">
      <w:pPr>
        <w:rPr>
          <w:lang w:val="en-US"/>
        </w:rPr>
      </w:pPr>
      <w:r>
        <w:rPr>
          <w:rFonts w:ascii="Arial" w:hAnsi="Arial" w:cs="Arial"/>
          <w:b/>
          <w:bCs/>
          <w:color w:val="222222"/>
          <w:shd w:val="clear" w:color="auto" w:fill="FFFFFF"/>
        </w:rPr>
        <w:t>Rent</w:t>
      </w:r>
      <w:r>
        <w:rPr>
          <w:rFonts w:ascii="Arial" w:hAnsi="Arial" w:cs="Arial"/>
          <w:color w:val="222222"/>
          <w:shd w:val="clear" w:color="auto" w:fill="FFFFFF"/>
        </w:rPr>
        <w:t>-</w:t>
      </w:r>
      <w:r>
        <w:rPr>
          <w:rFonts w:ascii="Arial" w:hAnsi="Arial" w:cs="Arial"/>
          <w:b/>
          <w:bCs/>
          <w:color w:val="222222"/>
          <w:shd w:val="clear" w:color="auto" w:fill="FFFFFF"/>
        </w:rPr>
        <w:t>geared</w:t>
      </w:r>
      <w:r>
        <w:rPr>
          <w:rFonts w:ascii="Arial" w:hAnsi="Arial" w:cs="Arial"/>
          <w:color w:val="222222"/>
          <w:shd w:val="clear" w:color="auto" w:fill="FFFFFF"/>
        </w:rPr>
        <w:t>-to-</w:t>
      </w:r>
      <w:r>
        <w:rPr>
          <w:rFonts w:ascii="Arial" w:hAnsi="Arial" w:cs="Arial"/>
          <w:b/>
          <w:bCs/>
          <w:color w:val="222222"/>
          <w:shd w:val="clear" w:color="auto" w:fill="FFFFFF"/>
        </w:rPr>
        <w:t>income</w:t>
      </w:r>
      <w:r>
        <w:rPr>
          <w:rFonts w:ascii="Arial" w:hAnsi="Arial" w:cs="Arial"/>
          <w:color w:val="222222"/>
          <w:shd w:val="clear" w:color="auto" w:fill="FFFFFF"/>
        </w:rPr>
        <w:t> (RGI) housing is </w:t>
      </w:r>
      <w:proofErr w:type="spellStart"/>
      <w:r>
        <w:rPr>
          <w:rFonts w:ascii="Arial" w:hAnsi="Arial" w:cs="Arial"/>
          <w:b/>
          <w:bCs/>
          <w:color w:val="222222"/>
          <w:shd w:val="clear" w:color="auto" w:fill="FFFFFF"/>
        </w:rPr>
        <w:t>subsidized</w:t>
      </w:r>
      <w:r>
        <w:rPr>
          <w:rFonts w:ascii="Arial" w:hAnsi="Arial" w:cs="Arial"/>
          <w:color w:val="222222"/>
          <w:shd w:val="clear" w:color="auto" w:fill="FFFFFF"/>
        </w:rPr>
        <w:t>housing</w:t>
      </w:r>
      <w:proofErr w:type="spellEnd"/>
      <w:r>
        <w:rPr>
          <w:rFonts w:ascii="Arial" w:hAnsi="Arial" w:cs="Arial"/>
          <w:color w:val="222222"/>
          <w:shd w:val="clear" w:color="auto" w:fill="FFFFFF"/>
        </w:rPr>
        <w:t>. The </w:t>
      </w:r>
      <w:r>
        <w:rPr>
          <w:rFonts w:ascii="Arial" w:hAnsi="Arial" w:cs="Arial"/>
          <w:b/>
          <w:bCs/>
          <w:color w:val="222222"/>
          <w:shd w:val="clear" w:color="auto" w:fill="FFFFFF"/>
        </w:rPr>
        <w:t>rent</w:t>
      </w:r>
      <w:r>
        <w:rPr>
          <w:rFonts w:ascii="Arial" w:hAnsi="Arial" w:cs="Arial"/>
          <w:color w:val="222222"/>
          <w:shd w:val="clear" w:color="auto" w:fill="FFFFFF"/>
        </w:rPr>
        <w:t> is based directly on the tenant's </w:t>
      </w:r>
      <w:r>
        <w:rPr>
          <w:rFonts w:ascii="Arial" w:hAnsi="Arial" w:cs="Arial"/>
          <w:b/>
          <w:bCs/>
          <w:color w:val="222222"/>
          <w:shd w:val="clear" w:color="auto" w:fill="FFFFFF"/>
        </w:rPr>
        <w:t>income</w:t>
      </w:r>
      <w:r>
        <w:rPr>
          <w:rFonts w:ascii="Arial" w:hAnsi="Arial" w:cs="Arial"/>
          <w:color w:val="222222"/>
          <w:shd w:val="clear" w:color="auto" w:fill="FFFFFF"/>
        </w:rPr>
        <w:t>, usually 30 per cent of the gross monthly household </w:t>
      </w:r>
      <w:r>
        <w:rPr>
          <w:rFonts w:ascii="Arial" w:hAnsi="Arial" w:cs="Arial"/>
          <w:b/>
          <w:bCs/>
          <w:color w:val="222222"/>
          <w:shd w:val="clear" w:color="auto" w:fill="FFFFFF"/>
        </w:rPr>
        <w:t>income</w:t>
      </w:r>
      <w:r>
        <w:rPr>
          <w:rFonts w:ascii="Arial" w:hAnsi="Arial" w:cs="Arial"/>
          <w:color w:val="222222"/>
          <w:shd w:val="clear" w:color="auto" w:fill="FFFFFF"/>
        </w:rPr>
        <w:t>.</w:t>
      </w:r>
      <w:bookmarkStart w:id="0" w:name="_GoBack"/>
      <w:bookmarkEnd w:id="0"/>
    </w:p>
    <w:p w14:paraId="36F71667" w14:textId="77777777" w:rsidR="006C62A4" w:rsidRDefault="006C62A4">
      <w:pPr>
        <w:rPr>
          <w:lang w:val="en-US"/>
        </w:rPr>
      </w:pPr>
    </w:p>
    <w:p w14:paraId="58F65DE9" w14:textId="77777777" w:rsidR="006B6108" w:rsidRPr="006B6108" w:rsidRDefault="006B6108" w:rsidP="006B6108">
      <w:pPr>
        <w:shd w:val="clear" w:color="auto" w:fill="F6FBF0"/>
        <w:spacing w:after="90" w:line="240" w:lineRule="auto"/>
        <w:textAlignment w:val="baseline"/>
        <w:rPr>
          <w:rFonts w:ascii="Arial" w:eastAsia="Times New Roman" w:hAnsi="Arial" w:cs="Arial"/>
          <w:b/>
          <w:bCs/>
          <w:color w:val="4A4A4A"/>
          <w:sz w:val="26"/>
          <w:szCs w:val="26"/>
          <w:lang w:val="en-US"/>
        </w:rPr>
      </w:pPr>
      <w:r w:rsidRPr="006B6108">
        <w:rPr>
          <w:rFonts w:ascii="Arial" w:eastAsia="Times New Roman" w:hAnsi="Arial" w:cs="Arial"/>
          <w:b/>
          <w:bCs/>
          <w:color w:val="4A4A4A"/>
          <w:sz w:val="26"/>
          <w:szCs w:val="26"/>
          <w:lang w:val="en-US"/>
        </w:rPr>
        <w:t>Paid Program Registrations</w:t>
      </w:r>
    </w:p>
    <w:p w14:paraId="7E7DA5E8" w14:textId="77777777" w:rsidR="006B6108" w:rsidRPr="006B6108" w:rsidRDefault="006B6108" w:rsidP="006B6108">
      <w:pPr>
        <w:shd w:val="clear" w:color="auto" w:fill="F6FBF0"/>
        <w:spacing w:after="0" w:line="240" w:lineRule="auto"/>
        <w:textAlignment w:val="baseline"/>
        <w:rPr>
          <w:rFonts w:ascii="Arial" w:eastAsia="Times New Roman" w:hAnsi="Arial" w:cs="Arial"/>
          <w:color w:val="777777"/>
          <w:sz w:val="19"/>
          <w:szCs w:val="19"/>
          <w:lang w:val="en-US"/>
        </w:rPr>
      </w:pPr>
      <w:r w:rsidRPr="006B6108">
        <w:rPr>
          <w:rFonts w:ascii="Arial" w:eastAsia="Times New Roman" w:hAnsi="Arial" w:cs="Arial"/>
          <w:color w:val="777777"/>
          <w:sz w:val="19"/>
          <w:szCs w:val="19"/>
          <w:lang w:val="en-US"/>
        </w:rPr>
        <w:t xml:space="preserve">For Reference Period 2008: City of Toronto, Parks Forestry &amp; Recreation, Year 2008 Registered Program Summary. Includes all paid recreation program registrations only. For Reference Period 2011: City of Toronto, Parks Forestry &amp; Recreation, Year 2011 Customer Service Permit Database; The previous data values were from Year </w:t>
      </w:r>
      <w:proofErr w:type="gramStart"/>
      <w:r w:rsidRPr="006B6108">
        <w:rPr>
          <w:rFonts w:ascii="Arial" w:eastAsia="Times New Roman" w:hAnsi="Arial" w:cs="Arial"/>
          <w:color w:val="777777"/>
          <w:sz w:val="19"/>
          <w:szCs w:val="19"/>
          <w:lang w:val="en-US"/>
        </w:rPr>
        <w:t>2008, and</w:t>
      </w:r>
      <w:proofErr w:type="gramEnd"/>
      <w:r w:rsidRPr="006B6108">
        <w:rPr>
          <w:rFonts w:ascii="Arial" w:eastAsia="Times New Roman" w:hAnsi="Arial" w:cs="Arial"/>
          <w:color w:val="777777"/>
          <w:sz w:val="19"/>
          <w:szCs w:val="19"/>
          <w:lang w:val="en-US"/>
        </w:rPr>
        <w:t xml:space="preserve"> were generated using a different methodology that cannot be replicated.</w:t>
      </w:r>
    </w:p>
    <w:p w14:paraId="00B54B6E" w14:textId="3552C106" w:rsidR="006B6108" w:rsidRDefault="006B6108">
      <w:pPr>
        <w:rPr>
          <w:lang w:val="en-US"/>
        </w:rPr>
      </w:pPr>
    </w:p>
    <w:p w14:paraId="42C3D3E1" w14:textId="77777777" w:rsidR="006B6108" w:rsidRPr="005811FD" w:rsidRDefault="006B6108">
      <w:pPr>
        <w:rPr>
          <w:lang w:val="en-US"/>
        </w:rPr>
      </w:pPr>
    </w:p>
    <w:sectPr w:rsidR="006B6108" w:rsidRPr="005811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82"/>
    <w:rsid w:val="0008408D"/>
    <w:rsid w:val="000E3427"/>
    <w:rsid w:val="002069E2"/>
    <w:rsid w:val="00285110"/>
    <w:rsid w:val="002E2D1B"/>
    <w:rsid w:val="00380E14"/>
    <w:rsid w:val="003E2863"/>
    <w:rsid w:val="003E6A8C"/>
    <w:rsid w:val="005811FD"/>
    <w:rsid w:val="006706EC"/>
    <w:rsid w:val="006B6108"/>
    <w:rsid w:val="006C62A4"/>
    <w:rsid w:val="006D6948"/>
    <w:rsid w:val="006E7DB2"/>
    <w:rsid w:val="00760080"/>
    <w:rsid w:val="00767762"/>
    <w:rsid w:val="00783BFA"/>
    <w:rsid w:val="00794B15"/>
    <w:rsid w:val="007F1FB7"/>
    <w:rsid w:val="00843F46"/>
    <w:rsid w:val="008C4CF3"/>
    <w:rsid w:val="009616F2"/>
    <w:rsid w:val="009A1416"/>
    <w:rsid w:val="009C1830"/>
    <w:rsid w:val="00A24876"/>
    <w:rsid w:val="00A30E9A"/>
    <w:rsid w:val="00B3311D"/>
    <w:rsid w:val="00BA21FF"/>
    <w:rsid w:val="00C31743"/>
    <w:rsid w:val="00C763B4"/>
    <w:rsid w:val="00D63707"/>
    <w:rsid w:val="00D8558C"/>
    <w:rsid w:val="00E104F6"/>
    <w:rsid w:val="00E17D84"/>
    <w:rsid w:val="00E702CC"/>
    <w:rsid w:val="00EB6121"/>
    <w:rsid w:val="00ED4168"/>
    <w:rsid w:val="00EF3782"/>
    <w:rsid w:val="00F6417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35C2"/>
  <w15:chartTrackingRefBased/>
  <w15:docId w15:val="{98482B89-F44D-4807-9851-60184C18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11F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1FD"/>
    <w:rPr>
      <w:rFonts w:ascii="Times New Roman" w:eastAsia="Times New Roman" w:hAnsi="Times New Roman" w:cs="Times New Roman"/>
      <w:b/>
      <w:bCs/>
      <w:sz w:val="27"/>
      <w:szCs w:val="27"/>
      <w:lang w:val="en-US"/>
    </w:rPr>
  </w:style>
  <w:style w:type="character" w:customStyle="1" w:styleId="ui-button-text">
    <w:name w:val="ui-button-text"/>
    <w:basedOn w:val="DefaultParagraphFont"/>
    <w:rsid w:val="005811FD"/>
  </w:style>
  <w:style w:type="paragraph" w:styleId="z-TopofForm">
    <w:name w:val="HTML Top of Form"/>
    <w:basedOn w:val="Normal"/>
    <w:next w:val="Normal"/>
    <w:link w:val="z-TopofFormChar"/>
    <w:hidden/>
    <w:uiPriority w:val="99"/>
    <w:semiHidden/>
    <w:unhideWhenUsed/>
    <w:rsid w:val="005811F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811F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5811FD"/>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811FD"/>
    <w:rPr>
      <w:rFonts w:ascii="Arial" w:eastAsia="Times New Roman" w:hAnsi="Arial" w:cs="Arial"/>
      <w:vanish/>
      <w:sz w:val="16"/>
      <w:szCs w:val="16"/>
      <w:lang w:val="en-US"/>
    </w:rPr>
  </w:style>
  <w:style w:type="character" w:customStyle="1" w:styleId="byline">
    <w:name w:val="byline"/>
    <w:basedOn w:val="DefaultParagraphFont"/>
    <w:rsid w:val="005811FD"/>
  </w:style>
  <w:style w:type="character" w:customStyle="1" w:styleId="tor-indicator-panel-slider-label">
    <w:name w:val="tor-indicator-panel-slider-label"/>
    <w:basedOn w:val="DefaultParagraphFont"/>
    <w:rsid w:val="005811FD"/>
  </w:style>
  <w:style w:type="character" w:customStyle="1" w:styleId="ui-dialog-title">
    <w:name w:val="ui-dialog-title"/>
    <w:basedOn w:val="DefaultParagraphFont"/>
    <w:rsid w:val="005811FD"/>
  </w:style>
  <w:style w:type="character" w:customStyle="1" w:styleId="ui-icon">
    <w:name w:val="ui-icon"/>
    <w:basedOn w:val="DefaultParagraphFont"/>
    <w:rsid w:val="00581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6154">
      <w:bodyDiv w:val="1"/>
      <w:marLeft w:val="0"/>
      <w:marRight w:val="0"/>
      <w:marTop w:val="0"/>
      <w:marBottom w:val="0"/>
      <w:divBdr>
        <w:top w:val="none" w:sz="0" w:space="0" w:color="auto"/>
        <w:left w:val="none" w:sz="0" w:space="0" w:color="auto"/>
        <w:bottom w:val="none" w:sz="0" w:space="0" w:color="auto"/>
        <w:right w:val="none" w:sz="0" w:space="0" w:color="auto"/>
      </w:divBdr>
      <w:divsChild>
        <w:div w:id="1552771360">
          <w:marLeft w:val="0"/>
          <w:marRight w:val="0"/>
          <w:marTop w:val="0"/>
          <w:marBottom w:val="0"/>
          <w:divBdr>
            <w:top w:val="none" w:sz="0" w:space="0" w:color="auto"/>
            <w:left w:val="none" w:sz="0" w:space="0" w:color="auto"/>
            <w:bottom w:val="none" w:sz="0" w:space="0" w:color="auto"/>
            <w:right w:val="none" w:sz="0" w:space="0" w:color="auto"/>
          </w:divBdr>
          <w:divsChild>
            <w:div w:id="187452434">
              <w:marLeft w:val="0"/>
              <w:marRight w:val="0"/>
              <w:marTop w:val="0"/>
              <w:marBottom w:val="0"/>
              <w:divBdr>
                <w:top w:val="none" w:sz="0" w:space="0" w:color="auto"/>
                <w:left w:val="none" w:sz="0" w:space="0" w:color="auto"/>
                <w:bottom w:val="none" w:sz="0" w:space="0" w:color="auto"/>
                <w:right w:val="none" w:sz="0" w:space="0" w:color="auto"/>
              </w:divBdr>
              <w:divsChild>
                <w:div w:id="606470613">
                  <w:marLeft w:val="0"/>
                  <w:marRight w:val="4125"/>
                  <w:marTop w:val="0"/>
                  <w:marBottom w:val="0"/>
                  <w:divBdr>
                    <w:top w:val="none" w:sz="0" w:space="0" w:color="auto"/>
                    <w:left w:val="none" w:sz="0" w:space="0" w:color="auto"/>
                    <w:bottom w:val="none" w:sz="0" w:space="0" w:color="auto"/>
                    <w:right w:val="none" w:sz="0" w:space="0" w:color="auto"/>
                  </w:divBdr>
                  <w:divsChild>
                    <w:div w:id="1600791472">
                      <w:marLeft w:val="0"/>
                      <w:marRight w:val="0"/>
                      <w:marTop w:val="0"/>
                      <w:marBottom w:val="0"/>
                      <w:divBdr>
                        <w:top w:val="none" w:sz="0" w:space="0" w:color="auto"/>
                        <w:left w:val="none" w:sz="0" w:space="0" w:color="auto"/>
                        <w:bottom w:val="none" w:sz="0" w:space="0" w:color="auto"/>
                        <w:right w:val="none" w:sz="0" w:space="0" w:color="auto"/>
                      </w:divBdr>
                      <w:divsChild>
                        <w:div w:id="1176923920">
                          <w:marLeft w:val="0"/>
                          <w:marRight w:val="0"/>
                          <w:marTop w:val="0"/>
                          <w:marBottom w:val="0"/>
                          <w:divBdr>
                            <w:top w:val="none" w:sz="0" w:space="0" w:color="auto"/>
                            <w:left w:val="none" w:sz="0" w:space="0" w:color="auto"/>
                            <w:bottom w:val="none" w:sz="0" w:space="0" w:color="auto"/>
                            <w:right w:val="none" w:sz="0" w:space="0" w:color="auto"/>
                          </w:divBdr>
                          <w:divsChild>
                            <w:div w:id="173424932">
                              <w:marLeft w:val="0"/>
                              <w:marRight w:val="0"/>
                              <w:marTop w:val="0"/>
                              <w:marBottom w:val="0"/>
                              <w:divBdr>
                                <w:top w:val="none" w:sz="0" w:space="0" w:color="auto"/>
                                <w:left w:val="none" w:sz="0" w:space="0" w:color="auto"/>
                                <w:bottom w:val="none" w:sz="0" w:space="0" w:color="auto"/>
                                <w:right w:val="none" w:sz="0" w:space="0" w:color="auto"/>
                              </w:divBdr>
                              <w:divsChild>
                                <w:div w:id="632173498">
                                  <w:marLeft w:val="0"/>
                                  <w:marRight w:val="0"/>
                                  <w:marTop w:val="0"/>
                                  <w:marBottom w:val="0"/>
                                  <w:divBdr>
                                    <w:top w:val="none" w:sz="0" w:space="0" w:color="auto"/>
                                    <w:left w:val="none" w:sz="0" w:space="0" w:color="auto"/>
                                    <w:bottom w:val="none" w:sz="0" w:space="0" w:color="auto"/>
                                    <w:right w:val="none" w:sz="0" w:space="0" w:color="auto"/>
                                  </w:divBdr>
                                  <w:divsChild>
                                    <w:div w:id="19422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660">
                              <w:marLeft w:val="0"/>
                              <w:marRight w:val="0"/>
                              <w:marTop w:val="0"/>
                              <w:marBottom w:val="0"/>
                              <w:divBdr>
                                <w:top w:val="none" w:sz="0" w:space="0" w:color="auto"/>
                                <w:left w:val="none" w:sz="0" w:space="0" w:color="auto"/>
                                <w:bottom w:val="none" w:sz="0" w:space="0" w:color="auto"/>
                                <w:right w:val="none" w:sz="0" w:space="0" w:color="auto"/>
                              </w:divBdr>
                              <w:divsChild>
                                <w:div w:id="288829785">
                                  <w:marLeft w:val="0"/>
                                  <w:marRight w:val="0"/>
                                  <w:marTop w:val="0"/>
                                  <w:marBottom w:val="0"/>
                                  <w:divBdr>
                                    <w:top w:val="none" w:sz="0" w:space="0" w:color="auto"/>
                                    <w:left w:val="single" w:sz="12" w:space="0" w:color="000000"/>
                                    <w:bottom w:val="single" w:sz="12" w:space="0" w:color="000000"/>
                                    <w:right w:val="single" w:sz="12" w:space="0" w:color="000000"/>
                                  </w:divBdr>
                                </w:div>
                                <w:div w:id="1014261361">
                                  <w:marLeft w:val="0"/>
                                  <w:marRight w:val="0"/>
                                  <w:marTop w:val="0"/>
                                  <w:marBottom w:val="0"/>
                                  <w:divBdr>
                                    <w:top w:val="single" w:sz="12" w:space="0" w:color="000000"/>
                                    <w:left w:val="single" w:sz="12" w:space="0" w:color="000000"/>
                                    <w:bottom w:val="none" w:sz="0" w:space="0" w:color="auto"/>
                                    <w:right w:val="single" w:sz="12" w:space="0" w:color="000000"/>
                                  </w:divBdr>
                                </w:div>
                              </w:divsChild>
                            </w:div>
                          </w:divsChild>
                        </w:div>
                      </w:divsChild>
                    </w:div>
                  </w:divsChild>
                </w:div>
                <w:div w:id="845704463">
                  <w:marLeft w:val="0"/>
                  <w:marRight w:val="0"/>
                  <w:marTop w:val="0"/>
                  <w:marBottom w:val="0"/>
                  <w:divBdr>
                    <w:top w:val="none" w:sz="0" w:space="0" w:color="auto"/>
                    <w:left w:val="none" w:sz="0" w:space="0" w:color="auto"/>
                    <w:bottom w:val="none" w:sz="0" w:space="0" w:color="auto"/>
                    <w:right w:val="none" w:sz="0" w:space="0" w:color="auto"/>
                  </w:divBdr>
                  <w:divsChild>
                    <w:div w:id="1317802073">
                      <w:marLeft w:val="0"/>
                      <w:marRight w:val="0"/>
                      <w:marTop w:val="0"/>
                      <w:marBottom w:val="0"/>
                      <w:divBdr>
                        <w:top w:val="none" w:sz="0" w:space="0" w:color="auto"/>
                        <w:left w:val="none" w:sz="0" w:space="0" w:color="auto"/>
                        <w:bottom w:val="none" w:sz="0" w:space="0" w:color="auto"/>
                        <w:right w:val="none" w:sz="0" w:space="0" w:color="auto"/>
                      </w:divBdr>
                    </w:div>
                    <w:div w:id="159779308">
                      <w:marLeft w:val="0"/>
                      <w:marRight w:val="0"/>
                      <w:marTop w:val="0"/>
                      <w:marBottom w:val="0"/>
                      <w:divBdr>
                        <w:top w:val="none" w:sz="0" w:space="0" w:color="auto"/>
                        <w:left w:val="none" w:sz="0" w:space="0" w:color="auto"/>
                        <w:bottom w:val="none" w:sz="0" w:space="0" w:color="auto"/>
                        <w:right w:val="none" w:sz="0" w:space="0" w:color="auto"/>
                      </w:divBdr>
                      <w:divsChild>
                        <w:div w:id="624237787">
                          <w:marLeft w:val="0"/>
                          <w:marRight w:val="0"/>
                          <w:marTop w:val="0"/>
                          <w:marBottom w:val="0"/>
                          <w:divBdr>
                            <w:top w:val="none" w:sz="0" w:space="0" w:color="auto"/>
                            <w:left w:val="none" w:sz="0" w:space="0" w:color="auto"/>
                            <w:bottom w:val="none" w:sz="0" w:space="0" w:color="auto"/>
                            <w:right w:val="none" w:sz="0" w:space="0" w:color="auto"/>
                          </w:divBdr>
                          <w:divsChild>
                            <w:div w:id="1295789938">
                              <w:marLeft w:val="0"/>
                              <w:marRight w:val="0"/>
                              <w:marTop w:val="0"/>
                              <w:marBottom w:val="0"/>
                              <w:divBdr>
                                <w:top w:val="none" w:sz="0" w:space="0" w:color="auto"/>
                                <w:left w:val="none" w:sz="0" w:space="0" w:color="auto"/>
                                <w:bottom w:val="single" w:sz="6" w:space="0" w:color="BDC2B8"/>
                                <w:right w:val="none" w:sz="0" w:space="0" w:color="auto"/>
                              </w:divBdr>
                              <w:divsChild>
                                <w:div w:id="1109466489">
                                  <w:marLeft w:val="0"/>
                                  <w:marRight w:val="0"/>
                                  <w:marTop w:val="0"/>
                                  <w:marBottom w:val="0"/>
                                  <w:divBdr>
                                    <w:top w:val="none" w:sz="0" w:space="0" w:color="auto"/>
                                    <w:left w:val="none" w:sz="0" w:space="0" w:color="auto"/>
                                    <w:bottom w:val="none" w:sz="0" w:space="0" w:color="auto"/>
                                    <w:right w:val="none" w:sz="0" w:space="0" w:color="auto"/>
                                  </w:divBdr>
                                </w:div>
                              </w:divsChild>
                            </w:div>
                            <w:div w:id="458379301">
                              <w:marLeft w:val="0"/>
                              <w:marRight w:val="0"/>
                              <w:marTop w:val="0"/>
                              <w:marBottom w:val="0"/>
                              <w:divBdr>
                                <w:top w:val="none" w:sz="0" w:space="0" w:color="auto"/>
                                <w:left w:val="none" w:sz="0" w:space="0" w:color="auto"/>
                                <w:bottom w:val="none" w:sz="0" w:space="0" w:color="auto"/>
                                <w:right w:val="none" w:sz="0" w:space="0" w:color="auto"/>
                              </w:divBdr>
                              <w:divsChild>
                                <w:div w:id="1901208626">
                                  <w:marLeft w:val="0"/>
                                  <w:marRight w:val="0"/>
                                  <w:marTop w:val="0"/>
                                  <w:marBottom w:val="0"/>
                                  <w:divBdr>
                                    <w:top w:val="none" w:sz="0" w:space="0" w:color="auto"/>
                                    <w:left w:val="none" w:sz="0" w:space="0" w:color="auto"/>
                                    <w:bottom w:val="none" w:sz="0" w:space="0" w:color="auto"/>
                                    <w:right w:val="none" w:sz="0" w:space="0" w:color="auto"/>
                                  </w:divBdr>
                                  <w:divsChild>
                                    <w:div w:id="1439258593">
                                      <w:marLeft w:val="0"/>
                                      <w:marRight w:val="0"/>
                                      <w:marTop w:val="0"/>
                                      <w:marBottom w:val="0"/>
                                      <w:divBdr>
                                        <w:top w:val="single" w:sz="6" w:space="4" w:color="auto"/>
                                        <w:left w:val="none" w:sz="0" w:space="0" w:color="auto"/>
                                        <w:bottom w:val="single" w:sz="6" w:space="4" w:color="auto"/>
                                        <w:right w:val="none" w:sz="0" w:space="0" w:color="auto"/>
                                      </w:divBdr>
                                      <w:divsChild>
                                        <w:div w:id="1254048889">
                                          <w:marLeft w:val="0"/>
                                          <w:marRight w:val="0"/>
                                          <w:marTop w:val="0"/>
                                          <w:marBottom w:val="0"/>
                                          <w:divBdr>
                                            <w:top w:val="none" w:sz="0" w:space="0" w:color="auto"/>
                                            <w:left w:val="none" w:sz="0" w:space="0" w:color="auto"/>
                                            <w:bottom w:val="none" w:sz="0" w:space="0" w:color="auto"/>
                                            <w:right w:val="none" w:sz="0" w:space="0" w:color="auto"/>
                                          </w:divBdr>
                                        </w:div>
                                        <w:div w:id="2093045159">
                                          <w:marLeft w:val="165"/>
                                          <w:marRight w:val="0"/>
                                          <w:marTop w:val="135"/>
                                          <w:marBottom w:val="0"/>
                                          <w:divBdr>
                                            <w:top w:val="none" w:sz="0" w:space="0" w:color="auto"/>
                                            <w:left w:val="none" w:sz="0" w:space="0" w:color="auto"/>
                                            <w:bottom w:val="none" w:sz="0" w:space="0" w:color="auto"/>
                                            <w:right w:val="none" w:sz="0" w:space="0" w:color="auto"/>
                                          </w:divBdr>
                                        </w:div>
                                        <w:div w:id="1077944670">
                                          <w:marLeft w:val="0"/>
                                          <w:marRight w:val="0"/>
                                          <w:marTop w:val="0"/>
                                          <w:marBottom w:val="0"/>
                                          <w:divBdr>
                                            <w:top w:val="none" w:sz="0" w:space="0" w:color="auto"/>
                                            <w:left w:val="none" w:sz="0" w:space="0" w:color="auto"/>
                                            <w:bottom w:val="none" w:sz="0" w:space="0" w:color="auto"/>
                                            <w:right w:val="none" w:sz="0" w:space="0" w:color="auto"/>
                                          </w:divBdr>
                                          <w:divsChild>
                                            <w:div w:id="80104802">
                                              <w:marLeft w:val="-148"/>
                                              <w:marRight w:val="-178"/>
                                              <w:marTop w:val="0"/>
                                              <w:marBottom w:val="0"/>
                                              <w:divBdr>
                                                <w:top w:val="none" w:sz="0" w:space="0" w:color="auto"/>
                                                <w:left w:val="none" w:sz="0" w:space="0" w:color="auto"/>
                                                <w:bottom w:val="none" w:sz="0" w:space="0" w:color="auto"/>
                                                <w:right w:val="none" w:sz="0" w:space="0" w:color="auto"/>
                                              </w:divBdr>
                                            </w:div>
                                          </w:divsChild>
                                        </w:div>
                                        <w:div w:id="509419061">
                                          <w:marLeft w:val="15"/>
                                          <w:marRight w:val="0"/>
                                          <w:marTop w:val="15"/>
                                          <w:marBottom w:val="0"/>
                                          <w:divBdr>
                                            <w:top w:val="single" w:sz="6" w:space="0" w:color="DADADA"/>
                                            <w:left w:val="single" w:sz="6" w:space="0" w:color="DADADA"/>
                                            <w:bottom w:val="single" w:sz="6" w:space="0" w:color="DADADA"/>
                                            <w:right w:val="single" w:sz="6" w:space="0" w:color="DADADA"/>
                                          </w:divBdr>
                                        </w:div>
                                      </w:divsChild>
                                    </w:div>
                                    <w:div w:id="811144063">
                                      <w:marLeft w:val="0"/>
                                      <w:marRight w:val="0"/>
                                      <w:marTop w:val="0"/>
                                      <w:marBottom w:val="0"/>
                                      <w:divBdr>
                                        <w:top w:val="single" w:sz="6" w:space="4" w:color="auto"/>
                                        <w:left w:val="none" w:sz="0" w:space="0" w:color="auto"/>
                                        <w:bottom w:val="single" w:sz="6" w:space="4" w:color="auto"/>
                                        <w:right w:val="none" w:sz="0" w:space="0" w:color="auto"/>
                                      </w:divBdr>
                                      <w:divsChild>
                                        <w:div w:id="92676447">
                                          <w:marLeft w:val="0"/>
                                          <w:marRight w:val="0"/>
                                          <w:marTop w:val="0"/>
                                          <w:marBottom w:val="0"/>
                                          <w:divBdr>
                                            <w:top w:val="none" w:sz="0" w:space="0" w:color="auto"/>
                                            <w:left w:val="none" w:sz="0" w:space="0" w:color="auto"/>
                                            <w:bottom w:val="none" w:sz="0" w:space="0" w:color="auto"/>
                                            <w:right w:val="none" w:sz="0" w:space="0" w:color="auto"/>
                                          </w:divBdr>
                                        </w:div>
                                        <w:div w:id="1416628083">
                                          <w:marLeft w:val="165"/>
                                          <w:marRight w:val="0"/>
                                          <w:marTop w:val="135"/>
                                          <w:marBottom w:val="0"/>
                                          <w:divBdr>
                                            <w:top w:val="none" w:sz="0" w:space="0" w:color="auto"/>
                                            <w:left w:val="none" w:sz="0" w:space="0" w:color="auto"/>
                                            <w:bottom w:val="none" w:sz="0" w:space="0" w:color="auto"/>
                                            <w:right w:val="none" w:sz="0" w:space="0" w:color="auto"/>
                                          </w:divBdr>
                                        </w:div>
                                        <w:div w:id="1605573594">
                                          <w:marLeft w:val="0"/>
                                          <w:marRight w:val="0"/>
                                          <w:marTop w:val="0"/>
                                          <w:marBottom w:val="0"/>
                                          <w:divBdr>
                                            <w:top w:val="none" w:sz="0" w:space="0" w:color="auto"/>
                                            <w:left w:val="none" w:sz="0" w:space="0" w:color="auto"/>
                                            <w:bottom w:val="none" w:sz="0" w:space="0" w:color="auto"/>
                                            <w:right w:val="none" w:sz="0" w:space="0" w:color="auto"/>
                                          </w:divBdr>
                                          <w:divsChild>
                                            <w:div w:id="1105880961">
                                              <w:marLeft w:val="-148"/>
                                              <w:marRight w:val="-178"/>
                                              <w:marTop w:val="0"/>
                                              <w:marBottom w:val="0"/>
                                              <w:divBdr>
                                                <w:top w:val="none" w:sz="0" w:space="0" w:color="auto"/>
                                                <w:left w:val="none" w:sz="0" w:space="0" w:color="auto"/>
                                                <w:bottom w:val="none" w:sz="0" w:space="0" w:color="auto"/>
                                                <w:right w:val="none" w:sz="0" w:space="0" w:color="auto"/>
                                              </w:divBdr>
                                            </w:div>
                                          </w:divsChild>
                                        </w:div>
                                        <w:div w:id="95294453">
                                          <w:marLeft w:val="15"/>
                                          <w:marRight w:val="0"/>
                                          <w:marTop w:val="15"/>
                                          <w:marBottom w:val="0"/>
                                          <w:divBdr>
                                            <w:top w:val="single" w:sz="6" w:space="0" w:color="DADADA"/>
                                            <w:left w:val="single" w:sz="6" w:space="0" w:color="DADADA"/>
                                            <w:bottom w:val="single" w:sz="6" w:space="0" w:color="DADADA"/>
                                            <w:right w:val="single" w:sz="6" w:space="0" w:color="DADADA"/>
                                          </w:divBdr>
                                        </w:div>
                                      </w:divsChild>
                                    </w:div>
                                  </w:divsChild>
                                </w:div>
                              </w:divsChild>
                            </w:div>
                            <w:div w:id="9939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267755">
          <w:marLeft w:val="0"/>
          <w:marRight w:val="0"/>
          <w:marTop w:val="0"/>
          <w:marBottom w:val="0"/>
          <w:divBdr>
            <w:top w:val="single" w:sz="6" w:space="0" w:color="AAAAAA"/>
            <w:left w:val="single" w:sz="6" w:space="0" w:color="AAAAAA"/>
            <w:bottom w:val="single" w:sz="6" w:space="0" w:color="AAAAAA"/>
            <w:right w:val="single" w:sz="6" w:space="0" w:color="AAAAAA"/>
          </w:divBdr>
          <w:divsChild>
            <w:div w:id="158889971">
              <w:marLeft w:val="0"/>
              <w:marRight w:val="0"/>
              <w:marTop w:val="0"/>
              <w:marBottom w:val="0"/>
              <w:divBdr>
                <w:top w:val="none" w:sz="0" w:space="0" w:color="auto"/>
                <w:left w:val="none" w:sz="0" w:space="0" w:color="auto"/>
                <w:bottom w:val="none" w:sz="0" w:space="0" w:color="auto"/>
                <w:right w:val="none" w:sz="0" w:space="0" w:color="auto"/>
              </w:divBdr>
            </w:div>
            <w:div w:id="1662930967">
              <w:marLeft w:val="0"/>
              <w:marRight w:val="0"/>
              <w:marTop w:val="0"/>
              <w:marBottom w:val="0"/>
              <w:divBdr>
                <w:top w:val="none" w:sz="0" w:space="0" w:color="auto"/>
                <w:left w:val="none" w:sz="0" w:space="0" w:color="auto"/>
                <w:bottom w:val="none" w:sz="0" w:space="0" w:color="auto"/>
                <w:right w:val="none" w:sz="0" w:space="0" w:color="auto"/>
              </w:divBdr>
              <w:divsChild>
                <w:div w:id="154106301">
                  <w:marLeft w:val="0"/>
                  <w:marRight w:val="0"/>
                  <w:marTop w:val="0"/>
                  <w:marBottom w:val="300"/>
                  <w:divBdr>
                    <w:top w:val="none" w:sz="0" w:space="0" w:color="auto"/>
                    <w:left w:val="none" w:sz="0" w:space="0" w:color="auto"/>
                    <w:bottom w:val="none" w:sz="0" w:space="0" w:color="auto"/>
                    <w:right w:val="none" w:sz="0" w:space="0" w:color="auto"/>
                  </w:divBdr>
                  <w:divsChild>
                    <w:div w:id="1176850311">
                      <w:marLeft w:val="0"/>
                      <w:marRight w:val="0"/>
                      <w:marTop w:val="75"/>
                      <w:marBottom w:val="90"/>
                      <w:divBdr>
                        <w:top w:val="none" w:sz="0" w:space="2" w:color="auto"/>
                        <w:left w:val="none" w:sz="0" w:space="0" w:color="auto"/>
                        <w:bottom w:val="single" w:sz="6" w:space="5" w:color="CCCCCC"/>
                        <w:right w:val="none" w:sz="0" w:space="0" w:color="auto"/>
                      </w:divBdr>
                    </w:div>
                    <w:div w:id="3615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3915">
      <w:bodyDiv w:val="1"/>
      <w:marLeft w:val="0"/>
      <w:marRight w:val="0"/>
      <w:marTop w:val="0"/>
      <w:marBottom w:val="0"/>
      <w:divBdr>
        <w:top w:val="none" w:sz="0" w:space="0" w:color="auto"/>
        <w:left w:val="none" w:sz="0" w:space="0" w:color="auto"/>
        <w:bottom w:val="none" w:sz="0" w:space="0" w:color="auto"/>
        <w:right w:val="none" w:sz="0" w:space="0" w:color="auto"/>
      </w:divBdr>
      <w:divsChild>
        <w:div w:id="771127866">
          <w:marLeft w:val="0"/>
          <w:marRight w:val="0"/>
          <w:marTop w:val="75"/>
          <w:marBottom w:val="90"/>
          <w:divBdr>
            <w:top w:val="none" w:sz="0" w:space="2" w:color="auto"/>
            <w:left w:val="none" w:sz="0" w:space="0" w:color="auto"/>
            <w:bottom w:val="single" w:sz="6" w:space="5" w:color="CCCCCC"/>
            <w:right w:val="none" w:sz="0" w:space="0" w:color="auto"/>
          </w:divBdr>
        </w:div>
        <w:div w:id="703671126">
          <w:marLeft w:val="0"/>
          <w:marRight w:val="0"/>
          <w:marTop w:val="0"/>
          <w:marBottom w:val="0"/>
          <w:divBdr>
            <w:top w:val="none" w:sz="0" w:space="0" w:color="auto"/>
            <w:left w:val="none" w:sz="0" w:space="0" w:color="auto"/>
            <w:bottom w:val="none" w:sz="0" w:space="0" w:color="auto"/>
            <w:right w:val="none" w:sz="0" w:space="0" w:color="auto"/>
          </w:divBdr>
        </w:div>
      </w:divsChild>
    </w:div>
    <w:div w:id="295569624">
      <w:bodyDiv w:val="1"/>
      <w:marLeft w:val="0"/>
      <w:marRight w:val="0"/>
      <w:marTop w:val="0"/>
      <w:marBottom w:val="0"/>
      <w:divBdr>
        <w:top w:val="none" w:sz="0" w:space="0" w:color="auto"/>
        <w:left w:val="none" w:sz="0" w:space="0" w:color="auto"/>
        <w:bottom w:val="none" w:sz="0" w:space="0" w:color="auto"/>
        <w:right w:val="none" w:sz="0" w:space="0" w:color="auto"/>
      </w:divBdr>
      <w:divsChild>
        <w:div w:id="711343739">
          <w:marLeft w:val="0"/>
          <w:marRight w:val="0"/>
          <w:marTop w:val="75"/>
          <w:marBottom w:val="90"/>
          <w:divBdr>
            <w:top w:val="none" w:sz="0" w:space="2" w:color="auto"/>
            <w:left w:val="none" w:sz="0" w:space="0" w:color="auto"/>
            <w:bottom w:val="single" w:sz="6" w:space="5" w:color="CCCCCC"/>
            <w:right w:val="none" w:sz="0" w:space="0" w:color="auto"/>
          </w:divBdr>
        </w:div>
        <w:div w:id="298534006">
          <w:marLeft w:val="0"/>
          <w:marRight w:val="0"/>
          <w:marTop w:val="0"/>
          <w:marBottom w:val="0"/>
          <w:divBdr>
            <w:top w:val="none" w:sz="0" w:space="0" w:color="auto"/>
            <w:left w:val="none" w:sz="0" w:space="0" w:color="auto"/>
            <w:bottom w:val="none" w:sz="0" w:space="0" w:color="auto"/>
            <w:right w:val="none" w:sz="0" w:space="0" w:color="auto"/>
          </w:divBdr>
        </w:div>
      </w:divsChild>
    </w:div>
    <w:div w:id="368651138">
      <w:bodyDiv w:val="1"/>
      <w:marLeft w:val="0"/>
      <w:marRight w:val="0"/>
      <w:marTop w:val="0"/>
      <w:marBottom w:val="0"/>
      <w:divBdr>
        <w:top w:val="none" w:sz="0" w:space="0" w:color="auto"/>
        <w:left w:val="none" w:sz="0" w:space="0" w:color="auto"/>
        <w:bottom w:val="none" w:sz="0" w:space="0" w:color="auto"/>
        <w:right w:val="none" w:sz="0" w:space="0" w:color="auto"/>
      </w:divBdr>
      <w:divsChild>
        <w:div w:id="1325626762">
          <w:marLeft w:val="0"/>
          <w:marRight w:val="0"/>
          <w:marTop w:val="75"/>
          <w:marBottom w:val="90"/>
          <w:divBdr>
            <w:top w:val="none" w:sz="0" w:space="2" w:color="auto"/>
            <w:left w:val="none" w:sz="0" w:space="0" w:color="auto"/>
            <w:bottom w:val="single" w:sz="6" w:space="5" w:color="CCCCCC"/>
            <w:right w:val="none" w:sz="0" w:space="0" w:color="auto"/>
          </w:divBdr>
        </w:div>
        <w:div w:id="1788887902">
          <w:marLeft w:val="0"/>
          <w:marRight w:val="0"/>
          <w:marTop w:val="0"/>
          <w:marBottom w:val="0"/>
          <w:divBdr>
            <w:top w:val="none" w:sz="0" w:space="0" w:color="auto"/>
            <w:left w:val="none" w:sz="0" w:space="0" w:color="auto"/>
            <w:bottom w:val="none" w:sz="0" w:space="0" w:color="auto"/>
            <w:right w:val="none" w:sz="0" w:space="0" w:color="auto"/>
          </w:divBdr>
        </w:div>
      </w:divsChild>
    </w:div>
    <w:div w:id="565454426">
      <w:bodyDiv w:val="1"/>
      <w:marLeft w:val="0"/>
      <w:marRight w:val="0"/>
      <w:marTop w:val="0"/>
      <w:marBottom w:val="0"/>
      <w:divBdr>
        <w:top w:val="none" w:sz="0" w:space="0" w:color="auto"/>
        <w:left w:val="none" w:sz="0" w:space="0" w:color="auto"/>
        <w:bottom w:val="none" w:sz="0" w:space="0" w:color="auto"/>
        <w:right w:val="none" w:sz="0" w:space="0" w:color="auto"/>
      </w:divBdr>
      <w:divsChild>
        <w:div w:id="39286653">
          <w:marLeft w:val="0"/>
          <w:marRight w:val="0"/>
          <w:marTop w:val="75"/>
          <w:marBottom w:val="90"/>
          <w:divBdr>
            <w:top w:val="none" w:sz="0" w:space="2" w:color="auto"/>
            <w:left w:val="none" w:sz="0" w:space="0" w:color="auto"/>
            <w:bottom w:val="single" w:sz="6" w:space="5" w:color="CCCCCC"/>
            <w:right w:val="none" w:sz="0" w:space="0" w:color="auto"/>
          </w:divBdr>
        </w:div>
        <w:div w:id="866022115">
          <w:marLeft w:val="0"/>
          <w:marRight w:val="0"/>
          <w:marTop w:val="0"/>
          <w:marBottom w:val="0"/>
          <w:divBdr>
            <w:top w:val="none" w:sz="0" w:space="0" w:color="auto"/>
            <w:left w:val="none" w:sz="0" w:space="0" w:color="auto"/>
            <w:bottom w:val="none" w:sz="0" w:space="0" w:color="auto"/>
            <w:right w:val="none" w:sz="0" w:space="0" w:color="auto"/>
          </w:divBdr>
        </w:div>
      </w:divsChild>
    </w:div>
    <w:div w:id="633097960">
      <w:bodyDiv w:val="1"/>
      <w:marLeft w:val="0"/>
      <w:marRight w:val="0"/>
      <w:marTop w:val="0"/>
      <w:marBottom w:val="0"/>
      <w:divBdr>
        <w:top w:val="none" w:sz="0" w:space="0" w:color="auto"/>
        <w:left w:val="none" w:sz="0" w:space="0" w:color="auto"/>
        <w:bottom w:val="none" w:sz="0" w:space="0" w:color="auto"/>
        <w:right w:val="none" w:sz="0" w:space="0" w:color="auto"/>
      </w:divBdr>
      <w:divsChild>
        <w:div w:id="609553795">
          <w:marLeft w:val="0"/>
          <w:marRight w:val="0"/>
          <w:marTop w:val="75"/>
          <w:marBottom w:val="90"/>
          <w:divBdr>
            <w:top w:val="none" w:sz="0" w:space="2" w:color="auto"/>
            <w:left w:val="none" w:sz="0" w:space="0" w:color="auto"/>
            <w:bottom w:val="single" w:sz="6" w:space="5" w:color="CCCCCC"/>
            <w:right w:val="none" w:sz="0" w:space="0" w:color="auto"/>
          </w:divBdr>
        </w:div>
        <w:div w:id="1597515870">
          <w:marLeft w:val="0"/>
          <w:marRight w:val="0"/>
          <w:marTop w:val="0"/>
          <w:marBottom w:val="0"/>
          <w:divBdr>
            <w:top w:val="none" w:sz="0" w:space="0" w:color="auto"/>
            <w:left w:val="none" w:sz="0" w:space="0" w:color="auto"/>
            <w:bottom w:val="none" w:sz="0" w:space="0" w:color="auto"/>
            <w:right w:val="none" w:sz="0" w:space="0" w:color="auto"/>
          </w:divBdr>
        </w:div>
      </w:divsChild>
    </w:div>
    <w:div w:id="1066951477">
      <w:bodyDiv w:val="1"/>
      <w:marLeft w:val="0"/>
      <w:marRight w:val="0"/>
      <w:marTop w:val="0"/>
      <w:marBottom w:val="0"/>
      <w:divBdr>
        <w:top w:val="none" w:sz="0" w:space="0" w:color="auto"/>
        <w:left w:val="none" w:sz="0" w:space="0" w:color="auto"/>
        <w:bottom w:val="none" w:sz="0" w:space="0" w:color="auto"/>
        <w:right w:val="none" w:sz="0" w:space="0" w:color="auto"/>
      </w:divBdr>
      <w:divsChild>
        <w:div w:id="741872699">
          <w:marLeft w:val="0"/>
          <w:marRight w:val="0"/>
          <w:marTop w:val="75"/>
          <w:marBottom w:val="90"/>
          <w:divBdr>
            <w:top w:val="none" w:sz="0" w:space="2" w:color="auto"/>
            <w:left w:val="none" w:sz="0" w:space="0" w:color="auto"/>
            <w:bottom w:val="single" w:sz="6" w:space="5" w:color="CCCCCC"/>
            <w:right w:val="none" w:sz="0" w:space="0" w:color="auto"/>
          </w:divBdr>
        </w:div>
        <w:div w:id="966546916">
          <w:marLeft w:val="0"/>
          <w:marRight w:val="0"/>
          <w:marTop w:val="0"/>
          <w:marBottom w:val="0"/>
          <w:divBdr>
            <w:top w:val="none" w:sz="0" w:space="0" w:color="auto"/>
            <w:left w:val="none" w:sz="0" w:space="0" w:color="auto"/>
            <w:bottom w:val="none" w:sz="0" w:space="0" w:color="auto"/>
            <w:right w:val="none" w:sz="0" w:space="0" w:color="auto"/>
          </w:divBdr>
        </w:div>
      </w:divsChild>
    </w:div>
    <w:div w:id="1101486189">
      <w:bodyDiv w:val="1"/>
      <w:marLeft w:val="0"/>
      <w:marRight w:val="0"/>
      <w:marTop w:val="0"/>
      <w:marBottom w:val="0"/>
      <w:divBdr>
        <w:top w:val="none" w:sz="0" w:space="0" w:color="auto"/>
        <w:left w:val="none" w:sz="0" w:space="0" w:color="auto"/>
        <w:bottom w:val="none" w:sz="0" w:space="0" w:color="auto"/>
        <w:right w:val="none" w:sz="0" w:space="0" w:color="auto"/>
      </w:divBdr>
      <w:divsChild>
        <w:div w:id="1092164096">
          <w:marLeft w:val="0"/>
          <w:marRight w:val="0"/>
          <w:marTop w:val="75"/>
          <w:marBottom w:val="90"/>
          <w:divBdr>
            <w:top w:val="none" w:sz="0" w:space="2" w:color="auto"/>
            <w:left w:val="none" w:sz="0" w:space="0" w:color="auto"/>
            <w:bottom w:val="single" w:sz="6" w:space="5" w:color="CCCCCC"/>
            <w:right w:val="none" w:sz="0" w:space="0" w:color="auto"/>
          </w:divBdr>
        </w:div>
        <w:div w:id="2052529122">
          <w:marLeft w:val="0"/>
          <w:marRight w:val="0"/>
          <w:marTop w:val="0"/>
          <w:marBottom w:val="0"/>
          <w:divBdr>
            <w:top w:val="none" w:sz="0" w:space="0" w:color="auto"/>
            <w:left w:val="none" w:sz="0" w:space="0" w:color="auto"/>
            <w:bottom w:val="none" w:sz="0" w:space="0" w:color="auto"/>
            <w:right w:val="none" w:sz="0" w:space="0" w:color="auto"/>
          </w:divBdr>
        </w:div>
      </w:divsChild>
    </w:div>
    <w:div w:id="1300960225">
      <w:bodyDiv w:val="1"/>
      <w:marLeft w:val="0"/>
      <w:marRight w:val="0"/>
      <w:marTop w:val="0"/>
      <w:marBottom w:val="0"/>
      <w:divBdr>
        <w:top w:val="none" w:sz="0" w:space="0" w:color="auto"/>
        <w:left w:val="none" w:sz="0" w:space="0" w:color="auto"/>
        <w:bottom w:val="none" w:sz="0" w:space="0" w:color="auto"/>
        <w:right w:val="none" w:sz="0" w:space="0" w:color="auto"/>
      </w:divBdr>
      <w:divsChild>
        <w:div w:id="1332299567">
          <w:marLeft w:val="0"/>
          <w:marRight w:val="0"/>
          <w:marTop w:val="75"/>
          <w:marBottom w:val="90"/>
          <w:divBdr>
            <w:top w:val="none" w:sz="0" w:space="2" w:color="auto"/>
            <w:left w:val="none" w:sz="0" w:space="0" w:color="auto"/>
            <w:bottom w:val="single" w:sz="6" w:space="5" w:color="CCCCCC"/>
            <w:right w:val="none" w:sz="0" w:space="0" w:color="auto"/>
          </w:divBdr>
        </w:div>
        <w:div w:id="1762871627">
          <w:marLeft w:val="0"/>
          <w:marRight w:val="0"/>
          <w:marTop w:val="0"/>
          <w:marBottom w:val="0"/>
          <w:divBdr>
            <w:top w:val="none" w:sz="0" w:space="0" w:color="auto"/>
            <w:left w:val="none" w:sz="0" w:space="0" w:color="auto"/>
            <w:bottom w:val="none" w:sz="0" w:space="0" w:color="auto"/>
            <w:right w:val="none" w:sz="0" w:space="0" w:color="auto"/>
          </w:divBdr>
        </w:div>
      </w:divsChild>
    </w:div>
    <w:div w:id="1371105602">
      <w:bodyDiv w:val="1"/>
      <w:marLeft w:val="0"/>
      <w:marRight w:val="0"/>
      <w:marTop w:val="0"/>
      <w:marBottom w:val="0"/>
      <w:divBdr>
        <w:top w:val="none" w:sz="0" w:space="0" w:color="auto"/>
        <w:left w:val="none" w:sz="0" w:space="0" w:color="auto"/>
        <w:bottom w:val="none" w:sz="0" w:space="0" w:color="auto"/>
        <w:right w:val="none" w:sz="0" w:space="0" w:color="auto"/>
      </w:divBdr>
      <w:divsChild>
        <w:div w:id="76370381">
          <w:marLeft w:val="0"/>
          <w:marRight w:val="0"/>
          <w:marTop w:val="75"/>
          <w:marBottom w:val="90"/>
          <w:divBdr>
            <w:top w:val="none" w:sz="0" w:space="2" w:color="auto"/>
            <w:left w:val="none" w:sz="0" w:space="0" w:color="auto"/>
            <w:bottom w:val="single" w:sz="6" w:space="5" w:color="CCCCCC"/>
            <w:right w:val="none" w:sz="0" w:space="0" w:color="auto"/>
          </w:divBdr>
        </w:div>
        <w:div w:id="1040086587">
          <w:marLeft w:val="0"/>
          <w:marRight w:val="0"/>
          <w:marTop w:val="0"/>
          <w:marBottom w:val="0"/>
          <w:divBdr>
            <w:top w:val="none" w:sz="0" w:space="0" w:color="auto"/>
            <w:left w:val="none" w:sz="0" w:space="0" w:color="auto"/>
            <w:bottom w:val="none" w:sz="0" w:space="0" w:color="auto"/>
            <w:right w:val="none" w:sz="0" w:space="0" w:color="auto"/>
          </w:divBdr>
        </w:div>
      </w:divsChild>
    </w:div>
    <w:div w:id="1560676500">
      <w:bodyDiv w:val="1"/>
      <w:marLeft w:val="0"/>
      <w:marRight w:val="0"/>
      <w:marTop w:val="0"/>
      <w:marBottom w:val="0"/>
      <w:divBdr>
        <w:top w:val="none" w:sz="0" w:space="0" w:color="auto"/>
        <w:left w:val="none" w:sz="0" w:space="0" w:color="auto"/>
        <w:bottom w:val="none" w:sz="0" w:space="0" w:color="auto"/>
        <w:right w:val="none" w:sz="0" w:space="0" w:color="auto"/>
      </w:divBdr>
      <w:divsChild>
        <w:div w:id="182943530">
          <w:marLeft w:val="0"/>
          <w:marRight w:val="0"/>
          <w:marTop w:val="75"/>
          <w:marBottom w:val="90"/>
          <w:divBdr>
            <w:top w:val="none" w:sz="0" w:space="2" w:color="auto"/>
            <w:left w:val="none" w:sz="0" w:space="0" w:color="auto"/>
            <w:bottom w:val="single" w:sz="6" w:space="5" w:color="CCCCCC"/>
            <w:right w:val="none" w:sz="0" w:space="0" w:color="auto"/>
          </w:divBdr>
        </w:div>
        <w:div w:id="643242088">
          <w:marLeft w:val="0"/>
          <w:marRight w:val="0"/>
          <w:marTop w:val="0"/>
          <w:marBottom w:val="0"/>
          <w:divBdr>
            <w:top w:val="none" w:sz="0" w:space="0" w:color="auto"/>
            <w:left w:val="none" w:sz="0" w:space="0" w:color="auto"/>
            <w:bottom w:val="none" w:sz="0" w:space="0" w:color="auto"/>
            <w:right w:val="none" w:sz="0" w:space="0" w:color="auto"/>
          </w:divBdr>
        </w:div>
      </w:divsChild>
    </w:div>
    <w:div w:id="1847867270">
      <w:bodyDiv w:val="1"/>
      <w:marLeft w:val="0"/>
      <w:marRight w:val="0"/>
      <w:marTop w:val="0"/>
      <w:marBottom w:val="0"/>
      <w:divBdr>
        <w:top w:val="none" w:sz="0" w:space="0" w:color="auto"/>
        <w:left w:val="none" w:sz="0" w:space="0" w:color="auto"/>
        <w:bottom w:val="none" w:sz="0" w:space="0" w:color="auto"/>
        <w:right w:val="none" w:sz="0" w:space="0" w:color="auto"/>
      </w:divBdr>
      <w:divsChild>
        <w:div w:id="214239883">
          <w:marLeft w:val="0"/>
          <w:marRight w:val="0"/>
          <w:marTop w:val="75"/>
          <w:marBottom w:val="90"/>
          <w:divBdr>
            <w:top w:val="none" w:sz="0" w:space="2" w:color="auto"/>
            <w:left w:val="none" w:sz="0" w:space="0" w:color="auto"/>
            <w:bottom w:val="single" w:sz="6" w:space="5" w:color="CCCCCC"/>
            <w:right w:val="none" w:sz="0" w:space="0" w:color="auto"/>
          </w:divBdr>
        </w:div>
        <w:div w:id="1514197">
          <w:marLeft w:val="0"/>
          <w:marRight w:val="0"/>
          <w:marTop w:val="0"/>
          <w:marBottom w:val="0"/>
          <w:divBdr>
            <w:top w:val="none" w:sz="0" w:space="0" w:color="auto"/>
            <w:left w:val="none" w:sz="0" w:space="0" w:color="auto"/>
            <w:bottom w:val="none" w:sz="0" w:space="0" w:color="auto"/>
            <w:right w:val="none" w:sz="0" w:space="0" w:color="auto"/>
          </w:divBdr>
        </w:div>
      </w:divsChild>
    </w:div>
    <w:div w:id="1864662975">
      <w:bodyDiv w:val="1"/>
      <w:marLeft w:val="0"/>
      <w:marRight w:val="0"/>
      <w:marTop w:val="0"/>
      <w:marBottom w:val="0"/>
      <w:divBdr>
        <w:top w:val="none" w:sz="0" w:space="0" w:color="auto"/>
        <w:left w:val="none" w:sz="0" w:space="0" w:color="auto"/>
        <w:bottom w:val="none" w:sz="0" w:space="0" w:color="auto"/>
        <w:right w:val="none" w:sz="0" w:space="0" w:color="auto"/>
      </w:divBdr>
      <w:divsChild>
        <w:div w:id="121845703">
          <w:marLeft w:val="0"/>
          <w:marRight w:val="0"/>
          <w:marTop w:val="75"/>
          <w:marBottom w:val="90"/>
          <w:divBdr>
            <w:top w:val="none" w:sz="0" w:space="2" w:color="auto"/>
            <w:left w:val="none" w:sz="0" w:space="0" w:color="auto"/>
            <w:bottom w:val="single" w:sz="6" w:space="5" w:color="CCCCCC"/>
            <w:right w:val="none" w:sz="0" w:space="0" w:color="auto"/>
          </w:divBdr>
        </w:div>
        <w:div w:id="1674524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Shen</dc:creator>
  <cp:keywords/>
  <dc:description/>
  <cp:lastModifiedBy>Trong Shen</cp:lastModifiedBy>
  <cp:revision>23</cp:revision>
  <dcterms:created xsi:type="dcterms:W3CDTF">2019-05-02T02:45:00Z</dcterms:created>
  <dcterms:modified xsi:type="dcterms:W3CDTF">2019-05-02T03:34:00Z</dcterms:modified>
</cp:coreProperties>
</file>