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1F5BD8"/>
          <w:sz w:val="24"/>
          <w:szCs w:val="24"/>
        </w:rPr>
        <w:t xml:space="preserve">PayKX – Ví điện tử cho sinh viên</w:t>
      </w:r>
    </w:p>
    <w:p>
      <w:pPr>
        <w:pStyle w:val="Title"/>
      </w:pPr>
      <w:r>
        <w:t xml:space="preserve">TÀI LIỆU MÔ TẢ TÍNH NĂNG HOÀN TIỀN</w:t>
      </w:r>
    </w:p>
    <w:p>
      <w:pPr>
        <w:spacing w:after="100" w:line="300"/>
        <w:rPr>
          <w:color w:val="555555"/>
        </w:rPr>
      </w:pPr>
      <w:r>
        <w:rPr>
          <w:rFonts w:ascii="Arial" w:cs="Arial" w:eastAsia="Arial" w:hAnsi="Arial"/>
          <w:color w:val="555555"/>
          <w:sz w:val="22"/>
          <w:szCs w:val="22"/>
        </w:rPr>
        <w:t xml:space="preserve">Software Requirements Specification (SRS) – Phiên bản 1.0 – 20/05/2024</w:t>
      </w:r>
    </w:p>
    <w:p>
      <w:pPr>
        <w:spacing w:after="80"/>
      </w:pPr>
    </w:p>
    <w:p>
      <w:pPr>
        <w:spacing w:after="120" w:before="200"/>
      </w:pPr>
      <w:r>
        <w:rPr>
          <w:rFonts w:ascii="Arial" w:cs="Arial" w:eastAsia="Arial" w:hAnsi="Arial"/>
          <w:b/>
          <w:bCs/>
          <w:color w:val="12285F"/>
          <w:sz w:val="26"/>
          <w:szCs w:val="26"/>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Giới thiệu</w:t>
      </w:r>
    </w:p>
    <w:p>
      <w:pPr>
        <w:pStyle w:val="Heading2"/>
      </w:pPr>
      <w:r>
        <w:t xml:space="preserve">1.1 Mục đích</w:t>
      </w:r>
    </w:p>
    <w:p>
      <w:pPr>
        <w:spacing w:after="100" w:line="300"/>
      </w:pPr>
      <w:r>
        <w:rPr>
          <w:rFonts w:ascii="Arial" w:cs="Arial" w:eastAsia="Arial" w:hAnsi="Arial"/>
          <w:sz w:val="22"/>
          <w:szCs w:val="22"/>
        </w:rPr>
        <w:t xml:space="preserve">Tài liệu mô tả yêu cầu chức năng “Hoàn tiền” trên ví điện tử PayKX, làm căn cứ để nhóm phát triển, kiểm thử và vận hành triển khai thống nhất.</w:t>
      </w:r>
    </w:p>
    <w:p>
      <w:pPr>
        <w:pStyle w:val="Heading2"/>
      </w:pPr>
      <w:r>
        <w:t xml:space="preserve">1.2 Phạm vi</w:t>
      </w:r>
    </w:p>
    <w:p>
      <w:pPr>
        <w:spacing w:after="100" w:line="300"/>
      </w:pPr>
      <w:r>
        <w:rPr>
          <w:rFonts w:ascii="Arial" w:cs="Arial" w:eastAsia="Arial" w:hAnsi="Arial"/>
          <w:sz w:val="22"/>
          <w:szCs w:val="22"/>
        </w:rPr>
        <w:t xml:space="preserve">Áp dụng cho các giao dịch thanh toán qua ví PayKX bị lỗi, bị hủy hoặc thanh toán sai. Không áp dụng cho giao dịch rút tiền về ngân hàng đã hoàn tất.</w:t>
      </w:r>
    </w:p>
    <w:p>
      <w:pPr>
        <w:pStyle w:val="Heading2"/>
      </w:pPr>
      <w:r>
        <w:t xml:space="preserve">1.3 Thuật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B8C4DC" w:sz="4"/>
              <w:left w:val="single" w:color="B8C4DC" w:sz="4"/>
              <w:bottom w:val="single" w:color="B8C4DC" w:sz="4"/>
              <w:right w:val="single" w:color="B8C4DC" w:sz="4"/>
            </w:tcBorders>
            <w:shd w:fill="12285F" w:color="auto" w:val="clear"/>
            <w:tcMar>
              <w:top w:type="dxa" w:w="60"/>
              <w:left w:type="dxa" w:w="100"/>
              <w:bottom w:type="dxa" w:w="60"/>
              <w:right w:type="dxa" w:w="100"/>
            </w:tcMar>
          </w:tcPr>
          <w:p>
            <w:r>
              <w:rPr>
                <w:rFonts w:ascii="Arial" w:cs="Arial" w:eastAsia="Arial" w:hAnsi="Arial"/>
                <w:b/>
                <w:bCs/>
                <w:color w:val="FFFFFF"/>
                <w:sz w:val="20"/>
                <w:szCs w:val="20"/>
              </w:rPr>
              <w:t xml:space="preserve">Thuật ngữ</w:t>
            </w:r>
          </w:p>
        </w:tc>
        <w:tc>
          <w:tcPr>
            <w:tcW w:type="dxa" w:w="7438"/>
            <w:tcBorders>
              <w:top w:val="single" w:color="B8C4DC" w:sz="4"/>
              <w:left w:val="single" w:color="B8C4DC" w:sz="4"/>
              <w:bottom w:val="single" w:color="B8C4DC" w:sz="4"/>
              <w:right w:val="single" w:color="B8C4DC" w:sz="4"/>
            </w:tcBorders>
            <w:shd w:fill="12285F" w:color="auto" w:val="clear"/>
            <w:tcMar>
              <w:top w:type="dxa" w:w="60"/>
              <w:left w:type="dxa" w:w="100"/>
              <w:bottom w:type="dxa" w:w="60"/>
              <w:right w:type="dxa" w:w="100"/>
            </w:tcMar>
          </w:tcPr>
          <w:p>
            <w:r>
              <w:rPr>
                <w:rFonts w:ascii="Arial" w:cs="Arial" w:eastAsia="Arial" w:hAnsi="Arial"/>
                <w:b/>
                <w:bCs/>
                <w:color w:val="FFFFFF"/>
                <w:sz w:val="20"/>
                <w:szCs w:val="20"/>
              </w:rPr>
              <w:t xml:space="preserve">Giải thích</w:t>
            </w:r>
          </w:p>
        </w:tc>
      </w:tr>
      <w:tr>
        <w:tc>
          <w:tcPr>
            <w:tcW w:type="dxa" w:w="2200"/>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SRS</w:t>
            </w:r>
          </w:p>
        </w:tc>
        <w:tc>
          <w:tcPr>
            <w:tcW w:type="dxa" w:w="7438"/>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Tài liệu đặc tả yêu cầu phần mềm.</w:t>
            </w:r>
          </w:p>
        </w:tc>
      </w:tr>
      <w:tr>
        <w:tc>
          <w:tcPr>
            <w:tcW w:type="dxa" w:w="2200"/>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GD</w:t>
            </w:r>
          </w:p>
        </w:tc>
        <w:tc>
          <w:tcPr>
            <w:tcW w:type="dxa" w:w="7438"/>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Giao dịch phát sinh trên ví PayKX.</w:t>
            </w:r>
          </w:p>
        </w:tc>
      </w:tr>
      <w:tr>
        <w:tc>
          <w:tcPr>
            <w:tcW w:type="dxa" w:w="2200"/>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Đối tác NH</w:t>
            </w:r>
          </w:p>
        </w:tc>
        <w:tc>
          <w:tcPr>
            <w:tcW w:type="dxa" w:w="7438"/>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Ngân hàng liên kết cung cấp kênh nạp/rút/thanh toán.</w:t>
            </w:r>
          </w:p>
        </w:tc>
      </w:tr>
      <w:tr>
        <w:tc>
          <w:tcPr>
            <w:tcW w:type="dxa" w:w="2200"/>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Hoàn tiền</w:t>
            </w:r>
          </w:p>
        </w:tc>
        <w:tc>
          <w:tcPr>
            <w:tcW w:type="dxa" w:w="7438"/>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Trả lại số tiền của giao dịch về ví hoặc tài khoản nguồn của người dùng.</w:t>
            </w:r>
          </w:p>
        </w:tc>
      </w:tr>
    </w:tbl>
    <w:p>
      <w:pPr>
        <w:pStyle w:val="Heading1"/>
      </w:pPr>
      <w:r>
        <w:t xml:space="preserve">2. Tổng quan tính năng</w:t>
      </w:r>
    </w:p>
    <w:p>
      <w:pPr>
        <w:pStyle w:val="Heading2"/>
      </w:pPr>
      <w:r>
        <w:t xml:space="preserve">2.1 Mô tả chung</w:t>
      </w:r>
    </w:p>
    <w:p>
      <w:pPr>
        <w:spacing w:after="100" w:line="300"/>
      </w:pPr>
      <w:r>
        <w:rPr>
          <w:rFonts w:ascii="Arial" w:cs="Arial" w:eastAsia="Arial" w:hAnsi="Arial"/>
          <w:sz w:val="22"/>
          <w:szCs w:val="22"/>
        </w:rPr>
        <w:t xml:space="preserve">Người dùng gửi yêu cầu hoàn tiền ngay trong ứng dụng. Hệ thống kiểm tra điều kiện, đối soát với đối tác ngân hàng và hoàn tiền tự động trong thời hạn quy định.</w:t>
      </w:r>
    </w:p>
    <w:p>
      <w:pPr>
        <w:pStyle w:val="Heading2"/>
      </w:pPr>
      <w:r>
        <w:t xml:space="preserve">2.2 Đối tượng sử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B8C4DC" w:sz="4"/>
              <w:left w:val="single" w:color="B8C4DC" w:sz="4"/>
              <w:bottom w:val="single" w:color="B8C4DC" w:sz="4"/>
              <w:right w:val="single" w:color="B8C4DC" w:sz="4"/>
            </w:tcBorders>
            <w:shd w:fill="12285F" w:color="auto" w:val="clear"/>
            <w:tcMar>
              <w:top w:type="dxa" w:w="60"/>
              <w:left w:type="dxa" w:w="100"/>
              <w:bottom w:type="dxa" w:w="60"/>
              <w:right w:type="dxa" w:w="100"/>
            </w:tcMar>
          </w:tcPr>
          <w:p>
            <w:r>
              <w:rPr>
                <w:rFonts w:ascii="Arial" w:cs="Arial" w:eastAsia="Arial" w:hAnsi="Arial"/>
                <w:b/>
                <w:bCs/>
                <w:color w:val="FFFFFF"/>
                <w:sz w:val="20"/>
                <w:szCs w:val="20"/>
              </w:rPr>
              <w:t xml:space="preserve">Vai trò</w:t>
            </w:r>
          </w:p>
        </w:tc>
        <w:tc>
          <w:tcPr>
            <w:tcW w:type="dxa" w:w="7238"/>
            <w:tcBorders>
              <w:top w:val="single" w:color="B8C4DC" w:sz="4"/>
              <w:left w:val="single" w:color="B8C4DC" w:sz="4"/>
              <w:bottom w:val="single" w:color="B8C4DC" w:sz="4"/>
              <w:right w:val="single" w:color="B8C4DC" w:sz="4"/>
            </w:tcBorders>
            <w:shd w:fill="12285F" w:color="auto" w:val="clear"/>
            <w:tcMar>
              <w:top w:type="dxa" w:w="60"/>
              <w:left w:type="dxa" w:w="100"/>
              <w:bottom w:type="dxa" w:w="60"/>
              <w:right w:type="dxa" w:w="100"/>
            </w:tcMar>
          </w:tcPr>
          <w:p>
            <w:r>
              <w:rPr>
                <w:rFonts w:ascii="Arial" w:cs="Arial" w:eastAsia="Arial" w:hAnsi="Arial"/>
                <w:b/>
                <w:bCs/>
                <w:color w:val="FFFFFF"/>
                <w:sz w:val="20"/>
                <w:szCs w:val="20"/>
              </w:rPr>
              <w:t xml:space="preserve">Nhiệm vụ</w:t>
            </w:r>
          </w:p>
        </w:tc>
      </w:tr>
      <w:tr>
        <w:tc>
          <w:tcPr>
            <w:tcW w:type="dxa" w:w="2400"/>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Sinh viên (người dùng)</w:t>
            </w:r>
          </w:p>
        </w:tc>
        <w:tc>
          <w:tcPr>
            <w:tcW w:type="dxa" w:w="7238"/>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Tạo yêu cầu, theo dõi trạng thái hoàn tiền.</w:t>
            </w:r>
          </w:p>
        </w:tc>
      </w:tr>
      <w:tr>
        <w:tc>
          <w:tcPr>
            <w:tcW w:type="dxa" w:w="2400"/>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Nhân viên CSKH</w:t>
            </w:r>
          </w:p>
        </w:tc>
        <w:tc>
          <w:tcPr>
            <w:tcW w:type="dxa" w:w="7238"/>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Xem xét yêu cầu cần duyệt thủ công, phản hồi người dùng.</w:t>
            </w:r>
          </w:p>
        </w:tc>
      </w:tr>
      <w:tr>
        <w:tc>
          <w:tcPr>
            <w:tcW w:type="dxa" w:w="2400"/>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Kế toán đối soát</w:t>
            </w:r>
          </w:p>
        </w:tc>
        <w:tc>
          <w:tcPr>
            <w:tcW w:type="dxa" w:w="7238"/>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Đối chiếu giao dịch hoàn với báo cáo của đối tác ngân hàng.</w:t>
            </w:r>
          </w:p>
        </w:tc>
      </w:tr>
    </w:tbl>
    <w:p>
      <w:pPr>
        <w:spacing w:after="80"/>
      </w:pPr>
    </w:p>
    <w:p>
      <w:pPr>
        <w:pStyle w:val="Heading2"/>
      </w:pPr>
      <w:r>
        <w:t xml:space="preserve">2.3 Nguyên tắc hoạt động</w:t>
      </w:r>
    </w:p>
    <w:p>
      <w:pPr>
        <w:pStyle w:val="ListParagraph"/>
        <w:numPr>
          <w:ilvl w:val="0"/>
          <w:numId w:val="2"/>
        </w:numPr>
        <w:spacing w:after="60" w:line="290"/>
      </w:pPr>
      <w:r>
        <w:rPr>
          <w:rFonts w:ascii="Arial" w:cs="Arial" w:eastAsia="Arial" w:hAnsi="Arial"/>
          <w:sz w:val="22"/>
          <w:szCs w:val="22"/>
        </w:rPr>
        <w:t xml:space="preserve">Yêu cầu hoàn tiền được gửi từ lịch sử giao dịch.</w:t>
      </w:r>
    </w:p>
    <w:p>
      <w:pPr>
        <w:pStyle w:val="ListParagraph"/>
        <w:numPr>
          <w:ilvl w:val="0"/>
          <w:numId w:val="2"/>
        </w:numPr>
        <w:spacing w:after="60" w:line="290"/>
      </w:pPr>
      <w:r>
        <w:rPr>
          <w:rFonts w:ascii="Arial" w:cs="Arial" w:eastAsia="Arial" w:hAnsi="Arial"/>
          <w:sz w:val="22"/>
          <w:szCs w:val="22"/>
        </w:rPr>
        <w:t xml:space="preserve">Hệ thống tự kiểm tra điều kiện hoàn tiền.</w:t>
      </w:r>
    </w:p>
    <w:p>
      <w:pPr>
        <w:pStyle w:val="ListParagraph"/>
        <w:numPr>
          <w:ilvl w:val="0"/>
          <w:numId w:val="2"/>
        </w:numPr>
        <w:spacing w:after="60" w:line="290"/>
      </w:pPr>
      <w:r>
        <w:rPr>
          <w:rFonts w:ascii="Arial" w:cs="Arial" w:eastAsia="Arial" w:hAnsi="Arial"/>
          <w:sz w:val="22"/>
          <w:szCs w:val="22"/>
        </w:rPr>
        <w:t xml:space="preserve">Tiền được trả về ví hoặc tài khoản nguồn và người dùng nhận thông báo.</w:t>
      </w:r>
    </w:p>
    <w:p>
      <w:r>
        <w:br w:type="page"/>
      </w:r>
    </w:p>
    <w:p>
      <w:pPr>
        <w:pStyle w:val="Heading1"/>
      </w:pPr>
      <w:r>
        <w:t xml:space="preserve">3. Mô tả chi tiết</w:t>
      </w:r>
    </w:p>
    <w:p>
      <w:pPr>
        <w:pStyle w:val="Heading2"/>
      </w:pPr>
      <w:r>
        <w:t xml:space="preserve">3.1 Tạo yêu cầu hoàn tiền</w:t>
      </w:r>
    </w:p>
    <w:p>
      <w:pPr>
        <w:spacing w:after="100" w:line="300"/>
      </w:pPr>
      <w:r>
        <w:rPr>
          <w:rFonts w:ascii="Arial" w:cs="Arial" w:eastAsia="Arial" w:hAnsi="Arial"/>
          <w:sz w:val="22"/>
          <w:szCs w:val="22"/>
        </w:rPr>
        <w:t xml:space="preserve">Luồng chính:</w:t>
      </w:r>
    </w:p>
    <w:p>
      <w:pPr>
        <w:pStyle w:val="ListParagraph"/>
        <w:numPr>
          <w:ilvl w:val="0"/>
          <w:numId w:val="3"/>
        </w:numPr>
        <w:spacing w:after="60" w:line="290"/>
      </w:pPr>
      <w:r>
        <w:rPr>
          <w:rFonts w:ascii="Arial" w:cs="Arial" w:eastAsia="Arial" w:hAnsi="Arial"/>
          <w:sz w:val="22"/>
          <w:szCs w:val="22"/>
        </w:rPr>
        <w:t xml:space="preserve">Người dùng mở Lịch sử giao dịch và chọn giao dịch cần hoàn.</w:t>
      </w:r>
    </w:p>
    <w:p>
      <w:pPr>
        <w:pStyle w:val="ListParagraph"/>
        <w:numPr>
          <w:ilvl w:val="0"/>
          <w:numId w:val="3"/>
        </w:numPr>
        <w:spacing w:after="60" w:line="290"/>
      </w:pPr>
      <w:r>
        <w:rPr>
          <w:rFonts w:ascii="Arial" w:cs="Arial" w:eastAsia="Arial" w:hAnsi="Arial"/>
          <w:sz w:val="22"/>
          <w:szCs w:val="22"/>
        </w:rPr>
        <w:t xml:space="preserve">Chọn “Yêu cầu hoàn tiền”, chọn lý do và đính kèm minh chứng (nếu có).</w:t>
      </w:r>
    </w:p>
    <w:p>
      <w:pPr>
        <w:pStyle w:val="ListParagraph"/>
        <w:numPr>
          <w:ilvl w:val="0"/>
          <w:numId w:val="3"/>
        </w:numPr>
        <w:spacing w:after="60" w:line="290"/>
      </w:pPr>
      <w:r>
        <w:rPr>
          <w:rFonts w:ascii="Arial" w:cs="Arial" w:eastAsia="Arial" w:hAnsi="Arial"/>
          <w:sz w:val="22"/>
          <w:szCs w:val="22"/>
        </w:rPr>
        <w:t xml:space="preserve">Hệ thống kiểm tra điều kiện (thời hạn, trạng thái, số tiền).</w:t>
      </w:r>
    </w:p>
    <w:p>
      <w:pPr>
        <w:pStyle w:val="ListParagraph"/>
        <w:numPr>
          <w:ilvl w:val="0"/>
          <w:numId w:val="3"/>
        </w:numPr>
        <w:spacing w:after="60" w:line="290"/>
      </w:pPr>
      <w:r>
        <w:rPr>
          <w:rFonts w:ascii="Arial" w:cs="Arial" w:eastAsia="Arial" w:hAnsi="Arial"/>
          <w:sz w:val="22"/>
          <w:szCs w:val="22"/>
        </w:rPr>
        <w:t xml:space="preserve">Hệ thống tạo mã yêu cầu và chuyển sang xử lý.</w:t>
      </w:r>
    </w:p>
    <w:p>
      <w:pPr>
        <w:spacing w:after="80"/>
      </w:pPr>
    </w:p>
    <w:p>
      <w:pPr>
        <w:spacing w:after="100" w:line="300"/>
        <w:rPr>
          <w:b/>
          <w:bCs/>
        </w:rPr>
      </w:pPr>
      <w:r>
        <w:rPr>
          <w:rFonts w:ascii="Arial" w:cs="Arial" w:eastAsia="Arial" w:hAnsi="Arial"/>
          <w:b/>
          <w:bCs/>
          <w:sz w:val="22"/>
          <w:szCs w:val="22"/>
        </w:rPr>
        <w:t xml:space="preserve">Dữ liệu đầu vào: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438"/>
      </w:tblGrid>
      <w:tr>
        <w:trPr>
          <w:tblHeader/>
        </w:trPr>
        <w:tc>
          <w:tcPr>
            <w:tcW w:type="dxa" w:w="2300"/>
            <w:tcBorders>
              <w:top w:val="single" w:color="B8C4DC" w:sz="4"/>
              <w:left w:val="single" w:color="B8C4DC" w:sz="4"/>
              <w:bottom w:val="single" w:color="B8C4DC" w:sz="4"/>
              <w:right w:val="single" w:color="B8C4DC" w:sz="4"/>
            </w:tcBorders>
            <w:shd w:fill="12285F" w:color="auto" w:val="clear"/>
            <w:tcMar>
              <w:top w:type="dxa" w:w="60"/>
              <w:left w:type="dxa" w:w="100"/>
              <w:bottom w:type="dxa" w:w="60"/>
              <w:right w:type="dxa" w:w="100"/>
            </w:tcMar>
          </w:tcPr>
          <w:p>
            <w:r>
              <w:rPr>
                <w:rFonts w:ascii="Arial" w:cs="Arial" w:eastAsia="Arial" w:hAnsi="Arial"/>
                <w:b/>
                <w:bCs/>
                <w:color w:val="FFFFFF"/>
                <w:sz w:val="20"/>
                <w:szCs w:val="20"/>
              </w:rPr>
              <w:t xml:space="preserve">Trường</w:t>
            </w:r>
          </w:p>
        </w:tc>
        <w:tc>
          <w:tcPr>
            <w:tcW w:type="dxa" w:w="1900"/>
            <w:tcBorders>
              <w:top w:val="single" w:color="B8C4DC" w:sz="4"/>
              <w:left w:val="single" w:color="B8C4DC" w:sz="4"/>
              <w:bottom w:val="single" w:color="B8C4DC" w:sz="4"/>
              <w:right w:val="single" w:color="B8C4DC" w:sz="4"/>
            </w:tcBorders>
            <w:shd w:fill="12285F" w:color="auto" w:val="clear"/>
            <w:tcMar>
              <w:top w:type="dxa" w:w="60"/>
              <w:left w:type="dxa" w:w="100"/>
              <w:bottom w:type="dxa" w:w="60"/>
              <w:right w:type="dxa" w:w="100"/>
            </w:tcMar>
          </w:tcPr>
          <w:p>
            <w:r>
              <w:rPr>
                <w:rFonts w:ascii="Arial" w:cs="Arial" w:eastAsia="Arial" w:hAnsi="Arial"/>
                <w:b/>
                <w:bCs/>
                <w:color w:val="FFFFFF"/>
                <w:sz w:val="20"/>
                <w:szCs w:val="20"/>
              </w:rPr>
              <w:t xml:space="preserve">Bắt buộc</w:t>
            </w:r>
          </w:p>
        </w:tc>
        <w:tc>
          <w:tcPr>
            <w:tcW w:type="dxa" w:w="5438"/>
            <w:tcBorders>
              <w:top w:val="single" w:color="B8C4DC" w:sz="4"/>
              <w:left w:val="single" w:color="B8C4DC" w:sz="4"/>
              <w:bottom w:val="single" w:color="B8C4DC" w:sz="4"/>
              <w:right w:val="single" w:color="B8C4DC" w:sz="4"/>
            </w:tcBorders>
            <w:shd w:fill="12285F" w:color="auto" w:val="clear"/>
            <w:tcMar>
              <w:top w:type="dxa" w:w="60"/>
              <w:left w:type="dxa" w:w="100"/>
              <w:bottom w:type="dxa" w:w="60"/>
              <w:right w:type="dxa" w:w="100"/>
            </w:tcMar>
          </w:tcPr>
          <w:p>
            <w:r>
              <w:rPr>
                <w:rFonts w:ascii="Arial" w:cs="Arial" w:eastAsia="Arial" w:hAnsi="Arial"/>
                <w:b/>
                <w:bCs/>
                <w:color w:val="FFFFFF"/>
                <w:sz w:val="20"/>
                <w:szCs w:val="20"/>
              </w:rPr>
              <w:t xml:space="preserve">Quy tắc</w:t>
            </w:r>
          </w:p>
        </w:tc>
      </w:tr>
      <w:tr>
        <w:tc>
          <w:tcPr>
            <w:tcW w:type="dxa" w:w="2300"/>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Mã giao dịch</w:t>
            </w:r>
          </w:p>
        </w:tc>
        <w:tc>
          <w:tcPr>
            <w:tcW w:type="dxa" w:w="1900"/>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Có</w:t>
            </w:r>
          </w:p>
        </w:tc>
        <w:tc>
          <w:tcPr>
            <w:tcW w:type="dxa" w:w="5438"/>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Chọn từ lịch sử, định dạng GDxxxxxxxx.</w:t>
            </w:r>
          </w:p>
        </w:tc>
      </w:tr>
      <w:tr>
        <w:tc>
          <w:tcPr>
            <w:tcW w:type="dxa" w:w="2300"/>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Lý do hoàn tiền</w:t>
            </w:r>
          </w:p>
        </w:tc>
        <w:tc>
          <w:tcPr>
            <w:tcW w:type="dxa" w:w="1900"/>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Có</w:t>
            </w:r>
          </w:p>
        </w:tc>
        <w:tc>
          <w:tcPr>
            <w:tcW w:type="dxa" w:w="5438"/>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Chọn danh mục: lỗi hệ thống, thanh toán nhầm, hủy đơn.</w:t>
            </w:r>
          </w:p>
        </w:tc>
      </w:tr>
      <w:tr>
        <w:tc>
          <w:tcPr>
            <w:tcW w:type="dxa" w:w="2300"/>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Số tiền hoàn</w:t>
            </w:r>
          </w:p>
        </w:tc>
        <w:tc>
          <w:tcPr>
            <w:tcW w:type="dxa" w:w="1900"/>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Có</w:t>
            </w:r>
          </w:p>
        </w:tc>
        <w:tc>
          <w:tcPr>
            <w:tcW w:type="dxa" w:w="5438"/>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Không vượt số tiền giao dịch gốc.</w:t>
            </w:r>
          </w:p>
        </w:tc>
      </w:tr>
      <w:tr>
        <w:tc>
          <w:tcPr>
            <w:tcW w:type="dxa" w:w="2300"/>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Minh chứng</w:t>
            </w:r>
          </w:p>
        </w:tc>
        <w:tc>
          <w:tcPr>
            <w:tcW w:type="dxa" w:w="1900"/>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Không</w:t>
            </w:r>
          </w:p>
        </w:tc>
        <w:tc>
          <w:tcPr>
            <w:tcW w:type="dxa" w:w="5438"/>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Ảnh PNG/JPG, tối đa 5 MB.</w:t>
            </w:r>
          </w:p>
        </w:tc>
      </w:tr>
    </w:tbl>
    <w:p>
      <w:pPr>
        <w:pStyle w:val="Heading2"/>
      </w:pPr>
      <w:r>
        <w:t xml:space="preserve">3.2 Xử lý hoàn tiền</w:t>
      </w:r>
    </w:p>
    <w:p>
      <w:pPr>
        <w:spacing w:after="100" w:line="300"/>
      </w:pPr>
      <w:r>
        <w:rPr>
          <w:rFonts w:ascii="Arial" w:cs="Arial" w:eastAsia="Arial" w:hAnsi="Arial"/>
          <w:sz w:val="22"/>
          <w:szCs w:val="22"/>
        </w:rPr>
        <w:t xml:space="preserve">Hệ thống phân loại yêu cầu theo hai nhánh:</w:t>
      </w:r>
    </w:p>
    <w:p>
      <w:pPr>
        <w:pStyle w:val="ListParagraph"/>
        <w:numPr>
          <w:ilvl w:val="0"/>
          <w:numId w:val="2"/>
        </w:numPr>
        <w:spacing w:after="60" w:line="290"/>
      </w:pPr>
      <w:r>
        <w:rPr>
          <w:rFonts w:ascii="Arial" w:cs="Arial" w:eastAsia="Arial" w:hAnsi="Arial"/>
          <w:sz w:val="22"/>
          <w:szCs w:val="22"/>
        </w:rPr>
        <w:t xml:space="preserve">Tự động: giao dịch lỗi hệ thống hoặc có xác nhận thất bại từ đối tác NH; hoàn trong 24 giờ.</w:t>
      </w:r>
    </w:p>
    <w:p>
      <w:pPr>
        <w:pStyle w:val="ListParagraph"/>
        <w:numPr>
          <w:ilvl w:val="0"/>
          <w:numId w:val="2"/>
        </w:numPr>
        <w:spacing w:after="60" w:line="290"/>
      </w:pPr>
      <w:r>
        <w:rPr>
          <w:rFonts w:ascii="Arial" w:cs="Arial" w:eastAsia="Arial" w:hAnsi="Arial"/>
          <w:sz w:val="22"/>
          <w:szCs w:val="22"/>
        </w:rPr>
        <w:t xml:space="preserve">Thủ công: các trường hợp còn lại do CSKH duyệt trong 3 ngày làm việc.</w:t>
      </w:r>
    </w:p>
    <w:p>
      <w:pPr>
        <w:spacing w:after="100" w:line="300"/>
      </w:pPr>
      <w:r>
        <w:rPr>
          <w:rFonts w:ascii="Arial" w:cs="Arial" w:eastAsia="Arial" w:hAnsi="Arial"/>
          <w:sz w:val="22"/>
          <w:szCs w:val="22"/>
        </w:rPr>
        <w:t xml:space="preserve">Khi duyệt xong, hệ thống ghi bút toán hoàn, cập nhật số dư ví và đẩy dữ liệu sang bộ phận đối soát.</w:t>
      </w:r>
    </w:p>
    <w:p>
      <w:pPr>
        <w:pStyle w:val="Heading2"/>
      </w:pPr>
      <w:r>
        <w:t xml:space="preserve">3.3 Thông báo kết quả</w:t>
      </w:r>
    </w:p>
    <w:p>
      <w:pPr>
        <w:spacing w:after="100" w:line="300"/>
      </w:pPr>
      <w:r>
        <w:rPr>
          <w:rFonts w:ascii="Arial" w:cs="Arial" w:eastAsia="Arial" w:hAnsi="Arial"/>
          <w:sz w:val="22"/>
          <w:szCs w:val="22"/>
        </w:rPr>
        <w:t xml:space="preserve">Người dùng nhận thông báo đẩy và email ở ba thời điểm: đã tiếp nhận, đã duyệt/từ chối (kèm lý do), đã hoàn tiền thành công.</w:t>
      </w:r>
    </w:p>
    <w:p>
      <w:r>
        <w:br w:type="page"/>
      </w:r>
    </w:p>
    <w:p>
      <w:pPr>
        <w:pStyle w:val="Heading1"/>
      </w:pPr>
      <w:r>
        <w:t xml:space="preserve">4. Quy định và giới hạn</w:t>
      </w:r>
    </w:p>
    <w:p>
      <w:pPr>
        <w:pStyle w:val="Heading2"/>
      </w:pPr>
      <w:r>
        <w:t xml:space="preserve">4.1 Quy tắc nghiệp vụ</w:t>
      </w:r>
    </w:p>
    <w:p>
      <w:pPr>
        <w:pStyle w:val="ListParagraph"/>
        <w:numPr>
          <w:ilvl w:val="0"/>
          <w:numId w:val="2"/>
        </w:numPr>
        <w:spacing w:after="60" w:line="290"/>
      </w:pPr>
      <w:r>
        <w:rPr>
          <w:rFonts w:ascii="Arial" w:cs="Arial" w:eastAsia="Arial" w:hAnsi="Arial"/>
          <w:sz w:val="22"/>
          <w:szCs w:val="22"/>
        </w:rPr>
        <w:t xml:space="preserve">Chỉ hoàn giao dịch trong vòng 30 ngày kể từ ngày phát sinh.</w:t>
      </w:r>
    </w:p>
    <w:p>
      <w:pPr>
        <w:pStyle w:val="ListParagraph"/>
        <w:numPr>
          <w:ilvl w:val="0"/>
          <w:numId w:val="2"/>
        </w:numPr>
        <w:spacing w:after="60" w:line="290"/>
      </w:pPr>
      <w:r>
        <w:rPr>
          <w:rFonts w:ascii="Arial" w:cs="Arial" w:eastAsia="Arial" w:hAnsi="Arial"/>
          <w:sz w:val="22"/>
          <w:szCs w:val="22"/>
        </w:rPr>
        <w:t xml:space="preserve">Mỗi giao dịch chỉ được yêu cầu hoàn tiền một lần.</w:t>
      </w:r>
    </w:p>
    <w:p>
      <w:pPr>
        <w:pStyle w:val="ListParagraph"/>
        <w:numPr>
          <w:ilvl w:val="0"/>
          <w:numId w:val="2"/>
        </w:numPr>
        <w:spacing w:after="60" w:line="290"/>
      </w:pPr>
      <w:r>
        <w:rPr>
          <w:rFonts w:ascii="Arial" w:cs="Arial" w:eastAsia="Arial" w:hAnsi="Arial"/>
          <w:sz w:val="22"/>
          <w:szCs w:val="22"/>
        </w:rPr>
        <w:t xml:space="preserve">Phí giao dịch của đối tác ngân hàng được hoàn theo chính sách từng đối tác.</w:t>
      </w:r>
    </w:p>
    <w:p>
      <w:pPr>
        <w:pStyle w:val="Heading2"/>
      </w:pPr>
      <w:r>
        <w:t xml:space="preserve">4.2 Giới hạn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B8C4DC" w:sz="4"/>
              <w:left w:val="single" w:color="B8C4DC" w:sz="4"/>
              <w:bottom w:val="single" w:color="B8C4DC" w:sz="4"/>
              <w:right w:val="single" w:color="B8C4DC" w:sz="4"/>
            </w:tcBorders>
            <w:shd w:fill="12285F" w:color="auto" w:val="clear"/>
            <w:tcMar>
              <w:top w:type="dxa" w:w="60"/>
              <w:left w:type="dxa" w:w="100"/>
              <w:bottom w:type="dxa" w:w="60"/>
              <w:right w:type="dxa" w:w="100"/>
            </w:tcMar>
          </w:tcPr>
          <w:p>
            <w:r>
              <w:rPr>
                <w:rFonts w:ascii="Arial" w:cs="Arial" w:eastAsia="Arial" w:hAnsi="Arial"/>
                <w:b/>
                <w:bCs/>
                <w:color w:val="FFFFFF"/>
                <w:sz w:val="20"/>
                <w:szCs w:val="20"/>
              </w:rPr>
              <w:t xml:space="preserve">Hạng mục</w:t>
            </w:r>
          </w:p>
        </w:tc>
        <w:tc>
          <w:tcPr>
            <w:tcW w:type="dxa" w:w="5438"/>
            <w:tcBorders>
              <w:top w:val="single" w:color="B8C4DC" w:sz="4"/>
              <w:left w:val="single" w:color="B8C4DC" w:sz="4"/>
              <w:bottom w:val="single" w:color="B8C4DC" w:sz="4"/>
              <w:right w:val="single" w:color="B8C4DC" w:sz="4"/>
            </w:tcBorders>
            <w:shd w:fill="12285F" w:color="auto" w:val="clear"/>
            <w:tcMar>
              <w:top w:type="dxa" w:w="60"/>
              <w:left w:type="dxa" w:w="100"/>
              <w:bottom w:type="dxa" w:w="60"/>
              <w:right w:type="dxa" w:w="100"/>
            </w:tcMar>
          </w:tcPr>
          <w:p>
            <w:r>
              <w:rPr>
                <w:rFonts w:ascii="Arial" w:cs="Arial" w:eastAsia="Arial" w:hAnsi="Arial"/>
                <w:b/>
                <w:bCs/>
                <w:color w:val="FFFFFF"/>
                <w:sz w:val="20"/>
                <w:szCs w:val="20"/>
              </w:rPr>
              <w:t xml:space="preserve">Giá trị</w:t>
            </w:r>
          </w:p>
        </w:tc>
      </w:tr>
      <w:tr>
        <w:tc>
          <w:tcPr>
            <w:tcW w:type="dxa" w:w="4200"/>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Thời hạn gửi yêu cầu</w:t>
            </w:r>
          </w:p>
        </w:tc>
        <w:tc>
          <w:tcPr>
            <w:tcW w:type="dxa" w:w="5438"/>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Tối đa 30 ngày</w:t>
            </w:r>
          </w:p>
        </w:tc>
      </w:tr>
      <w:tr>
        <w:tc>
          <w:tcPr>
            <w:tcW w:type="dxa" w:w="4200"/>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Hạn mức hoàn tiền / yêu cầu</w:t>
            </w:r>
          </w:p>
        </w:tc>
        <w:tc>
          <w:tcPr>
            <w:tcW w:type="dxa" w:w="5438"/>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Tối đa bằng số tiền giao dịch gốc</w:t>
            </w:r>
          </w:p>
        </w:tc>
      </w:tr>
      <w:tr>
        <w:tc>
          <w:tcPr>
            <w:tcW w:type="dxa" w:w="4200"/>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Thời gian hoàn tự động</w:t>
            </w:r>
          </w:p>
        </w:tc>
        <w:tc>
          <w:tcPr>
            <w:tcW w:type="dxa" w:w="5438"/>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 24 giờ</w:t>
            </w:r>
          </w:p>
        </w:tc>
      </w:tr>
      <w:tr>
        <w:tc>
          <w:tcPr>
            <w:tcW w:type="dxa" w:w="4200"/>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Thời gian duyệt thủ công</w:t>
            </w:r>
          </w:p>
        </w:tc>
        <w:tc>
          <w:tcPr>
            <w:tcW w:type="dxa" w:w="5438"/>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 3 ngày làm việc</w:t>
            </w:r>
          </w:p>
        </w:tc>
      </w:tr>
    </w:tbl>
    <w:p>
      <w:r>
        <w:br w:type="page"/>
      </w:r>
    </w:p>
    <w:p>
      <w:pPr>
        <w:pStyle w:val="Heading1"/>
      </w:pPr>
      <w:r>
        <w:t xml:space="preserve">5. Thông báo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638"/>
      </w:tblGrid>
      <w:tr>
        <w:trPr>
          <w:tblHeader/>
        </w:trPr>
        <w:tc>
          <w:tcPr>
            <w:tcW w:type="dxa" w:w="1500"/>
            <w:tcBorders>
              <w:top w:val="single" w:color="B8C4DC" w:sz="4"/>
              <w:left w:val="single" w:color="B8C4DC" w:sz="4"/>
              <w:bottom w:val="single" w:color="B8C4DC" w:sz="4"/>
              <w:right w:val="single" w:color="B8C4DC" w:sz="4"/>
            </w:tcBorders>
            <w:shd w:fill="12285F" w:color="auto" w:val="clear"/>
            <w:tcMar>
              <w:top w:type="dxa" w:w="60"/>
              <w:left w:type="dxa" w:w="100"/>
              <w:bottom w:type="dxa" w:w="60"/>
              <w:right w:type="dxa" w:w="100"/>
            </w:tcMar>
          </w:tcPr>
          <w:p>
            <w:r>
              <w:rPr>
                <w:rFonts w:ascii="Arial" w:cs="Arial" w:eastAsia="Arial" w:hAnsi="Arial"/>
                <w:b/>
                <w:bCs/>
                <w:color w:val="FFFFFF"/>
                <w:sz w:val="20"/>
                <w:szCs w:val="20"/>
              </w:rPr>
              <w:t xml:space="preserve">Mã lỗi</w:t>
            </w:r>
          </w:p>
        </w:tc>
        <w:tc>
          <w:tcPr>
            <w:tcW w:type="dxa" w:w="3500"/>
            <w:tcBorders>
              <w:top w:val="single" w:color="B8C4DC" w:sz="4"/>
              <w:left w:val="single" w:color="B8C4DC" w:sz="4"/>
              <w:bottom w:val="single" w:color="B8C4DC" w:sz="4"/>
              <w:right w:val="single" w:color="B8C4DC" w:sz="4"/>
            </w:tcBorders>
            <w:shd w:fill="12285F" w:color="auto" w:val="clear"/>
            <w:tcMar>
              <w:top w:type="dxa" w:w="60"/>
              <w:left w:type="dxa" w:w="100"/>
              <w:bottom w:type="dxa" w:w="60"/>
              <w:right w:type="dxa" w:w="100"/>
            </w:tcMar>
          </w:tcPr>
          <w:p>
            <w:r>
              <w:rPr>
                <w:rFonts w:ascii="Arial" w:cs="Arial" w:eastAsia="Arial" w:hAnsi="Arial"/>
                <w:b/>
                <w:bCs/>
                <w:color w:val="FFFFFF"/>
                <w:sz w:val="20"/>
                <w:szCs w:val="20"/>
              </w:rPr>
              <w:t xml:space="preserve">Tình huống</w:t>
            </w:r>
          </w:p>
        </w:tc>
        <w:tc>
          <w:tcPr>
            <w:tcW w:type="dxa" w:w="4638"/>
            <w:tcBorders>
              <w:top w:val="single" w:color="B8C4DC" w:sz="4"/>
              <w:left w:val="single" w:color="B8C4DC" w:sz="4"/>
              <w:bottom w:val="single" w:color="B8C4DC" w:sz="4"/>
              <w:right w:val="single" w:color="B8C4DC" w:sz="4"/>
            </w:tcBorders>
            <w:shd w:fill="12285F" w:color="auto" w:val="clear"/>
            <w:tcMar>
              <w:top w:type="dxa" w:w="60"/>
              <w:left w:type="dxa" w:w="100"/>
              <w:bottom w:type="dxa" w:w="60"/>
              <w:right w:type="dxa" w:w="100"/>
            </w:tcMar>
          </w:tcPr>
          <w:p>
            <w:r>
              <w:rPr>
                <w:rFonts w:ascii="Arial" w:cs="Arial" w:eastAsia="Arial" w:hAnsi="Arial"/>
                <w:b/>
                <w:bCs/>
                <w:color w:val="FFFFFF"/>
                <w:sz w:val="20"/>
                <w:szCs w:val="20"/>
              </w:rPr>
              <w:t xml:space="preserve">Thông báo hiển thị</w:t>
            </w:r>
          </w:p>
        </w:tc>
      </w:tr>
      <w:tr>
        <w:tc>
          <w:tcPr>
            <w:tcW w:type="dxa" w:w="1500"/>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RF-001</w:t>
            </w:r>
          </w:p>
        </w:tc>
        <w:tc>
          <w:tcPr>
            <w:tcW w:type="dxa" w:w="3500"/>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Quá 30 ngày</w:t>
            </w:r>
          </w:p>
        </w:tc>
        <w:tc>
          <w:tcPr>
            <w:tcW w:type="dxa" w:w="4638"/>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Giao dịch đã quá thời hạn yêu cầu hoàn tiền.</w:t>
            </w:r>
          </w:p>
        </w:tc>
      </w:tr>
      <w:tr>
        <w:tc>
          <w:tcPr>
            <w:tcW w:type="dxa" w:w="1500"/>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RF-002</w:t>
            </w:r>
          </w:p>
        </w:tc>
        <w:tc>
          <w:tcPr>
            <w:tcW w:type="dxa" w:w="3500"/>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Đã hoàn trước đó</w:t>
            </w:r>
          </w:p>
        </w:tc>
        <w:tc>
          <w:tcPr>
            <w:tcW w:type="dxa" w:w="4638"/>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Giao dịch này đã được yêu cầu hoàn tiền.</w:t>
            </w:r>
          </w:p>
        </w:tc>
      </w:tr>
      <w:tr>
        <w:tc>
          <w:tcPr>
            <w:tcW w:type="dxa" w:w="1500"/>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RF-003</w:t>
            </w:r>
          </w:p>
        </w:tc>
        <w:tc>
          <w:tcPr>
            <w:tcW w:type="dxa" w:w="3500"/>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Số tiền vượt giới hạn</w:t>
            </w:r>
          </w:p>
        </w:tc>
        <w:tc>
          <w:tcPr>
            <w:tcW w:type="dxa" w:w="4638"/>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Số tiền hoàn không được vượt số tiền giao dịch.</w:t>
            </w:r>
          </w:p>
        </w:tc>
      </w:tr>
      <w:tr>
        <w:tc>
          <w:tcPr>
            <w:tcW w:type="dxa" w:w="1500"/>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RF-004</w:t>
            </w:r>
          </w:p>
        </w:tc>
        <w:tc>
          <w:tcPr>
            <w:tcW w:type="dxa" w:w="3500"/>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Đối tác NH không phản hồi</w:t>
            </w:r>
          </w:p>
        </w:tc>
        <w:tc>
          <w:tcPr>
            <w:tcW w:type="dxa" w:w="4638"/>
            <w:tcBorders>
              <w:top w:val="single" w:color="B8C4DC" w:sz="4"/>
              <w:left w:val="single" w:color="B8C4DC" w:sz="4"/>
              <w:bottom w:val="single" w:color="B8C4DC" w:sz="4"/>
              <w:right w:val="single" w:color="B8C4DC" w:sz="4"/>
            </w:tcBorders>
            <w:tcMar>
              <w:top w:type="dxa" w:w="60"/>
              <w:left w:type="dxa" w:w="100"/>
              <w:bottom w:type="dxa" w:w="60"/>
              <w:right w:type="dxa" w:w="100"/>
            </w:tcMar>
          </w:tcPr>
          <w:p>
            <w:r>
              <w:rPr>
                <w:rFonts w:ascii="Arial" w:cs="Arial" w:eastAsia="Arial" w:hAnsi="Arial"/>
                <w:b w:val="false"/>
                <w:bCs w:val="false"/>
                <w:color w:val="000000"/>
                <w:sz w:val="20"/>
                <w:szCs w:val="20"/>
              </w:rPr>
              <w:t xml:space="preserve">Hệ thống đang xử lý, vui lòng thử lại sau.</w:t>
            </w:r>
          </w:p>
        </w:tc>
      </w:tr>
    </w:tbl>
    <w:p>
      <w:pPr>
        <w:pStyle w:val="Heading1"/>
      </w:pPr>
      <w:r>
        <w:t xml:space="preserve">6. Phụ lục</w:t>
      </w:r>
    </w:p>
    <w:p>
      <w:pPr>
        <w:pStyle w:val="Heading2"/>
      </w:pPr>
      <w:r>
        <w:t xml:space="preserve">6.1 Trạng thái yêu cầu</w:t>
      </w:r>
    </w:p>
    <w:p>
      <w:pPr>
        <w:spacing w:after="100" w:line="300"/>
      </w:pPr>
      <w:r>
        <w:rPr>
          <w:rFonts w:ascii="Arial" w:cs="Arial" w:eastAsia="Arial" w:hAnsi="Arial"/>
          <w:sz w:val="22"/>
          <w:szCs w:val="22"/>
        </w:rPr>
        <w:t xml:space="preserve">Đã tiếp nhận → Đang xử lý → Đã duyệt / Từ chối → Đã hoàn tiền.</w:t>
      </w:r>
    </w:p>
    <w:p>
      <w:pPr>
        <w:pStyle w:val="Heading2"/>
      </w:pPr>
      <w:r>
        <w:t xml:space="preserve">6.2 Tài liệu tham chiếu</w:t>
      </w:r>
    </w:p>
    <w:p>
      <w:pPr>
        <w:pStyle w:val="ListParagraph"/>
        <w:numPr>
          <w:ilvl w:val="0"/>
          <w:numId w:val="2"/>
        </w:numPr>
        <w:spacing w:after="60" w:line="290"/>
      </w:pPr>
      <w:r>
        <w:rPr>
          <w:rFonts w:ascii="Arial" w:cs="Arial" w:eastAsia="Arial" w:hAnsi="Arial"/>
          <w:sz w:val="22"/>
          <w:szCs w:val="22"/>
        </w:rPr>
        <w:t xml:space="preserve">Quy định hoàn tiền của đối tác ngân hàng liên kết.</w:t>
      </w:r>
    </w:p>
    <w:p>
      <w:pPr>
        <w:pStyle w:val="ListParagraph"/>
        <w:numPr>
          <w:ilvl w:val="0"/>
          <w:numId w:val="2"/>
        </w:numPr>
        <w:spacing w:after="60" w:line="290"/>
      </w:pPr>
      <w:r>
        <w:rPr>
          <w:rFonts w:ascii="Arial" w:cs="Arial" w:eastAsia="Arial" w:hAnsi="Arial"/>
          <w:sz w:val="22"/>
          <w:szCs w:val="22"/>
        </w:rPr>
        <w:t xml:space="preserve">Bảng tổng hợp phí đối tác (file Excel kèm theo).</w:t>
      </w:r>
    </w:p>
    <w:sectPr>
      <w:headerReference w:type="default" r:id="rId7"/>
      <w:footerReference w:type="default" r:id="rId8"/>
      <w:pgSz w:w="11906" w:h="16838" w:orient="portrait"/>
      <w:pgMar w:top="1200" w:right="1134" w:bottom="11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Trang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77777"/>
        <w:sz w:val="18"/>
        <w:szCs w:val="18"/>
      </w:rPr>
      <w:t xml:space="preserve">PayKX – SRS Tính năng Hoàn tiền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before="120"/>
    </w:pPr>
    <w:rPr>
      <w:rFonts w:ascii="Arial" w:cs="Arial" w:eastAsia="Arial" w:hAnsi="Arial"/>
      <w:b/>
      <w:bCs/>
      <w:color w:val="12285F"/>
      <w:sz w:val="44"/>
      <w:szCs w:val="44"/>
    </w:rPr>
  </w:style>
  <w:style w:type="paragraph" w:styleId="Heading1">
    <w:name w:val="Heading 1"/>
    <w:basedOn w:val="Normal"/>
    <w:next w:val="Normal"/>
    <w:qFormat/>
    <w:pPr>
      <w:keepNext/>
      <w:spacing w:after="140" w:before="300"/>
      <w:outlineLvl w:val="0"/>
    </w:pPr>
    <w:rPr>
      <w:rFonts w:ascii="Arial" w:cs="Arial" w:eastAsia="Arial" w:hAnsi="Arial"/>
      <w:b/>
      <w:bCs/>
      <w:color w:val="12285F"/>
      <w:sz w:val="30"/>
      <w:szCs w:val="30"/>
    </w:rPr>
  </w:style>
  <w:style w:type="paragraph" w:styleId="Heading2">
    <w:name w:val="Heading 2"/>
    <w:basedOn w:val="Normal"/>
    <w:next w:val="Normal"/>
    <w:qFormat/>
    <w:pPr>
      <w:keepNext/>
      <w:spacing w:after="100" w:before="200"/>
      <w:outlineLvl w:val="1"/>
    </w:pPr>
    <w:rPr>
      <w:rFonts w:ascii="Arial" w:cs="Arial" w:eastAsia="Arial" w:hAnsi="Arial"/>
      <w:b/>
      <w:bCs/>
      <w:color w:val="1F5B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2026-10-26T10:15:30.435Z</dcterms:created>
  <dcterms:modified xsi:type="dcterms:W3CDTF">2026-10-26T10:15:30.435Z</dcterms:modified>
</cp:coreProperties>
</file>

<file path=docProps/custom.xml><?xml version="1.0" encoding="utf-8"?>
<Properties xmlns="http://schemas.openxmlformats.org/officeDocument/2006/custom-properties" xmlns:vt="http://schemas.openxmlformats.org/officeDocument/2006/docPropsVTypes"/>
</file>