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rPr>
        <w:t xml:space="preserve">CHÍNH SÁCH DEI TẠI NƠI LÀM VIỆC, KỲ THỊ VÀ SỨC KHỎE TÂM THẦN CỦA NGƯỜI LAO ĐỘNG LGBT Ở VIỆT NAM: PHÂN TÍCH THĂM DÒ VÀ HÀM Ý CHÍNH SÁCH</w:t>
      </w:r>
    </w:p>
    <w:p>
      <w:pPr>
        <w:pStyle w:val="Subtitle"/>
      </w:pPr>
      <w:r>
        <w:rPr>
          <w:rFonts w:ascii="Times New Roman" w:hAnsi="Times New Roman" w:cs="Times New Roman" w:eastAsia="Times New Roman"/>
          <w:i/>
          <w:iCs/>
        </w:rPr>
        <w:t xml:space="preserve">Workplace DEI Policies, Stigma, and Mental Health among LGBT Workers in Vietnam: An Exploratory Analysis and Policy Implications</w:t>
      </w:r>
    </w:p>
    <w:p>
      <w:pPr>
        <w:pStyle w:val="AuthorBlock"/>
      </w:pPr>
      <w:r>
        <w:rPr>
          <w:rFonts w:ascii="Times New Roman" w:hAnsi="Times New Roman" w:cs="Times New Roman" w:eastAsia="Times New Roman"/>
          <w:b/>
          <w:bCs/>
        </w:rPr>
        <w:t xml:space="preserve">[Họ và tên tác giả 1]</w:t>
      </w: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b/>
          <w:bCs/>
        </w:rPr>
        <w:t xml:space="preserve">[Họ và tên tác giả 2]</w:t>
      </w: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b/>
          <w:bCs/>
        </w:rPr>
        <w:t xml:space="preserve">[Họ và tên giảng viên hướng dẫn]</w:t>
      </w:r>
      <w:r>
        <w:rPr>
          <w:rFonts w:ascii="Times New Roman" w:hAnsi="Times New Roman" w:cs="Times New Roman" w:eastAsia="Times New Roman"/>
          <w:vertAlign w:val="superscript"/>
        </w:rPr>
        <w:t xml:space="preserve">1</w:t>
      </w:r>
    </w:p>
    <w:p>
      <w:pPr>
        <w:pStyle w:val="AuthorBlock"/>
      </w:pPr>
      <w:r>
        <w:rPr>
          <w:rFonts w:ascii="Times New Roman" w:hAnsi="Times New Roman" w:cs="Times New Roman" w:eastAsia="Times New Roman"/>
          <w:vertAlign w:val="superscript"/>
        </w:rPr>
        <w:t xml:space="preserve">1</w:t>
      </w:r>
      <w:r>
        <w:rPr>
          <w:rFonts w:ascii="Times New Roman" w:hAnsi="Times New Roman" w:cs="Times New Roman" w:eastAsia="Times New Roman"/>
        </w:rPr>
        <w:t xml:space="preserve"> </w:t>
      </w:r>
      <w:r>
        <w:rPr>
          <w:rFonts w:ascii="Times New Roman" w:hAnsi="Times New Roman" w:cs="Times New Roman" w:eastAsia="Times New Roman"/>
        </w:rPr>
        <w:t xml:space="preserve">[Khoa/Bộ môn], Học viện Ngân hàng, 12 Chùa Bộc, Hà Nội. Tác giả liên hệ: [họ và tên, học hàm, học vị]; email: […]</w:t>
      </w:r>
      <w:r>
        <w:rPr>
          <w:rFonts w:ascii="Times New Roman" w:hAnsi="Times New Roman" w:cs="Times New Roman" w:eastAsia="Times New Roman"/>
        </w:rPr>
        <w:t xml:space="preserve">@hvnh.edu.vn</w:t>
      </w:r>
      <w:r>
        <w:rPr>
          <w:rFonts w:ascii="Times New Roman" w:hAnsi="Times New Roman" w:cs="Times New Roman" w:eastAsia="Times New Roman"/>
        </w:rPr>
        <w:t xml:space="preserve">; điện thoại: […].</w:t>
      </w:r>
    </w:p>
    <w:p>
      <w:pPr>
        <w:pStyle w:val="AuthorBlock"/>
      </w:pPr>
      <w:r>
        <w:rPr>
          <w:rFonts w:ascii="Times New Roman" w:hAnsi="Times New Roman" w:cs="Times New Roman" w:eastAsia="Times New Roman"/>
          <w:b/>
          <w:bCs/>
        </w:rPr>
        <w:t xml:space="preserve">Phân ngành:</w:t>
      </w:r>
      <w:r>
        <w:rPr>
          <w:rFonts w:ascii="Times New Roman" w:hAnsi="Times New Roman" w:cs="Times New Roman" w:eastAsia="Times New Roman"/>
        </w:rPr>
        <w:t xml:space="preserve"> </w:t>
      </w:r>
      <w:r>
        <w:rPr>
          <w:rFonts w:ascii="Times New Roman" w:hAnsi="Times New Roman" w:cs="Times New Roman" w:eastAsia="Times New Roman"/>
        </w:rPr>
        <w:t xml:space="preserve">[Tác giả chọn theo danh mục ngành, liên ngành của Hội đồng Giáo sư nhà nước; gợi ý: Xã hội học, thuộc Hội đồng Giáo sư liên ngành Triết học – Chính trị học – Xã hội học.]</w:t>
      </w:r>
    </w:p>
    <w:bookmarkStart w:id="9" w:name="tóm-tắt"/>
    <w:p>
      <w:pPr>
        <w:pStyle w:val="Heading1"/>
      </w:pPr>
      <w:r>
        <w:rPr>
          <w:rFonts w:ascii="Times New Roman" w:hAnsi="Times New Roman" w:cs="Times New Roman" w:eastAsia="Times New Roman"/>
        </w:rPr>
        <w:t xml:space="preserve">Tóm tắt</w:t>
      </w:r>
    </w:p>
    <w:p>
      <w:pPr>
        <w:pStyle w:val="FirstParagraph"/>
      </w:pPr>
      <w:r>
        <w:rPr>
          <w:rFonts w:ascii="Times New Roman" w:hAnsi="Times New Roman" w:cs="Times New Roman" w:eastAsia="Times New Roman"/>
        </w:rPr>
        <w:t xml:space="preserve">Ở Việt Nam, chưa có số liệu về chính sách đa dạng, bình đẳng và hòa nhập (DEI) đối với người lao động LGBT. Dựa trên khảo sát cắt ngang năm 2026 với 235 người lao động tự nhận là LGBT, bài viết mô tả các hình thức kỳ thị, người gây ảnh hưởng nghiêm trọng nhất và các chính sách DEI. Bài viết phân tích thăm dò liên hệ của chính sách DEI với mức kỳ thị và triệu chứng lo âu, trầm cảm (PHQ-4), rồi đối chiếu các hình thức kỳ thị với pháp luật. Có 57,0% người trả lời đã gặp ít nhất một tình huống kỳ thị trong 12 tháng. Phổ biến nhất là câu hỏi riêng tư không mong muốn (33,9%) và lời đùa xúc phạm (26,8%). Đồng nghiệp (48,5%) và khách hàng, đối tác (24,6%) được nêu là người gây ảnh hưởng nghiêm trọng nhất nhiều hơn quản lý trực tiếp (16,4%). Trong 176 người làm việc trong một tổ chức, 52,3% không nêu được chính sách DEI nào. Chỉ 8,5% cho biết có chính sách bằng văn bản chống phân biệt đối xử dựa trên xu hướng tính dục, bản dạng giới. Khoảng một phần tư không biết về từng chính sách. Liên hệ của chính sách DEI với mức kỳ thị, với PHQ-4 và vai trò điều tiết đều chưa xác định. Các hình thức phổ biến nhất nằm ngoài định nghĩa phân biệt đối xử của Bộ luật Lao động 2019. Bài viết khuyến nghị mở rộng nội quy lao động sang hành vi xúc phạm dựa trên xu hướng tính dục, bản dạng giới, bảo vệ thông tin này như dữ liệu nhạy cảm, và phổ biến rõ các chính sách hiện có.</w:t>
      </w:r>
    </w:p>
    <w:p>
      <w:pPr>
        <w:pStyle w:val="Keywords"/>
      </w:pPr>
      <w:r>
        <w:rPr>
          <w:rFonts w:ascii="Times New Roman" w:hAnsi="Times New Roman" w:cs="Times New Roman" w:eastAsia="Times New Roman"/>
          <w:b/>
          <w:bCs/>
        </w:rPr>
        <w:t xml:space="preserve">Từ khóa:</w:t>
      </w:r>
      <w:r>
        <w:rPr>
          <w:rFonts w:ascii="Times New Roman" w:hAnsi="Times New Roman" w:cs="Times New Roman" w:eastAsia="Times New Roman"/>
        </w:rPr>
        <w:t xml:space="preserve"> </w:t>
      </w:r>
      <w:r>
        <w:rPr>
          <w:rFonts w:ascii="Times New Roman" w:hAnsi="Times New Roman" w:cs="Times New Roman" w:eastAsia="Times New Roman"/>
        </w:rPr>
        <w:t xml:space="preserve">chính sách DEI; kỳ thị nơi làm việc; người lao động LGBT; sức khỏe tâm thần; pháp luật lao động.</w:t>
      </w:r>
    </w:p>
    <w:bookmarkEnd w:id="9"/>
    <w:bookmarkStart w:id="10" w:name="abstract"/>
    <w:p>
      <w:pPr>
        <w:pStyle w:val="Heading1"/>
      </w:pPr>
      <w:r>
        <w:rPr>
          <w:rFonts w:ascii="Times New Roman" w:hAnsi="Times New Roman" w:cs="Times New Roman" w:eastAsia="Times New Roman"/>
        </w:rPr>
        <w:t xml:space="preserve">Abstract</w:t>
      </w:r>
    </w:p>
    <w:p>
      <w:pPr>
        <w:pStyle w:val="FirstParagraph"/>
      </w:pPr>
      <w:r>
        <w:rPr>
          <w:rFonts w:ascii="Times New Roman" w:hAnsi="Times New Roman" w:cs="Times New Roman" w:eastAsia="Times New Roman"/>
        </w:rPr>
        <w:t xml:space="preserve">Diversity, equity, and inclusion (DEI) policies are often regarded as a means of protecting LGBT workers, but in Vietnam little is known about how common such policies are or whether they accompany less stigma. Using data from a cross-sectional survey of 235 self-identified LGBT workers conducted in 2026, this article describes the forms of workplace stigma that participants experienced, the people whose actions affected them most seriously, and the DEI policies that participants knew of. It then examines, in exploratory analyses, how DEI policies relate to stigma and to symptoms of anxiety and depression (PHQ-4), and it compares the forms of stigma with current Vietnamese law. More than half of the participants (57.0%) had experienced at least one stigmatizing situation in the previous 12 months, most often unwanted personal questions (33.9%) and offensive jokes or comments (26.8%). Coworkers (48.5%) and clients or partners (24.6%) were named as the source of the most serious impact more often than direct managers (16.4%). Among the 176 participants who worked in an organization, 52.3% reported no DEI policy, only 8.5% reported a written policy against discrimination based on sexual orientation and gender identity, and about one quarter answered</w:t>
      </w:r>
      <w:r>
        <w:rPr>
          <w:rFonts w:ascii="Times New Roman" w:hAnsi="Times New Roman" w:cs="Times New Roman" w:eastAsia="Times New Roman"/>
        </w:rPr>
        <w:t xml:space="preserve"> </w:t>
      </w:r>
      <w:r>
        <w:rPr>
          <w:rFonts w:ascii="Times New Roman" w:hAnsi="Times New Roman" w:cs="Times New Roman" w:eastAsia="Times New Roman"/>
        </w:rPr>
        <w:t xml:space="preserve">“don’t know”</w:t>
      </w:r>
      <w:r>
        <w:rPr>
          <w:rFonts w:ascii="Times New Roman" w:hAnsi="Times New Roman" w:cs="Times New Roman" w:eastAsia="Times New Roman"/>
        </w:rPr>
        <w:t xml:space="preserve"> </w:t>
      </w:r>
      <w:r>
        <w:rPr>
          <w:rFonts w:ascii="Times New Roman" w:hAnsi="Times New Roman" w:cs="Times New Roman" w:eastAsia="Times New Roman"/>
        </w:rPr>
        <w:t xml:space="preserve">for each policy. The associations of DEI policies with stigma and with PHQ-4 scores, and their role as moderators, were inconclusive. The most common forms of stigma fall outside the definition of discrimination in the 2019 Labor Code. We recommend extending internal labor regulations to cover degrading conduct based on sexual orientation and gender identity, protecting this information as sensitive personal data, and communicating existing policies clearly.</w:t>
      </w:r>
    </w:p>
    <w:p>
      <w:pPr>
        <w:pStyle w:val="Keywords"/>
      </w:pPr>
      <w:r>
        <w:rPr>
          <w:rFonts w:ascii="Times New Roman" w:hAnsi="Times New Roman" w:cs="Times New Roman" w:eastAsia="Times New Roman"/>
          <w:b/>
          <w:bCs/>
        </w:rPr>
        <w:t xml:space="preserve">Keywords:</w:t>
      </w:r>
      <w:r>
        <w:rPr>
          <w:rFonts w:ascii="Times New Roman" w:hAnsi="Times New Roman" w:cs="Times New Roman" w:eastAsia="Times New Roman"/>
        </w:rPr>
        <w:t xml:space="preserve"> </w:t>
      </w:r>
      <w:r>
        <w:rPr>
          <w:rFonts w:ascii="Times New Roman" w:hAnsi="Times New Roman" w:cs="Times New Roman" w:eastAsia="Times New Roman"/>
        </w:rPr>
        <w:t xml:space="preserve">DEI policies; workplace stigma; LGBT workers; mental health; labor law.</w:t>
      </w:r>
    </w:p>
    <w:bookmarkEnd w:id="10"/>
    <w:bookmarkStart w:id="11" w:name="giới-thiệu"/>
    <w:p>
      <w:pPr>
        <w:pStyle w:val="Heading1"/>
      </w:pPr>
      <w:r>
        <w:rPr>
          <w:rFonts w:ascii="Times New Roman" w:hAnsi="Times New Roman" w:cs="Times New Roman" w:eastAsia="Times New Roman"/>
        </w:rPr>
        <w:t xml:space="preserve">1. Giới thiệu</w:t>
      </w:r>
    </w:p>
    <w:p>
      <w:pPr>
        <w:pStyle w:val="FirstParagraph"/>
      </w:pPr>
      <w:r>
        <w:rPr>
          <w:rFonts w:ascii="Times New Roman" w:hAnsi="Times New Roman" w:cs="Times New Roman" w:eastAsia="Times New Roman"/>
        </w:rPr>
        <w:t xml:space="preserve">Người lao động thuộc nhóm thiểu số về xu hướng tính dục và bản dạng giới (LGBT) có thể gặp kỳ thị ở nơi họ dành phần lớn thời gian thức mỗi ngày. Tại nơi làm việc, kỳ thị có thể là một lời đùa của đồng nghiệp, một câu hỏi về chuyện hôn nhân, hay một quyết định về đào tạo và lương. Lý thuyết căng thẳng thiểu số cho rằng những trải nghiệm như vậy đi kèm với sức khỏe tâm thần kém hơn (Meyer, 2003). Nhiều nghiên cứu ở các quốc gia khác nhau cho thấy người lao động LGBT báo cáo sức khỏe tâm thần kém hơn người lao động khác (Tomic và cộng sự, 2025).</w:t>
      </w:r>
    </w:p>
    <w:p>
      <w:pPr>
        <w:pStyle w:val="BodyText"/>
      </w:pPr>
      <w:r>
        <w:rPr>
          <w:rFonts w:ascii="Times New Roman" w:hAnsi="Times New Roman" w:cs="Times New Roman" w:eastAsia="Times New Roman"/>
        </w:rPr>
        <w:t xml:space="preserve">Chính sách đa dạng, bình đẳng và hòa nhập (diversity, equity and inclusion, DEI) thường được đề xuất như một cách bảo vệ nhóm lao động này. Chính sách DEI gồm các quy định chống phân biệt đối xử, kênh khiếu nại, đào tạo và các phúc lợi bao trùm. Bằng chứng quốc tế cho thấy người lao động đồng tính ở những tổ chức có chính sách hỗ trợ báo cáo ít phân biệt đối xử hơn (Ragins và Cornwell, 2001). Tuy nhiên, chính sách trên giấy không tự động trở thành thực hành. Các tổ chức có thể ban hành quy định để thể hiện sự tuân thủ mà không thay đổi cách vận hành (Edelman, 1992; Meyer và Rowan, 1977). Một phân tích gộp cũng cho thấy chính sách chính thức liên hệ yếu hơn so với bầu không khí và các quan hệ hỗ trợ tại nơi làm việc (Webster và cộng sự, 2018).</w:t>
      </w:r>
    </w:p>
    <w:p>
      <w:pPr>
        <w:pStyle w:val="BodyText"/>
      </w:pPr>
      <w:r>
        <w:rPr>
          <w:rFonts w:ascii="Times New Roman" w:hAnsi="Times New Roman" w:cs="Times New Roman" w:eastAsia="Times New Roman"/>
        </w:rPr>
        <w:t xml:space="preserve">Ở Việt Nam, câu hỏi về chính sách DEI có ý nghĩa riêng. Hiến pháp năm 2013 khẳng định không ai bị phân biệt đối xử trong đời sống chính trị, dân sự, kinh tế, văn hóa, xã hội (Quốc hội, 2013, Điều 16). Ngành y tế đã yêu cầu các cơ sở khám chữa bệnh không coi đồng tính, song tính và chuyển giới là bệnh (Bộ Y tế, 2022). Tuy vậy, Bộ luật Lao động 2019 định nghĩa phân biệt đối xử trong lao động bằng một danh mục căn cứ không nêu xu hướng tính dục và bản dạng giới (Quốc hội, 2019, Điều 3 khoản 8). Vì pháp luật lao động không đặt ra nghĩa vụ cụ thể, sự bảo vệ mà người lao động LGBT nhận được phụ thuộc phần lớn vào từng tổ chức. Đến nay, chưa có số liệu cho biết các tổ chức ở Việt Nam có những chính sách DEI nào đối với người lao động LGBT, và người lao động có biết đến các chính sách đó hay không.</w:t>
      </w:r>
    </w:p>
    <w:p>
      <w:pPr>
        <w:pStyle w:val="BodyText"/>
      </w:pPr>
      <w:r>
        <w:rPr>
          <w:rFonts w:ascii="Times New Roman" w:hAnsi="Times New Roman" w:cs="Times New Roman" w:eastAsia="Times New Roman"/>
        </w:rPr>
        <w:t xml:space="preserve">Bài viết này trả lời bốn câu hỏi. Thứ nhất, người lao động LGBT gặp những hình thức kỳ thị nào tại nơi làm việc, và ai là người gây ảnh hưởng nghiêm trọng nhất? Thứ hai, theo người lao động, nơi làm việc có những chính sách DEI nào, và việc thực thi được cảm nhận ra sao? Thứ ba, chính sách DEI và mức thực thi được cảm nhận liên hệ thế nào với mức kỳ thị đã gặp và với triệu chứng lo âu, trầm cảm? Thứ tư, pháp luật hiện hành điều chỉnh các hình thức kỳ thị đến đâu? Câu hỏi thứ ba được phân tích theo hướng thăm dò. Kết quả của nó nhằm gợi mở cho nghiên cứu tiếp theo, không nhằm đánh giá hiệu quả của chính sách.</w:t>
      </w:r>
    </w:p>
    <w:p>
      <w:pPr>
        <w:pStyle w:val="BodyText"/>
      </w:pPr>
      <w:r>
        <w:rPr>
          <w:rFonts w:ascii="Times New Roman" w:hAnsi="Times New Roman" w:cs="Times New Roman" w:eastAsia="Times New Roman"/>
        </w:rPr>
        <w:t xml:space="preserve">Bài viết có ba điểm mới. Một là mô tả lần đầu các chính sách DEI mà người lao động LGBT ở Việt Nam biết, kể cả mức độ</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Hai là xác định người gây ảnh hưởng nghiêm trọng nhất, một thông tin cần cho việc thiết kế chính sách nhưng thường vắng mặt trong các khảo sát về kỳ thị. Ba là đối chiếu từng hình thức kỳ thị với các văn bản pháp luật hiện hành, để chỉ ra hình thức nào đã có và chưa có căn cứ điều chỉnh. Liên hệ tổng thể giữa mức kỳ thị và triệu chứng được trình bày chi tiết trong một bài viết khác từ cùng bộ dữ liệu; bài này chỉ nhắc lại kết quả đó làm bối cảnh.</w:t>
      </w:r>
    </w:p>
    <w:bookmarkEnd w:id="11"/>
    <w:bookmarkStart w:id="16" w:name="cơ-sở-lý-thuyết-và-tổng-quan-nghiên-cứu"/>
    <w:p>
      <w:pPr>
        <w:pStyle w:val="Heading1"/>
      </w:pPr>
      <w:r>
        <w:rPr>
          <w:rFonts w:ascii="Times New Roman" w:hAnsi="Times New Roman" w:cs="Times New Roman" w:eastAsia="Times New Roman"/>
        </w:rPr>
        <w:t xml:space="preserve">2. Cơ sở lý thuyết và tổng quan nghiên cứu</w:t>
      </w:r>
    </w:p>
    <w:bookmarkStart w:id="12" w:name="X825a971248e632c38cb414926b6269aa97747ff"/>
    <w:p>
      <w:pPr>
        <w:pStyle w:val="Heading2"/>
      </w:pPr>
      <w:r>
        <w:rPr>
          <w:rFonts w:ascii="Times New Roman" w:hAnsi="Times New Roman" w:cs="Times New Roman" w:eastAsia="Times New Roman"/>
        </w:rPr>
        <w:t xml:space="preserve">2.1. Kỳ thị nơi làm việc và lý thuyết căng thẳng thiểu số</w:t>
      </w:r>
    </w:p>
    <w:p>
      <w:pPr>
        <w:pStyle w:val="FirstParagraph"/>
      </w:pPr>
      <w:r>
        <w:rPr>
          <w:rFonts w:ascii="Times New Roman" w:hAnsi="Times New Roman" w:cs="Times New Roman" w:eastAsia="Times New Roman"/>
        </w:rPr>
        <w:t xml:space="preserve">Link và Phelan (2001) định nghĩa kỳ thị là sự cùng xuất hiện của gắn nhãn, định kiến, tách biệt, mất vị thế và phân biệt đối xử trong một bối cảnh có quan hệ quyền lực. Bài viết dùng khái niệm kỳ thị thể hiện (enacted stigma), tức những hành vi và điều kiện tại nơi làm việc nhắm vào, hoặc dựa trên, xu hướng tính dục, bản dạng giới hay thể hiện giới của người lao động, và làm người đó bị hạ thấp, bị xâm phạm hoặc chịu bất lợi.</w:t>
      </w:r>
    </w:p>
    <w:p>
      <w:pPr>
        <w:pStyle w:val="BodyText"/>
      </w:pPr>
      <w:r>
        <w:rPr>
          <w:rFonts w:ascii="Times New Roman" w:hAnsi="Times New Roman" w:cs="Times New Roman" w:eastAsia="Times New Roman"/>
        </w:rPr>
        <w:t xml:space="preserve">Lý thuyết căng thẳng thiểu số (minority stress theory) phân biệt tác nhân xa và tác nhân gần (Meyer, 2003). Tác nhân xa là các sự kiện bên ngoài như phân biệt đối xử và quấy rối. Tác nhân gần là các quá trình bên trong như kỳ vọng bị từ chối, che giấu danh tính và kỳ thị nội tâm hóa. Lý thuyết dự báo rằng trong cùng một nhóm thiểu số, người gặp nhiều tác nhân xa hơn sẽ báo cáo nhiều triệu chứng hơn. Các phân tích gộp ủng hộ dự báo này: người báo cáo nhiều phân biệt đối xử hơn có mức sức khỏe tinh thần thấp hơn (Lewis và cộng sự, 2015; Schmitt và cộng sự, 2014). Tại nơi làm việc, kỳ thị dị tính luận và phân biệt đối xử liên hệ với mức căng thẳng tâm lý cao hơn ở người lao động đồng tính và song tính (Velez và cộng sự, 2013; Waldo, 1999). Hatzenbuehler (2016) mở rộng lý thuyết sang kỳ thị cấu trúc. Theo đó, luật pháp, chính sách và chuẩn mực xã hội là một tầng tác nhân, quy định mức kỳ thị mà cá nhân gặp phải.</w:t>
      </w:r>
    </w:p>
    <w:p>
      <w:pPr>
        <w:pStyle w:val="BodyText"/>
      </w:pPr>
      <w:r>
        <w:rPr>
          <w:rFonts w:ascii="Times New Roman" w:hAnsi="Times New Roman" w:cs="Times New Roman" w:eastAsia="Times New Roman"/>
        </w:rPr>
        <w:t xml:space="preserve">Kỳ thị tại nơi làm việc có nhiều hình thức. Bài viết phân biệt ba hình thức. Kỳ thị trong giao tiếp gồm lời đùa, bình luận xúc phạm, câu hỏi xâm phạm đời tư và việc tiết lộ danh tính khi chưa được đồng ý. Kỳ thị liên quan đến nghề nghiệp gồm các bất lợi chính thức trong đào tạo, đánh giá, trả lương và phân công. Kỳ thị về thể hiện giới gồm áp lực tuân theo khuôn mẫu giới và trở ngại trong việc dùng tên gọi, đại từ, trang phục hay nhà vệ sinh phù hợp. Kỳ thị trong giao tiếp có thể tồn tại ngay cả khi không có phân biệt đối xử chính thức. Một thực nghiệm thực địa cho thấy ứng viên được giới thiệu là người đồng tính không bị đối xử khác về mặt chính thức, nhưng nhận được phản ứng giao tiếp tiêu cực hơn (Hebl và cộng sự, 2002). Các vi hành vi xúc phạm (microaggressions) như vậy cũng đi kèm với căng thẳng tâm lý (Nadal và cộng sự, 2016).</w:t>
      </w:r>
    </w:p>
    <w:bookmarkEnd w:id="12"/>
    <w:bookmarkStart w:id="13" w:name="chính-sách-dei-từ-văn-bản-đến-thực-thi"/>
    <w:p>
      <w:pPr>
        <w:pStyle w:val="Heading2"/>
      </w:pPr>
      <w:r>
        <w:rPr>
          <w:rFonts w:ascii="Times New Roman" w:hAnsi="Times New Roman" w:cs="Times New Roman" w:eastAsia="Times New Roman"/>
        </w:rPr>
        <w:t xml:space="preserve">2.2. Chính sách DEI: từ văn bản đến thực thi</w:t>
      </w:r>
    </w:p>
    <w:p>
      <w:pPr>
        <w:pStyle w:val="FirstParagraph"/>
      </w:pPr>
      <w:r>
        <w:rPr>
          <w:rFonts w:ascii="Times New Roman" w:hAnsi="Times New Roman" w:cs="Times New Roman" w:eastAsia="Times New Roman"/>
        </w:rPr>
        <w:t xml:space="preserve">Chính sách DEI là các quy định và thực hành của tổ chức nhằm bảo đảm người lao động thuộc các nhóm khác nhau được đối xử bình đẳng và được hòa nhập. Với người lao động LGBT, các chính sách thường được nhắc đến gồm quy định bằng văn bản chống phân biệt đối xử dựa trên xu hướng tính dục và bản dạng giới, kênh khiếu nại bảo mật, đào tạo cho quản lý và nhân viên, phúc lợi cho bạn đời cùng giới, và các biện pháp hỗ trợ người chuyển giới. Ragins và Cornwell (2001) cho thấy người lao động đồng tính ở những tổ chức có chính sách và thực hành hỗ trợ báo cáo ít phân biệt đối xử hơn. Huffman và cộng sự (2008) cho thấy sự hỗ trợ từ quản lý, đồng nghiệp và tổ chức có ý nghĩa khác nhau đối với người lao động đồng tính.</w:t>
      </w:r>
    </w:p>
    <w:p>
      <w:pPr>
        <w:pStyle w:val="BodyText"/>
      </w:pPr>
      <w:r>
        <w:rPr>
          <w:rFonts w:ascii="Times New Roman" w:hAnsi="Times New Roman" w:cs="Times New Roman" w:eastAsia="Times New Roman"/>
        </w:rPr>
        <w:t xml:space="preserve">Tuy nhiên, bằng chứng về hiệu quả của chính sách còn hạn chế. Phân tích gộp của Webster và cộng sự (2018) cho thấy các quan hệ hỗ trợ tại nơi làm việc liên hệ mạnh hơn với căng thẳng tâm lý, còn bầu không khí hỗ trợ người LGBT liên hệ mạnh hơn với việc công khai và với phân biệt đối xử được cảm nhận. Ở các chương trình đa dạng nói chung, Kalev và cộng sự (2006) cho thấy việc giao trách nhiệm cụ thể cho một người hay một bộ phận có hiệu quả hơn so với đào tạo nhằm thay đổi thái độ. Lý thuyết thể chế giải thích vì sao chính sách và thực hành có thể tách rời nhau. Tổ chức có thể ban hành quy định vì sức ép tuân thủ hoặc để giống các tổ chức khác, chứ không vì nhu cầu vận hành (DiMaggio và Powell, 1983; Meyer và Rowan, 1977). Khi luật còn mơ hồ, quy định nội bộ có thể chỉ mang tính biểu tượng (Edelman, 1992). Do đó, việc một tổ chức có chính sách DEI chưa cho biết chính sách đó được biết đến và được thực thi đến đâu.</w:t>
      </w:r>
    </w:p>
    <w:p>
      <w:pPr>
        <w:pStyle w:val="BodyText"/>
      </w:pPr>
      <w:r>
        <w:rPr>
          <w:rFonts w:ascii="Times New Roman" w:hAnsi="Times New Roman" w:cs="Times New Roman" w:eastAsia="Times New Roman"/>
        </w:rPr>
        <w:t xml:space="preserve">Chính sách DEI cũng có thể làm thay đổi liên hệ giữa kỳ thị và sức khỏe tâm thần. Theo lý thuyết căng thẳng thiểu số, sự hỗ trợ của môi trường xung quanh có thể làm dịu mối liên hệ giữa tác nhân gây căng thẳng và sức khỏe (Meyer, 2003). Nếu điều này đúng tại nơi làm việc, liên hệ giữa kỳ thị và triệu chứng sẽ yếu hơn ở nơi có chính sách và thực thi tốt hơn. Bằng chứng ở châu Á còn ít. Ở Trung Quốc, các tác nhân căng thẳng thiểu số của người lao động LGBTQ đi kèm với cảm nhận kém hơn về bầu không khí nơi làm việc, và cảm nhận này lại đi kèm với nhiều triệu chứng trầm cảm hơn (Lo và cộng sự, 2025). Ở Canada, một khảo sát với người lao động LGBTQ xem xét liên hệ giữa việc làm bấp bênh, ngành nghề, sự hỗ trợ của nơi làm việc được cảm nhận và sức khỏe tâm thần tự đánh giá (Owens và cộng sự, 2022).</w:t>
      </w:r>
    </w:p>
    <w:bookmarkEnd w:id="13"/>
    <w:bookmarkStart w:id="14" w:name="bối-cảnh-việt-nam"/>
    <w:p>
      <w:pPr>
        <w:pStyle w:val="Heading2"/>
      </w:pPr>
      <w:r>
        <w:rPr>
          <w:rFonts w:ascii="Times New Roman" w:hAnsi="Times New Roman" w:cs="Times New Roman" w:eastAsia="Times New Roman"/>
        </w:rPr>
        <w:t xml:space="preserve">2.3. Bối cảnh Việt Nam</w:t>
      </w:r>
    </w:p>
    <w:p>
      <w:pPr>
        <w:pStyle w:val="FirstParagraph"/>
      </w:pPr>
      <w:r>
        <w:rPr>
          <w:rFonts w:ascii="Times New Roman" w:hAnsi="Times New Roman" w:cs="Times New Roman" w:eastAsia="Times New Roman"/>
        </w:rPr>
        <w:t xml:space="preserve">Khung pháp lý của Việt Nam đối với người LGBT có những yếu tố khác chiều. Bộ Y tế (2022) yêu cầu không coi đồng tính, song tính và chuyển giới là bệnh, phù hợp với việc Tổ chức Y tế Thế giới đưa tình trạng không phù hợp giới ra khỏi chương rối loạn tâm thần (World Health Organization, 2019). Bộ luật Dân sự 2015 thừa nhận việc chuyển đổi giới tính và giao việc quy định cho luật riêng (Quốc hội, 2015, Điều 37). Ngược lại, Luật Hôn nhân và gia đình 2014 không thừa nhận hôn nhân giữa những người cùng giới tính (Quốc hội, 2014, Điều 8 khoản 2). Bộ luật Lao động 2019 cấm phân biệt đối xử và quấy rối tình dục tại nơi làm việc (Quốc hội, 2019, Điều 8), nhưng danh mục căn cứ phân biệt đối xử không nêu xu hướng tính dục và bản dạng giới.</w:t>
      </w:r>
    </w:p>
    <w:p>
      <w:pPr>
        <w:pStyle w:val="BodyText"/>
      </w:pPr>
      <w:r>
        <w:rPr>
          <w:rFonts w:ascii="Times New Roman" w:hAnsi="Times New Roman" w:cs="Times New Roman" w:eastAsia="Times New Roman"/>
        </w:rPr>
        <w:t xml:space="preserve">Bằng chứng thực nghiệm cho thấy kỳ thị đối với người LGBT ở Việt Nam còn phổ biến. Trong một khảo sát với 2.363 người LGBT, khoảng một phần ba cho biết đã bị phân biệt đối xử vì xu hướng tính dục hoặc bản dạng giới trong 12 tháng trước đó, thường gặp nhất trong gia đình, trường học và nơi làm việc (Lương Thế Huy và Phạm Quỳnh Phương, 2015). Phạm Thu Hoa và Đồng Thị Yến (2015) mô tả các mức độ kỳ thị từ dèm pha, xa lánh đến bạo lực, kể cả trong gia đình. Báo cáo quốc gia của UNDP và USAID (2014) ghi nhận nhiều dạng kỳ thị và phân biệt đối xử đối với người LGBT. Human Rights Watch (2020) ghi nhận một số bài giảng ở trường học vẫn trình bày đồng tính như một bệnh có thể chữa. Chuẩn mực về hôn nhân và gia đình cũng có mặt tại nơi làm việc, qua những câu hỏi thường ngày về chuyện người yêu, hôn nhân và con cái. Với người lao động LGBT, các câu hỏi này đặt họ trước lựa chọn giữa che giấu và công khai.</w:t>
      </w:r>
    </w:p>
    <w:bookmarkEnd w:id="14"/>
    <w:bookmarkStart w:id="15" w:name="khoảng-trống-nghiên-cứu"/>
    <w:p>
      <w:pPr>
        <w:pStyle w:val="Heading2"/>
      </w:pPr>
      <w:r>
        <w:rPr>
          <w:rFonts w:ascii="Times New Roman" w:hAnsi="Times New Roman" w:cs="Times New Roman" w:eastAsia="Times New Roman"/>
        </w:rPr>
        <w:t xml:space="preserve">2.4. Khoảng trống nghiên cứu</w:t>
      </w:r>
    </w:p>
    <w:p>
      <w:pPr>
        <w:pStyle w:val="FirstParagraph"/>
      </w:pPr>
      <w:r>
        <w:rPr>
          <w:rFonts w:ascii="Times New Roman" w:hAnsi="Times New Roman" w:cs="Times New Roman" w:eastAsia="Times New Roman"/>
        </w:rPr>
        <w:t xml:space="preserve">Có ba khoảng trống. Thứ nhất, các khảo sát ở Việt Nam ghi nhận tỷ lệ bị phân biệt đối xử theo lĩnh vực đời sống, nhưng chưa tách các hình thức kỳ thị trong một lĩnh vực và chưa hỏi ai là người gây kỳ thị. Thứ hai, chưa có số liệu về chính sách DEI mà người lao động LGBT ở Việt Nam biết đến, cũng như mức thực thi được cảm nhận. Thứ ba, các nghiên cứu về chính sách DEI chủ yếu được thực hiện ở Hoa Kỳ và châu Âu, nơi pháp luật có quy định về xu hướng tính dục và bản dạng giới. Ở một bối cảnh mà pháp luật lao động chưa nêu các căn cứ này, chưa rõ chính sách của tổ chức có đi kèm với ít kỳ thị hơn hay không.</w:t>
      </w:r>
    </w:p>
    <w:bookmarkEnd w:id="15"/>
    <w:bookmarkEnd w:id="16"/>
    <w:bookmarkStart w:id="22" w:name="phương-pháp-nghiên-cứu"/>
    <w:p>
      <w:pPr>
        <w:pStyle w:val="Heading1"/>
      </w:pPr>
      <w:r>
        <w:rPr>
          <w:rFonts w:ascii="Times New Roman" w:hAnsi="Times New Roman" w:cs="Times New Roman" w:eastAsia="Times New Roman"/>
        </w:rPr>
        <w:t xml:space="preserve">3. Phương pháp nghiên cứu</w:t>
      </w:r>
    </w:p>
    <w:bookmarkStart w:id="17" w:name="dữ-liệu-và-mẫu"/>
    <w:p>
      <w:pPr>
        <w:pStyle w:val="Heading2"/>
      </w:pPr>
      <w:r>
        <w:rPr>
          <w:rFonts w:ascii="Times New Roman" w:hAnsi="Times New Roman" w:cs="Times New Roman" w:eastAsia="Times New Roman"/>
        </w:rPr>
        <w:t xml:space="preserve">3.1. Dữ liệu và mẫu</w:t>
      </w:r>
    </w:p>
    <w:p>
      <w:pPr>
        <w:pStyle w:val="FirstParagraph"/>
      </w:pPr>
      <w:r>
        <w:rPr>
          <w:rFonts w:ascii="Times New Roman" w:hAnsi="Times New Roman" w:cs="Times New Roman" w:eastAsia="Times New Roman"/>
        </w:rPr>
        <w:t xml:space="preserve">Bài viết dùng dữ liệu của một khảo sát cắt ngang với người lao động tại Việt Nam, thực hiện năm 2026. Khảo sát mở cho người lao động thuộc mọi xu hướng tính dục và bản dạng giới; bài viết chỉ phân tích những người tự nhận là LGBT. Điều kiện tham gia là từ 18 tuổi trở lên và có công việc chính tạo thu nhập tại Việt Nam. Do không có khung chọn mẫu cho người LGBT, người trả lời được tiếp cận bằng cách chọn mẫu thuận tiện và quả cầu tuyết qua các mạng lưới cộng đồng. Bảng hỏi không thu tên, thông tin liên lạc, nơi ở hay tên nơi làm việc.</w:t>
      </w:r>
    </w:p>
    <w:p>
      <w:pPr>
        <w:pStyle w:val="BodyText"/>
      </w:pPr>
      <w:r>
        <w:rPr>
          <w:rFonts w:ascii="Times New Roman" w:hAnsi="Times New Roman" w:cs="Times New Roman" w:eastAsia="Times New Roman"/>
        </w:rPr>
        <w:t xml:space="preserve">Bảng 1 trình bày luồng mẫu. Trong 850 phiếu, 300 người tự nhận là LGBT và 272 người có đủ thang PHQ-4 và chỉ số kỳ thị hợp lệ. Mẫu chính gồm 235 người có đủ tám nhóm biến kiểm soát. Mẫu chính được dùng để mô tả đặc điểm mẫu, các hình thức kỳ thị và người gây ảnh hưởng nghiêm trọng nhất. Các câu hỏi về chính sách DEI hỏi về nơi làm việc, nên phần DEI chỉ gồm những người làm việc trong một tổ chức. Những người làm tự doanh, hộ kinh doanh hoặc freelancer độc lập được loại ra. Mẫu DEI gồm 176 người làm việc trong một tổ chức, trả lời đủ năm câu về chính sách, có chỉ số thực thi hợp lệ và có thông tin về loại hình, quy mô tổ chức.</w:t>
      </w:r>
    </w:p>
    <w:p>
      <w:pPr>
        <w:pStyle w:val="TableCaption"/>
      </w:pPr>
      <w:r>
        <w:rPr>
          <w:rFonts w:ascii="Times New Roman" w:hAnsi="Times New Roman" w:cs="Times New Roman" w:eastAsia="Times New Roman"/>
          <w:b/>
          <w:bCs/>
        </w:rPr>
        <w:t xml:space="preserve">Bảng 1. Luồng mẫu nghiên cứu</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258"/>
        <w:gridCol w:w="1814"/>
      </w:tblGrid>
      <w:tr>
        <w:trPr>
          <w:tblHeader w:val="on"/>
          <w:cantSplit/>
        </w:trPr>
        <w:tc>
          <w:tcPr>
            <w:tcW w:w="7258" w:type="dxa"/>
          </w:tcPr>
          <w:p>
            <w:pPr>
              <w:pStyle w:val="Compact"/>
              <w:keepNext w:val="0"/>
              <w:spacing w:before="20" w:after="20" w:line="240" w:lineRule="auto"/>
              <w:ind w:firstLine="0" w:left="0"/>
              <w:jc w:val="center"/>
            </w:pPr>
            <w:r>
              <w:rPr>
                <w:rFonts w:ascii="Times New Roman" w:hAnsi="Times New Roman"/>
                <w:b/>
                <w:sz w:val="22"/>
              </w:rPr>
              <w:t xml:space="preserve">Bước</w:t>
            </w:r>
          </w:p>
        </w:tc>
        <w:tc>
          <w:tcPr>
            <w:tcW w:w="1814" w:type="dxa"/>
          </w:tcPr>
          <w:p>
            <w:pPr>
              <w:pStyle w:val="Compact"/>
              <w:keepNext w:val="0"/>
              <w:spacing w:before="20" w:after="20" w:line="240" w:lineRule="auto"/>
              <w:ind w:firstLine="0" w:left="0"/>
              <w:jc w:val="center"/>
            </w:pPr>
            <w:r>
              <w:rPr>
                <w:rFonts w:ascii="Times New Roman" w:hAnsi="Times New Roman"/>
                <w:b/>
                <w:sz w:val="22"/>
              </w:rPr>
              <w:t xml:space="preserve">n</w:t>
            </w:r>
          </w:p>
        </w:tc>
      </w:tr>
      <w:tr>
        <w:trPr>
          <w:cantSplit/>
        </w:trPr>
        <w:tc>
          <w:tcPr>
            <w:tcW w:w="7258" w:type="dxa"/>
          </w:tcPr>
          <w:p>
            <w:pPr>
              <w:pStyle w:val="Compact"/>
              <w:keepNext w:val="0"/>
              <w:spacing w:before="20" w:after="20" w:line="240" w:lineRule="auto"/>
              <w:ind w:firstLine="0" w:left="0"/>
              <w:jc w:val="left"/>
            </w:pPr>
            <w:r>
              <w:rPr>
                <w:rFonts w:ascii="Times New Roman" w:hAnsi="Times New Roman"/>
                <w:sz w:val="22"/>
              </w:rPr>
              <w:t xml:space="preserve">Phiếu nhận được</w:t>
            </w:r>
          </w:p>
        </w:tc>
        <w:tc>
          <w:tcPr>
            <w:tcW w:w="1814" w:type="dxa"/>
          </w:tcPr>
          <w:p>
            <w:pPr>
              <w:pStyle w:val="Compact"/>
              <w:keepNext w:val="0"/>
              <w:spacing w:before="20" w:after="20" w:line="240" w:lineRule="auto"/>
              <w:ind w:firstLine="0" w:left="0"/>
              <w:jc w:val="center"/>
            </w:pPr>
            <w:r>
              <w:rPr>
                <w:rFonts w:ascii="Times New Roman" w:hAnsi="Times New Roman"/>
                <w:sz w:val="22"/>
              </w:rPr>
              <w:t xml:space="preserve">850</w:t>
            </w:r>
          </w:p>
        </w:tc>
      </w:tr>
      <w:tr>
        <w:trPr>
          <w:cantSplit/>
        </w:trPr>
        <w:tc>
          <w:tcPr>
            <w:tcW w:w="7258" w:type="dxa"/>
          </w:tcPr>
          <w:p>
            <w:pPr>
              <w:pStyle w:val="Compact"/>
              <w:keepNext w:val="0"/>
              <w:spacing w:before="20" w:after="20" w:line="240" w:lineRule="auto"/>
              <w:ind w:firstLine="0" w:left="0"/>
              <w:jc w:val="left"/>
            </w:pPr>
            <w:r>
              <w:rPr>
                <w:rFonts w:ascii="Times New Roman" w:hAnsi="Times New Roman"/>
                <w:sz w:val="22"/>
              </w:rPr>
              <w:t xml:space="preserve">Có công việc chính tạo thu nhập</w:t>
            </w:r>
          </w:p>
        </w:tc>
        <w:tc>
          <w:tcPr>
            <w:tcW w:w="1814" w:type="dxa"/>
          </w:tcPr>
          <w:p>
            <w:pPr>
              <w:pStyle w:val="Compact"/>
              <w:keepNext w:val="0"/>
              <w:spacing w:before="20" w:after="20" w:line="240" w:lineRule="auto"/>
              <w:ind w:firstLine="0" w:left="0"/>
              <w:jc w:val="center"/>
            </w:pPr>
            <w:r>
              <w:rPr>
                <w:rFonts w:ascii="Times New Roman" w:hAnsi="Times New Roman"/>
                <w:sz w:val="22"/>
              </w:rPr>
              <w:t xml:space="preserve">734</w:t>
            </w:r>
          </w:p>
        </w:tc>
      </w:tr>
      <w:tr>
        <w:trPr>
          <w:cantSplit/>
        </w:trPr>
        <w:tc>
          <w:tcPr>
            <w:tcW w:w="7258" w:type="dxa"/>
          </w:tcPr>
          <w:p>
            <w:pPr>
              <w:pStyle w:val="Compact"/>
              <w:keepNext w:val="0"/>
              <w:spacing w:before="20" w:after="20" w:line="240" w:lineRule="auto"/>
              <w:ind w:firstLine="0" w:left="0"/>
              <w:jc w:val="left"/>
            </w:pPr>
            <w:r>
              <w:rPr>
                <w:rFonts w:ascii="Times New Roman" w:hAnsi="Times New Roman"/>
                <w:sz w:val="22"/>
              </w:rPr>
              <w:t xml:space="preserve">Trả lời ít nhất một câu sau phần sàng lọc</w:t>
            </w:r>
          </w:p>
        </w:tc>
        <w:tc>
          <w:tcPr>
            <w:tcW w:w="1814" w:type="dxa"/>
          </w:tcPr>
          <w:p>
            <w:pPr>
              <w:pStyle w:val="Compact"/>
              <w:keepNext w:val="0"/>
              <w:spacing w:before="20" w:after="20" w:line="240" w:lineRule="auto"/>
              <w:ind w:firstLine="0" w:left="0"/>
              <w:jc w:val="center"/>
            </w:pPr>
            <w:r>
              <w:rPr>
                <w:rFonts w:ascii="Times New Roman" w:hAnsi="Times New Roman"/>
                <w:sz w:val="22"/>
              </w:rPr>
              <w:t xml:space="preserve">719</w:t>
            </w:r>
          </w:p>
        </w:tc>
      </w:tr>
      <w:tr>
        <w:trPr>
          <w:cantSplit/>
        </w:trPr>
        <w:tc>
          <w:tcPr>
            <w:tcW w:w="7258" w:type="dxa"/>
          </w:tcPr>
          <w:p>
            <w:pPr>
              <w:pStyle w:val="Compact"/>
              <w:keepNext w:val="0"/>
              <w:spacing w:before="20" w:after="20" w:line="240" w:lineRule="auto"/>
              <w:ind w:firstLine="0" w:left="0"/>
              <w:jc w:val="left"/>
            </w:pPr>
            <w:r>
              <w:rPr>
                <w:rFonts w:ascii="Times New Roman" w:hAnsi="Times New Roman"/>
                <w:sz w:val="22"/>
              </w:rPr>
              <w:t xml:space="preserve">Tự nhận là LGBT</w:t>
            </w:r>
          </w:p>
        </w:tc>
        <w:tc>
          <w:tcPr>
            <w:tcW w:w="1814" w:type="dxa"/>
          </w:tcPr>
          <w:p>
            <w:pPr>
              <w:pStyle w:val="Compact"/>
              <w:keepNext w:val="0"/>
              <w:spacing w:before="20" w:after="20" w:line="240" w:lineRule="auto"/>
              <w:ind w:firstLine="0" w:left="0"/>
              <w:jc w:val="center"/>
            </w:pPr>
            <w:r>
              <w:rPr>
                <w:rFonts w:ascii="Times New Roman" w:hAnsi="Times New Roman"/>
                <w:sz w:val="22"/>
              </w:rPr>
              <w:t xml:space="preserve">300</w:t>
            </w:r>
          </w:p>
        </w:tc>
      </w:tr>
      <w:tr>
        <w:trPr>
          <w:cantSplit/>
        </w:trPr>
        <w:tc>
          <w:tcPr>
            <w:tcW w:w="7258" w:type="dxa"/>
          </w:tcPr>
          <w:p>
            <w:pPr>
              <w:pStyle w:val="Compact"/>
              <w:keepNext w:val="0"/>
              <w:spacing w:before="20" w:after="20" w:line="240" w:lineRule="auto"/>
              <w:ind w:firstLine="0" w:left="0"/>
              <w:jc w:val="left"/>
            </w:pPr>
            <w:r>
              <w:rPr>
                <w:rFonts w:ascii="Times New Roman" w:hAnsi="Times New Roman"/>
                <w:sz w:val="22"/>
              </w:rPr>
              <w:t xml:space="preserve">Đủ PHQ-4 và chỉ số kỳ thị hợp lệ</w:t>
            </w:r>
          </w:p>
        </w:tc>
        <w:tc>
          <w:tcPr>
            <w:tcW w:w="1814" w:type="dxa"/>
          </w:tcPr>
          <w:p>
            <w:pPr>
              <w:pStyle w:val="Compact"/>
              <w:keepNext w:val="0"/>
              <w:spacing w:before="20" w:after="20" w:line="240" w:lineRule="auto"/>
              <w:ind w:firstLine="0" w:left="0"/>
              <w:jc w:val="center"/>
            </w:pPr>
            <w:r>
              <w:rPr>
                <w:rFonts w:ascii="Times New Roman" w:hAnsi="Times New Roman"/>
                <w:sz w:val="22"/>
              </w:rPr>
              <w:t xml:space="preserve">272</w:t>
            </w:r>
          </w:p>
        </w:tc>
      </w:tr>
      <w:tr>
        <w:trPr>
          <w:cantSplit/>
        </w:trPr>
        <w:tc>
          <w:tcPr>
            <w:tcW w:w="7258" w:type="dxa"/>
          </w:tcPr>
          <w:p>
            <w:pPr>
              <w:pStyle w:val="Compact"/>
              <w:keepNext w:val="0"/>
              <w:spacing w:before="20" w:after="20" w:line="240" w:lineRule="auto"/>
              <w:ind w:firstLine="0" w:left="0"/>
              <w:jc w:val="left"/>
            </w:pPr>
            <w:r>
              <w:rPr>
                <w:rFonts w:ascii="Times New Roman" w:hAnsi="Times New Roman"/>
                <w:sz w:val="22"/>
              </w:rPr>
              <w:t xml:space="preserve">Mẫu chính: đủ tám nhóm biến kiểm soát</w:t>
            </w:r>
          </w:p>
        </w:tc>
        <w:tc>
          <w:tcPr>
            <w:tcW w:w="1814" w:type="dxa"/>
          </w:tcPr>
          <w:p>
            <w:pPr>
              <w:pStyle w:val="Compact"/>
              <w:keepNext w:val="0"/>
              <w:spacing w:before="20" w:after="20" w:line="240" w:lineRule="auto"/>
              <w:ind w:firstLine="0" w:left="0"/>
              <w:jc w:val="center"/>
            </w:pPr>
            <w:r>
              <w:rPr>
                <w:rFonts w:ascii="Times New Roman" w:hAnsi="Times New Roman"/>
                <w:sz w:val="22"/>
              </w:rPr>
              <w:t xml:space="preserve">235</w:t>
            </w:r>
          </w:p>
        </w:tc>
      </w:tr>
      <w:tr>
        <w:trPr>
          <w:cantSplit/>
        </w:trPr>
        <w:tc>
          <w:tcPr>
            <w:tcW w:w="7258" w:type="dxa"/>
          </w:tcPr>
          <w:p>
            <w:pPr>
              <w:pStyle w:val="Compact"/>
              <w:keepNext w:val="0"/>
              <w:spacing w:before="20" w:after="20" w:line="240" w:lineRule="auto"/>
              <w:ind w:firstLine="0" w:left="0"/>
              <w:jc w:val="left"/>
            </w:pPr>
            <w:r>
              <w:rPr>
                <w:rFonts w:ascii="Times New Roman" w:hAnsi="Times New Roman"/>
                <w:sz w:val="22"/>
              </w:rPr>
              <w:t xml:space="preserve">Mẫu chính có chỉ số thực thi DEI hợp lệ</w:t>
            </w:r>
          </w:p>
        </w:tc>
        <w:tc>
          <w:tcPr>
            <w:tcW w:w="1814" w:type="dxa"/>
          </w:tcPr>
          <w:p>
            <w:pPr>
              <w:pStyle w:val="Compact"/>
              <w:keepNext w:val="0"/>
              <w:spacing w:before="20" w:after="20" w:line="240" w:lineRule="auto"/>
              <w:ind w:firstLine="0" w:left="0"/>
              <w:jc w:val="center"/>
            </w:pPr>
            <w:r>
              <w:rPr>
                <w:rFonts w:ascii="Times New Roman" w:hAnsi="Times New Roman"/>
                <w:sz w:val="22"/>
              </w:rPr>
              <w:t xml:space="preserve">223</w:t>
            </w:r>
          </w:p>
        </w:tc>
      </w:tr>
      <w:tr>
        <w:trPr>
          <w:cantSplit/>
        </w:trPr>
        <w:tc>
          <w:tcPr>
            <w:tcW w:w="7258" w:type="dxa"/>
          </w:tcPr>
          <w:p>
            <w:pPr>
              <w:pStyle w:val="Compact"/>
              <w:keepNext w:val="0"/>
              <w:spacing w:before="20" w:after="20" w:line="240" w:lineRule="auto"/>
              <w:ind w:firstLine="0" w:left="0"/>
              <w:jc w:val="left"/>
            </w:pPr>
            <w:r>
              <w:rPr>
                <w:rFonts w:ascii="Times New Roman" w:hAnsi="Times New Roman"/>
                <w:sz w:val="22"/>
              </w:rPr>
              <w:t xml:space="preserve">Mẫu chính, làm việc trong một tổ chức</w:t>
            </w:r>
          </w:p>
        </w:tc>
        <w:tc>
          <w:tcPr>
            <w:tcW w:w="1814" w:type="dxa"/>
          </w:tcPr>
          <w:p>
            <w:pPr>
              <w:pStyle w:val="Compact"/>
              <w:keepNext w:val="0"/>
              <w:spacing w:before="20" w:after="20" w:line="240" w:lineRule="auto"/>
              <w:ind w:firstLine="0" w:left="0"/>
              <w:jc w:val="center"/>
            </w:pPr>
            <w:r>
              <w:rPr>
                <w:rFonts w:ascii="Times New Roman" w:hAnsi="Times New Roman"/>
                <w:sz w:val="22"/>
              </w:rPr>
              <w:t xml:space="preserve">190</w:t>
            </w:r>
          </w:p>
        </w:tc>
      </w:tr>
      <w:tr>
        <w:trPr>
          <w:cantSplit/>
        </w:trPr>
        <w:tc>
          <w:tcPr>
            <w:tcW w:w="7258" w:type="dxa"/>
          </w:tcPr>
          <w:p>
            <w:pPr>
              <w:pStyle w:val="Compact"/>
              <w:keepNext/>
              <w:spacing w:before="20" w:after="20" w:line="240" w:lineRule="auto"/>
              <w:ind w:firstLine="0" w:left="0"/>
              <w:jc w:val="left"/>
            </w:pPr>
            <w:r>
              <w:rPr>
                <w:rFonts w:ascii="Times New Roman" w:hAnsi="Times New Roman"/>
                <w:sz w:val="22"/>
              </w:rPr>
              <w:t xml:space="preserve">Mẫu DEI: đủ năm câu về chính sách, chỉ số thực thi, loại hình và quy mô tổ chức</w:t>
            </w:r>
          </w:p>
        </w:tc>
        <w:tc>
          <w:tcPr>
            <w:tcW w:w="1814" w:type="dxa"/>
          </w:tcPr>
          <w:p>
            <w:pPr>
              <w:pStyle w:val="Compact"/>
              <w:keepNext/>
              <w:spacing w:before="20" w:after="20" w:line="240" w:lineRule="auto"/>
              <w:ind w:firstLine="0" w:left="0"/>
              <w:jc w:val="center"/>
            </w:pPr>
            <w:r>
              <w:rPr>
                <w:rFonts w:ascii="Times New Roman" w:hAnsi="Times New Roman"/>
                <w:sz w:val="22"/>
              </w:rPr>
              <w:t xml:space="preserve">176</w:t>
            </w:r>
          </w:p>
        </w:tc>
      </w:tr>
    </w:tbl>
    <w:p>
      <w:pPr>
        <w:pStyle w:val="TableSource"/>
      </w:pPr>
      <w:r>
        <w:rPr>
          <w:rFonts w:ascii="Times New Roman" w:hAnsi="Times New Roman" w:cs="Times New Roman" w:eastAsia="Times New Roman"/>
          <w:i/>
          <w:iCs/>
        </w:rPr>
        <w:t xml:space="preserve">Nguồn: Kết quả phân tích số liệu khảo sát của nhóm tác giả (2026).</w:t>
      </w:r>
    </w:p>
    <w:bookmarkEnd w:id="17"/>
    <w:bookmarkStart w:id="18" w:name="đo-lường"/>
    <w:p>
      <w:pPr>
        <w:pStyle w:val="Heading2"/>
      </w:pPr>
      <w:r>
        <w:rPr>
          <w:rFonts w:ascii="Times New Roman" w:hAnsi="Times New Roman" w:cs="Times New Roman" w:eastAsia="Times New Roman"/>
        </w:rPr>
        <w:t xml:space="preserve">3.2. Đo lường</w:t>
      </w:r>
    </w:p>
    <w:p>
      <w:pPr>
        <w:pStyle w:val="FirstParagraph"/>
      </w:pPr>
      <w:r>
        <w:rPr>
          <w:rFonts w:ascii="Times New Roman" w:hAnsi="Times New Roman" w:cs="Times New Roman" w:eastAsia="Times New Roman"/>
          <w:b/>
          <w:bCs/>
        </w:rPr>
        <w:t xml:space="preserve">Kỳ thị tại nơi làm việc.</w:t>
      </w:r>
      <w:r>
        <w:rPr>
          <w:rFonts w:ascii="Times New Roman" w:hAnsi="Times New Roman" w:cs="Times New Roman" w:eastAsia="Times New Roman"/>
        </w:rPr>
        <w:t xml:space="preserve"> </w:t>
      </w:r>
      <w:r>
        <w:rPr>
          <w:rFonts w:ascii="Times New Roman" w:hAnsi="Times New Roman" w:cs="Times New Roman" w:eastAsia="Times New Roman"/>
        </w:rPr>
        <w:t xml:space="preserve">Người trả lời cho biết tần suất gặp tám tình huống tại nơi làm việc hiện tại trong 12 tháng gần nhất, trên thang 0 (không bao giờ), 1 (một lần), 2 (thỉnh thoảng), 3 (thường xuyên) và 4 (rất thường xuyên). Tám tình huống là: (1) bị nói đùa, bình luận, gọi tên hoặc gửi nội dung xúc phạm liên quan đến xu hướng tính dục, bản dạng giới hoặc thể hiện giới; (2) bị hỏi những câu riêng tư không mong muốn về xu hướng tính dục, bản dạng giới hoặc đời sống tình cảm; (3) bị tiết lộ hoặc bị đe dọa tiết lộ xu hướng tính dục, bản dạng giới khi chưa đồng ý; (4) bị loại khỏi cơ hội đào tạo, kết nối hoặc phát triển nghề nghiệp; (5) bị đánh giá hiệu suất, trả lương hoặc thăng tiến không công bằng; (6) bị chuyển ca, phân công hoặc bố trí công việc theo hướng bất lợi; (7) bị gây áp lực phải ăn mặc, nói năng hoặc hành xử theo khuôn mẫu giới không phù hợp với bản thân; (8) gặp khó khăn khi dùng tên gọi, đại từ nhân xưng, trang phục, nhà vệ sinh hoặc tiện ích phù hợp với bản dạng giới. Với các tình huống 4–6, người trả lời đánh giá những đối xử mà họ cho là liên quan đến xu hướng tính dục, bản dạng giới hoặc thể hiện giới của mình. Lựa chọn</w:t>
      </w:r>
      <w:r>
        <w:rPr>
          <w:rFonts w:ascii="Times New Roman" w:hAnsi="Times New Roman" w:cs="Times New Roman" w:eastAsia="Times New Roman"/>
        </w:rPr>
        <w:t xml:space="preserve"> </w:t>
      </w:r>
      <w:r>
        <w:rPr>
          <w:rFonts w:ascii="Times New Roman" w:hAnsi="Times New Roman" w:cs="Times New Roman" w:eastAsia="Times New Roman"/>
        </w:rPr>
        <w:t xml:space="preserve">“không áp dụng hoặc không muốn trả lời”</w:t>
      </w:r>
      <w:r>
        <w:rPr>
          <w:rFonts w:ascii="Times New Roman" w:hAnsi="Times New Roman" w:cs="Times New Roman" w:eastAsia="Times New Roman"/>
        </w:rPr>
        <w:t xml:space="preserve"> </w:t>
      </w:r>
      <w:r>
        <w:rPr>
          <w:rFonts w:ascii="Times New Roman" w:hAnsi="Times New Roman" w:cs="Times New Roman" w:eastAsia="Times New Roman"/>
        </w:rPr>
        <w:t xml:space="preserve">được coi là giá trị thiếu. Các tình huống được điều chỉnh từ Waldo (1999) và các chỉ báo hành vi kỳ thị nơi làm việc, được thử nghiệm với 30 người trả lời nhưng chưa được kiểm định chính thức.</w:t>
      </w:r>
    </w:p>
    <w:p>
      <w:pPr>
        <w:pStyle w:val="BodyText"/>
      </w:pPr>
      <w:r>
        <w:rPr>
          <w:rFonts w:ascii="Times New Roman" w:hAnsi="Times New Roman" w:cs="Times New Roman" w:eastAsia="Times New Roman"/>
        </w:rPr>
        <w:t xml:space="preserve">Chỉ số kỳ thị (S) là trung bình tần suất của tám tình huống, tính khi có ít nhất sáu câu hợp lệ. Ba nhóm hình thức gồm kỳ thị trong giao tiếp (tình huống 1–3), kỳ thị liên quan đến nghề nghiệp (4–6) và kỳ thị về thể hiện giới (7–8). Một tình huống hoặc một nhóm được coi là đã gặp khi xảy ra ít nhất một lần, và được coi là gặp thường xuyên khi có ít nhất một tình huống ở mức 3 hoặc 4.</w:t>
      </w:r>
    </w:p>
    <w:p>
      <w:pPr>
        <w:pStyle w:val="BodyText"/>
      </w:pPr>
      <w:r>
        <w:rPr>
          <w:rFonts w:ascii="Times New Roman" w:hAnsi="Times New Roman" w:cs="Times New Roman" w:eastAsia="Times New Roman"/>
          <w:b/>
          <w:bCs/>
        </w:rPr>
        <w:t xml:space="preserve">Người gây ảnh hưởng nghiêm trọng nhất.</w:t>
      </w:r>
      <w:r>
        <w:rPr>
          <w:rFonts w:ascii="Times New Roman" w:hAnsi="Times New Roman" w:cs="Times New Roman" w:eastAsia="Times New Roman"/>
        </w:rPr>
        <w:t xml:space="preserve"> </w:t>
      </w:r>
      <w:r>
        <w:rPr>
          <w:rFonts w:ascii="Times New Roman" w:hAnsi="Times New Roman" w:cs="Times New Roman" w:eastAsia="Times New Roman"/>
        </w:rPr>
        <w:t xml:space="preserve">Người đã gặp ít nhất một tình huống được hỏi nhóm người nào gây ảnh hưởng nghiêm trọng nhất đến công việc của họ. Các lựa chọn gồm quản lý trực tiếp, đồng nghiệp, khách hàng hoặc đối tác, bộ phận nhân sự, người khác, và không muốn trả lời. Người trả lời chỉ chọn một nhóm.</w:t>
      </w:r>
    </w:p>
    <w:p>
      <w:pPr>
        <w:pStyle w:val="BodyText"/>
      </w:pPr>
      <w:r>
        <w:rPr>
          <w:rFonts w:ascii="Times New Roman" w:hAnsi="Times New Roman" w:cs="Times New Roman" w:eastAsia="Times New Roman"/>
          <w:b/>
          <w:bCs/>
        </w:rPr>
        <w:t xml:space="preserve">Chính sách DEI.</w:t>
      </w:r>
      <w:r>
        <w:rPr>
          <w:rFonts w:ascii="Times New Roman" w:hAnsi="Times New Roman" w:cs="Times New Roman" w:eastAsia="Times New Roman"/>
        </w:rPr>
        <w:t xml:space="preserve"> </w:t>
      </w:r>
      <w:r>
        <w:rPr>
          <w:rFonts w:ascii="Times New Roman" w:hAnsi="Times New Roman" w:cs="Times New Roman" w:eastAsia="Times New Roman"/>
        </w:rPr>
        <w:t xml:space="preserve">Người trả lời cho biết nơi làm việc hiện tại có hay không năm chính sách: (1) chính sách bằng văn bản chống phân biệt đối xử dựa trên xu hướng tính dục, bản dạng giới và thể hiện giới; (2) kênh hoặc quy trình khiếu nại bảo mật về phân biệt đối xử hoặc quấy rối; (3) đào tạo về DEI cho quản lý hoặc nhân viên; (4) phúc lợi cho bạn đời cùng giới hoặc người phụ thuộc ngoài hôn nhân truyền thống; (5) biện pháp hỗ trợ người chuyển giới về tên gọi, đại từ, trang phục, nhà vệ sinh hoặc thủ tục nhân sự. Mỗi câu có ba lựa chọn: có, không, không biết. Người trả lời</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là chưa rõ nơi làm việc có hay không có chính sách. Vì vậy,</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được giữ thành một nhóm riêng và không được gán thành</w:t>
      </w:r>
      <w:r>
        <w:rPr>
          <w:rFonts w:ascii="Times New Roman" w:hAnsi="Times New Roman" w:cs="Times New Roman" w:eastAsia="Times New Roman"/>
        </w:rPr>
        <w:t xml:space="preserve"> </w:t>
      </w:r>
      <w:r>
        <w:rPr>
          <w:rFonts w:ascii="Times New Roman" w:hAnsi="Times New Roman" w:cs="Times New Roman" w:eastAsia="Times New Roman"/>
        </w:rPr>
        <w:t xml:space="preserve">“không”</w:t>
      </w:r>
      <w:r>
        <w:rPr>
          <w:rFonts w:ascii="Times New Roman" w:hAnsi="Times New Roman" w:cs="Times New Roman" w:eastAsia="Times New Roman"/>
        </w:rPr>
        <w:t xml:space="preserve">. Số chính sách được báo là có (0–5) và số câu trả lời</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(0–5) được tính khi người trả lời trả lời đủ năm câu.</w:t>
      </w:r>
    </w:p>
    <w:p>
      <w:pPr>
        <w:pStyle w:val="BodyText"/>
      </w:pPr>
      <w:r>
        <w:rPr>
          <w:rFonts w:ascii="Times New Roman" w:hAnsi="Times New Roman" w:cs="Times New Roman" w:eastAsia="Times New Roman"/>
          <w:b/>
          <w:bCs/>
        </w:rPr>
        <w:t xml:space="preserve">Thực thi DEI được cảm nhận.</w:t>
      </w:r>
      <w:r>
        <w:rPr>
          <w:rFonts w:ascii="Times New Roman" w:hAnsi="Times New Roman" w:cs="Times New Roman" w:eastAsia="Times New Roman"/>
        </w:rPr>
        <w:t xml:space="preserve"> </w:t>
      </w:r>
      <w:r>
        <w:rPr>
          <w:rFonts w:ascii="Times New Roman" w:hAnsi="Times New Roman" w:cs="Times New Roman" w:eastAsia="Times New Roman"/>
        </w:rPr>
        <w:t xml:space="preserve">Người trả lời đánh giá bốn phát biểu trên thang 1 (hoàn toàn không đồng ý) đến 5 (hoàn toàn đồng ý): cảm thấy an toàn nếu phải phản ánh về phân biệt đối xử hoặc quấy rối; quản lý trực tiếp thể hiện thái độ tôn trọng người LGBT; các hành vi nói đùa hoặc xúc phạm người LGBT bị nhắc nhở hoặc xử lý; nhân viên có thể dùng tên gọi, đại từ và trang phục phù hợp với bản dạng giới. Lựa chọn</w:t>
      </w:r>
      <w:r>
        <w:rPr>
          <w:rFonts w:ascii="Times New Roman" w:hAnsi="Times New Roman" w:cs="Times New Roman" w:eastAsia="Times New Roman"/>
        </w:rPr>
        <w:t xml:space="preserve"> </w:t>
      </w:r>
      <w:r>
        <w:rPr>
          <w:rFonts w:ascii="Times New Roman" w:hAnsi="Times New Roman" w:cs="Times New Roman" w:eastAsia="Times New Roman"/>
        </w:rPr>
        <w:t xml:space="preserve">“không rõ, không áp dụng hoặc không muốn trả lời”</w:t>
      </w:r>
      <w:r>
        <w:rPr>
          <w:rFonts w:ascii="Times New Roman" w:hAnsi="Times New Roman" w:cs="Times New Roman" w:eastAsia="Times New Roman"/>
        </w:rPr>
        <w:t xml:space="preserve"> </w:t>
      </w:r>
      <w:r>
        <w:rPr>
          <w:rFonts w:ascii="Times New Roman" w:hAnsi="Times New Roman" w:cs="Times New Roman" w:eastAsia="Times New Roman"/>
        </w:rPr>
        <w:t xml:space="preserve">là giá trị thiếu. Chỉ số thực thi (Q) là trung bình bốn phát biểu, tính khi có ít nhất ba câu hợp lệ (α = 0,61 trong mẫu DEI).</w:t>
      </w:r>
    </w:p>
    <w:p>
      <w:pPr>
        <w:pStyle w:val="BodyText"/>
      </w:pPr>
      <w:r>
        <w:rPr>
          <w:rFonts w:ascii="Times New Roman" w:hAnsi="Times New Roman" w:cs="Times New Roman" w:eastAsia="Times New Roman"/>
          <w:b/>
          <w:bCs/>
        </w:rPr>
        <w:t xml:space="preserve">Triệu chứng lo âu và trầm cảm.</w:t>
      </w:r>
      <w:r>
        <w:rPr>
          <w:rFonts w:ascii="Times New Roman" w:hAnsi="Times New Roman" w:cs="Times New Roman" w:eastAsia="Times New Roman"/>
        </w:rPr>
        <w:t xml:space="preserve"> </w:t>
      </w:r>
      <w:r>
        <w:rPr>
          <w:rFonts w:ascii="Times New Roman" w:hAnsi="Times New Roman" w:cs="Times New Roman" w:eastAsia="Times New Roman"/>
        </w:rPr>
        <w:t xml:space="preserve">Thang PHQ-4 gồm hai câu về lo âu và hai câu về trầm cảm trong hai tuần gần nhất, mỗi câu từ 0 (không hề) đến 3 (gần như mỗi ngày) (Kroenke và cộng sự, 2009). Tổng điểm từ 0 đến 12, điểm cao hơn cho thấy triệu chứng nặng hơn (α = 0,84 trong mẫu DEI). PHQ-4 là thang sàng lọc, không phải công cụ chẩn đoán. Chưa có nghiên cứu kiểm định bản tiếng Việt của PHQ-4; bằng chứng gần nhất là nghiên cứu về thang PHQ-9, nguồn của hai câu trầm cảm, ở phụ nữ thiểu số tình dục tại Việt Nam (Nguyen và cộng sự, 2016).</w:t>
      </w:r>
    </w:p>
    <w:p>
      <w:pPr>
        <w:pStyle w:val="BodyText"/>
      </w:pPr>
      <w:r>
        <w:rPr>
          <w:rFonts w:ascii="Times New Roman" w:hAnsi="Times New Roman" w:cs="Times New Roman" w:eastAsia="Times New Roman"/>
          <w:b/>
          <w:bCs/>
        </w:rPr>
        <w:t xml:space="preserve">Biến kiểm soát.</w:t>
      </w:r>
      <w:r>
        <w:rPr>
          <w:rFonts w:ascii="Times New Roman" w:hAnsi="Times New Roman" w:cs="Times New Roman" w:eastAsia="Times New Roman"/>
        </w:rPr>
        <w:t xml:space="preserve"> </w:t>
      </w:r>
      <w:r>
        <w:rPr>
          <w:rFonts w:ascii="Times New Roman" w:hAnsi="Times New Roman" w:cs="Times New Roman" w:eastAsia="Times New Roman"/>
        </w:rPr>
        <w:t xml:space="preserve">Các mô hình điều chỉnh tám nhóm đặc điểm có trước phơi nhiễm (Xᴰ): nhóm tuổi, học vấn, giới tính khi sinh, tình trạng chuyển giới hoặc đa dạng giới, nhóm xu hướng tính dục, tình trạng quan hệ, địa bàn làm việc và ngành. Các mô hình về chính sách DEI điều chỉnh thêm loại hình nơi làm việc (cơ quan, doanh nghiệp nhà nước; doanh nghiệp tư nhân trong nước; doanh nghiệp FDI; tổ chức phi lợi nhuận; khác) và quy mô nơi làm việc. Hai đặc điểm này vừa quyết định nơi làm việc có chính sách DEI hay không, vừa có thể liên quan đến mức kỳ thị. Với mọi biến kiểm soát,</w:t>
      </w:r>
      <w:r>
        <w:rPr>
          <w:rFonts w:ascii="Times New Roman" w:hAnsi="Times New Roman" w:cs="Times New Roman" w:eastAsia="Times New Roman"/>
        </w:rPr>
        <w:t xml:space="preserve"> </w:t>
      </w:r>
      <w:r>
        <w:rPr>
          <w:rFonts w:ascii="Times New Roman" w:hAnsi="Times New Roman" w:cs="Times New Roman" w:eastAsia="Times New Roman"/>
        </w:rPr>
        <w:t xml:space="preserve">“không muốn trả lời”</w:t>
      </w:r>
      <w:r>
        <w:rPr>
          <w:rFonts w:ascii="Times New Roman" w:hAnsi="Times New Roman" w:cs="Times New Roman" w:eastAsia="Times New Roman"/>
        </w:rPr>
        <w:t xml:space="preserve"> </w:t>
      </w:r>
      <w:r>
        <w:rPr>
          <w:rFonts w:ascii="Times New Roman" w:hAnsi="Times New Roman" w:cs="Times New Roman" w:eastAsia="Times New Roman"/>
        </w:rPr>
        <w:t xml:space="preserve">được giữ thành một nhóm riêng. Trước khi ước lượng, các nhóm có dưới năm người trong mẫu ước lượng được gộp theo một quy tắc chỉ dựa vào số đếm. Hệ số của tình trạng chuyển giới hoặc đa dạng giới không được báo cáo.</w:t>
      </w:r>
    </w:p>
    <w:bookmarkEnd w:id="18"/>
    <w:bookmarkStart w:id="19" w:name="phân-tích-số-liệu"/>
    <w:p>
      <w:pPr>
        <w:pStyle w:val="Heading2"/>
      </w:pPr>
      <w:r>
        <w:rPr>
          <w:rFonts w:ascii="Times New Roman" w:hAnsi="Times New Roman" w:cs="Times New Roman" w:eastAsia="Times New Roman"/>
        </w:rPr>
        <w:t xml:space="preserve">3.3. Phân tích số liệu</w:t>
      </w:r>
    </w:p>
    <w:p>
      <w:pPr>
        <w:pStyle w:val="FirstParagraph"/>
      </w:pPr>
      <w:r>
        <w:rPr>
          <w:rFonts w:ascii="Times New Roman" w:hAnsi="Times New Roman" w:cs="Times New Roman" w:eastAsia="Times New Roman"/>
        </w:rPr>
        <w:t xml:space="preserve">Phân tích gồm hai phần. Phần mô tả trình bày tần suất các hình thức kỳ thị, người gây ảnh hưởng nghiêm trọng nhất, các chính sách DEI và mức thực thi được cảm nhận. Để xem chính sách có đi cùng với thực thi hay không, bài viết so sánh chỉ số thực thi giữa nhóm trả lời có, không và không biết của từng chính sách, và so sánh ba cặp chính sách với phát biểu thực thi tương ứng. Các so sánh này chỉ mang tính mô tả.</w:t>
      </w:r>
    </w:p>
    <w:p>
      <w:pPr>
        <w:pStyle w:val="BodyText"/>
      </w:pPr>
      <w:r>
        <w:rPr>
          <w:rFonts w:ascii="Times New Roman" w:hAnsi="Times New Roman" w:cs="Times New Roman" w:eastAsia="Times New Roman"/>
        </w:rPr>
        <w:t xml:space="preserve">Phần thăm dò dùng hồi quy tuyến tính (OLS) với sai số chuẩn vững HC3, vốn phù hợp với mẫu dưới 250 quan sát (Long và Ervin, 2000). Các mô hình được chia thành ba họ. Họ A xem xét liên hệ giữa chính sách DEI và chỉ số kỳ thị S. Biến giải thích lần lượt là số chính sách được báo là có (điều chỉnh số câu</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chỉ số thực thi Q và từng chính sách (có so với không). Họ B xem xét liên hệ giữa số chính sách hoặc chỉ số thực thi với điểm PHQ-4, ước lượng có và không có S trong mô hình. Họ C xem xét vai trò điều tiết. Mô hình C1 đưa tích S × Q vào mô hình PHQ-4 của mẫu chính có chỉ số thực thi hợp lệ (223 người), với Xᴰ. Mô hình C2 đưa tích của S với số chính sách vào mô hình PHQ-4 của mẫu DEI. Trong mỗi họ, giá trị p được hiệu chỉnh theo Benjamini và Hochberg (1995).</w:t>
      </w:r>
    </w:p>
    <w:p>
      <w:pPr>
        <w:pStyle w:val="BodyText"/>
      </w:pPr>
      <w:r>
        <w:rPr>
          <w:rFonts w:ascii="Times New Roman" w:hAnsi="Times New Roman" w:cs="Times New Roman" w:eastAsia="Times New Roman"/>
        </w:rPr>
        <w:t xml:space="preserve">Bài viết đọc khoảng tin cậy 95% thay vì chỉ dựa vào ngưỡng ý nghĩa. Khi khoảng tin cậy chứa cả 0 và các giá trị có ý nghĩa thực tiễn, kết quả được coi là chưa xác định. Hai hệ số, một có ý nghĩa và một không, không được coi là bằng chứng rằng chúng khác nhau (Gelman và Stern, 2006). Hệ số của một nhóm chỉ được báo cáo khi nhóm đó và nhóm tham chiếu đều có ít nhất 10 người. Các phân tích độ nhạy gồm: coi mọi câu</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là không (cận dưới) hoặc là có (cận trên); chỉ giữ những người không có câu</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nào; và giữ cả người tự doanh, freelancer (mẫu DEI toàn bộ, 218 người).</w:t>
      </w:r>
    </w:p>
    <w:p>
      <w:pPr>
        <w:pStyle w:val="BodyText"/>
      </w:pPr>
      <w:r>
        <w:rPr>
          <w:rFonts w:ascii="Times New Roman" w:hAnsi="Times New Roman" w:cs="Times New Roman" w:eastAsia="Times New Roman"/>
        </w:rPr>
        <w:t xml:space="preserve">Kế hoạch phân tích được ghi lại trước khi ước lượng các mô hình DEI. Tuy nhiên, mô hình C1 đã được ước lượng ở một giai đoạn trước của đề tài, nên toàn bộ phần DEI được trình bày như phân tích thăm dò. Câu hỏi mở về đề xuất cải thiện nơi làm việc có dưới 10 câu trả lời của người LGBT, nên không được phân tích. Số liệu được xử lý bằng Stata 17 theo các bước: đọc bản xuất gốc, mã hóa từng câu theo bảng mã, kiểm tra luồng mẫu với các con số đã ghi, dựng các chỉ số, gộp nhóm thưa, ước lượng mô hình và xuất bảng. Một bản tái lập độc lập bằng Python cho lại các ước lượng.</w:t>
      </w:r>
    </w:p>
    <w:bookmarkEnd w:id="19"/>
    <w:bookmarkStart w:id="20" w:name="phân-tích-văn-bản-pháp-luật"/>
    <w:p>
      <w:pPr>
        <w:pStyle w:val="Heading2"/>
      </w:pPr>
      <w:r>
        <w:rPr>
          <w:rFonts w:ascii="Times New Roman" w:hAnsi="Times New Roman" w:cs="Times New Roman" w:eastAsia="Times New Roman"/>
        </w:rPr>
        <w:t xml:space="preserve">3.4. Phân tích văn bản pháp luật</w:t>
      </w:r>
    </w:p>
    <w:p>
      <w:pPr>
        <w:pStyle w:val="FirstParagraph"/>
      </w:pPr>
      <w:r>
        <w:rPr>
          <w:rFonts w:ascii="Times New Roman" w:hAnsi="Times New Roman" w:cs="Times New Roman" w:eastAsia="Times New Roman"/>
        </w:rPr>
        <w:t xml:space="preserve">Để trả lời câu hỏi thứ tư, bài viết đối chiếu từng hình thức kỳ thị với các văn bản hiện hành: Hiến pháp năm 2013; Bộ luật Lao động 2019 và Nghị định 145/2020/NĐ-CP; Bộ luật Dân sự 2015; Luật Hôn nhân và gia đình 2014; Luật Bảo vệ dữ liệu cá nhân 2025 và Nghị định 356/2025/NĐ-CP; Công văn 4132/BYT-PC của Bộ Y tế. Với mỗi hình thức, bài viết xem xét hai điểm: hành vi đó có được văn bản nêu hoặc định nghĩa hay không, và có cơ chế xử lý tại nơi làm việc hay không.</w:t>
      </w:r>
    </w:p>
    <w:bookmarkEnd w:id="20"/>
    <w:bookmarkStart w:id="21" w:name="đạo-đức-nghiên-cứu-và-bảo-vệ-dữ-liệu"/>
    <w:p>
      <w:pPr>
        <w:pStyle w:val="Heading2"/>
      </w:pPr>
      <w:r>
        <w:rPr>
          <w:rFonts w:ascii="Times New Roman" w:hAnsi="Times New Roman" w:cs="Times New Roman" w:eastAsia="Times New Roman"/>
        </w:rPr>
        <w:t xml:space="preserve">3.5. Đạo đức nghiên cứu và bảo vệ dữ liệu</w:t>
      </w:r>
    </w:p>
    <w:p>
      <w:pPr>
        <w:pStyle w:val="FirstParagraph"/>
      </w:pPr>
      <w:r>
        <w:rPr>
          <w:rFonts w:ascii="Times New Roman" w:hAnsi="Times New Roman" w:cs="Times New Roman" w:eastAsia="Times New Roman"/>
        </w:rPr>
        <w:t xml:space="preserve">[Tác giả điền thông tin phê duyệt hoặc miễn xét duyệt đạo đức: tên hội đồng, số và ngày quyết định.] Trước khi trả lời, người tham gia đọc trang thông tin về mục đích nghiên cứu, được báo trước rằng bảng hỏi có câu hỏi nhạy cảm, và được biết có thể bỏ qua bất kỳ câu nào hoặc dừng bất cứ lúc nào. Người tham gia thể hiện sự đồng ý bằng việc tiếp tục trả lời. Dữ liệu chứa thông tin về xu hướng tính dục, bản dạng giới và sức khỏe, thuộc nhóm dữ liệu cá nhân nhạy cảm (Chính phủ, 2025; Quốc hội, 2025). Mọi bảng theo nhóm nhân khẩu học, nhóm xu hướng tính dục, bản dạng giới hoặc đặc điểm nơi làm việc đều ẩn các ô có dưới 10 người, cùng các ô từ đó có thể suy ra ô bị ẩn. Người chuyển giới và phi nhị nguyên không được trình bày như một nhóm riêng, vì nhóm này quá nhỏ để có ước lượng ổn định và an toàn trước nguy cơ nhận diện.</w:t>
      </w:r>
    </w:p>
    <w:bookmarkEnd w:id="21"/>
    <w:bookmarkEnd w:id="22"/>
    <w:bookmarkStart w:id="30" w:name="kết-quả-và-thảo-luận"/>
    <w:p>
      <w:pPr>
        <w:pStyle w:val="Heading1"/>
      </w:pPr>
      <w:r>
        <w:rPr>
          <w:rFonts w:ascii="Times New Roman" w:hAnsi="Times New Roman" w:cs="Times New Roman" w:eastAsia="Times New Roman"/>
        </w:rPr>
        <w:t xml:space="preserve">4. Kết quả và thảo luận</w:t>
      </w:r>
    </w:p>
    <w:bookmarkStart w:id="23" w:name="đặc-điểm-mẫu"/>
    <w:p>
      <w:pPr>
        <w:pStyle w:val="Heading2"/>
      </w:pPr>
      <w:r>
        <w:rPr>
          <w:rFonts w:ascii="Times New Roman" w:hAnsi="Times New Roman" w:cs="Times New Roman" w:eastAsia="Times New Roman"/>
        </w:rPr>
        <w:t xml:space="preserve">4.1. Đặc điểm mẫu</w:t>
      </w:r>
    </w:p>
    <w:p>
      <w:pPr>
        <w:pStyle w:val="FirstParagraph"/>
      </w:pPr>
      <w:r>
        <w:rPr>
          <w:rFonts w:ascii="Times New Roman" w:hAnsi="Times New Roman" w:cs="Times New Roman" w:eastAsia="Times New Roman"/>
        </w:rPr>
        <w:t xml:space="preserve">Bảng 2 mô tả mẫu chính. Nhóm đông nhất là người 25–34 tuổi (41,7%), người có giới tính khi sinh là nữ (61,7%), người có trình độ đại học (64,7%) và người làm việc tại TP. Hồ Chí Minh (51,9%). Theo xu hướng tính dục, mẫu gồm 78 người song tính, 62 người đồng tính nam, 62 người đồng tính nữ và 21 người toàn tính. Về nơi làm việc, 36,8% làm ở cơ quan, doanh nghiệp nhà nước, 34,6% ở doanh nghiệp tư nhân trong nước, 11,1% ở doanh nghiệp FDI và 11,5% làm tự doanh hoặc hộ kinh doanh. Trong mẫu DEI (176 người), điểm PHQ-4 trung bình là 3,52 (độ lệch chuẩn 3,41), và chỉ số kỳ thị trung bình là 0,31 (độ lệch chuẩn 0,48) trên thang 0–4.</w:t>
      </w:r>
    </w:p>
    <w:p>
      <w:pPr>
        <w:pStyle w:val="TableCaption"/>
      </w:pPr>
      <w:r>
        <w:rPr>
          <w:rFonts w:ascii="Times New Roman" w:hAnsi="Times New Roman" w:cs="Times New Roman" w:eastAsia="Times New Roman"/>
          <w:b/>
          <w:bCs/>
        </w:rPr>
        <w:t xml:space="preserve">Bảng 2. Đặc điểm của mẫu chính (n = 235)</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804"/>
        <w:gridCol w:w="2268"/>
      </w:tblGrid>
      <w:tr>
        <w:trPr>
          <w:tblHeader w:val="on"/>
          <w:cantSplit/>
        </w:trPr>
        <w:tc>
          <w:tcPr>
            <w:tcW w:w="6804" w:type="dxa"/>
          </w:tcPr>
          <w:p>
            <w:pPr>
              <w:pStyle w:val="Compact"/>
              <w:keepNext w:val="0"/>
              <w:spacing w:before="20" w:after="20" w:line="240" w:lineRule="auto"/>
              <w:ind w:firstLine="0" w:left="0"/>
              <w:jc w:val="center"/>
            </w:pPr>
            <w:r>
              <w:rPr>
                <w:rFonts w:ascii="Times New Roman" w:hAnsi="Times New Roman"/>
                <w:b/>
                <w:sz w:val="22"/>
              </w:rPr>
              <w:t xml:space="preserve">Đặc điểm</w:t>
            </w:r>
          </w:p>
        </w:tc>
        <w:tc>
          <w:tcPr>
            <w:tcW w:w="2268" w:type="dxa"/>
          </w:tcPr>
          <w:p>
            <w:pPr>
              <w:pStyle w:val="Compact"/>
              <w:keepNext w:val="0"/>
              <w:spacing w:before="20" w:after="20" w:line="240" w:lineRule="auto"/>
              <w:ind w:firstLine="0" w:left="0"/>
              <w:jc w:val="center"/>
            </w:pPr>
            <w:r>
              <w:rPr>
                <w:rFonts w:ascii="Times New Roman" w:hAnsi="Times New Roman"/>
                <w:b/>
                <w:sz w:val="22"/>
              </w:rPr>
              <w:t xml:space="preserve">n (%)</w:t>
            </w:r>
          </w:p>
        </w:tc>
      </w:tr>
      <w:tr>
        <w:trPr>
          <w:cantSplit/>
        </w:trPr>
        <w:tc>
          <w:tcPr>
            <w:tcW w:w="9072" w:type="dxa"/>
            <w:gridSpan w:val="2"/>
          </w:tcPr>
          <w:p>
            <w:pPr>
              <w:pStyle w:val="Compact"/>
              <w:spacing w:before="20" w:after="20" w:line="240" w:lineRule="auto"/>
              <w:ind w:firstLine="0"/>
              <w:jc w:val="left"/>
            </w:pPr>
            <w:r>
              <w:rPr>
                <w:rFonts w:ascii="Times New Roman" w:hAnsi="Times New Roman"/>
                <w:b/>
                <w:bCs/>
                <w:sz w:val="22"/>
              </w:rPr>
              <w:t xml:space="preserve">Nhóm tuổi</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18–24</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56 (23,8)</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25–34</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98 (41,7)</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35–44</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43 (18,3)</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Từ 45 trở lên</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Không muốn trả lời</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&lt;10</w:t>
            </w:r>
          </w:p>
        </w:tc>
      </w:tr>
      <w:tr>
        <w:trPr>
          <w:cantSplit/>
        </w:trPr>
        <w:tc>
          <w:tcPr>
            <w:tcW w:w="9072" w:type="dxa"/>
            <w:gridSpan w:val="2"/>
          </w:tcPr>
          <w:p>
            <w:pPr>
              <w:pStyle w:val="Compact"/>
              <w:spacing w:before="20" w:after="20" w:line="240" w:lineRule="auto"/>
              <w:ind w:firstLine="0"/>
              <w:jc w:val="left"/>
            </w:pPr>
            <w:r>
              <w:rPr>
                <w:rFonts w:ascii="Times New Roman" w:hAnsi="Times New Roman"/>
                <w:b/>
                <w:bCs/>
                <w:sz w:val="22"/>
              </w:rPr>
              <w:t xml:space="preserve">Giới tính khi sinh</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Nam</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90 (38,3)</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Nữ</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145 (61,7)</w:t>
            </w:r>
          </w:p>
        </w:tc>
      </w:tr>
      <w:tr>
        <w:trPr>
          <w:cantSplit/>
        </w:trPr>
        <w:tc>
          <w:tcPr>
            <w:tcW w:w="9072" w:type="dxa"/>
            <w:gridSpan w:val="2"/>
          </w:tcPr>
          <w:p>
            <w:pPr>
              <w:pStyle w:val="Compact"/>
              <w:spacing w:before="20" w:after="20" w:line="240" w:lineRule="auto"/>
              <w:ind w:firstLine="0"/>
              <w:jc w:val="left"/>
            </w:pPr>
            <w:r>
              <w:rPr>
                <w:rFonts w:ascii="Times New Roman" w:hAnsi="Times New Roman"/>
                <w:b/>
                <w:bCs/>
                <w:sz w:val="22"/>
              </w:rPr>
              <w:t xml:space="preserve">Học vấn</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THPT trở xuống</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36 (15,3)</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Cao đẳng</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20 (8,5)</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Đại học</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152 (64,7)</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Sau đại học</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27 (11,5)</w:t>
            </w:r>
          </w:p>
        </w:tc>
      </w:tr>
      <w:tr>
        <w:trPr>
          <w:cantSplit/>
        </w:trPr>
        <w:tc>
          <w:tcPr>
            <w:tcW w:w="9072" w:type="dxa"/>
            <w:gridSpan w:val="2"/>
          </w:tcPr>
          <w:p>
            <w:pPr>
              <w:pStyle w:val="Compact"/>
              <w:spacing w:before="20" w:after="20" w:line="240" w:lineRule="auto"/>
              <w:ind w:firstLine="0"/>
              <w:jc w:val="left"/>
            </w:pPr>
            <w:r>
              <w:rPr>
                <w:rFonts w:ascii="Times New Roman" w:hAnsi="Times New Roman"/>
                <w:b/>
                <w:bCs/>
                <w:sz w:val="22"/>
              </w:rPr>
              <w:t xml:space="preserve">Địa bàn làm việc</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Hà Nội</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67 (28,5)</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TP. Hồ Chí Minh</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122 (51,9)</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Đà Nẵng</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19 (8,1)</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Nơi khác</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27 (11,5)</w:t>
            </w:r>
          </w:p>
        </w:tc>
      </w:tr>
      <w:tr>
        <w:trPr>
          <w:cantSplit/>
        </w:trPr>
        <w:tc>
          <w:tcPr>
            <w:tcW w:w="9072" w:type="dxa"/>
            <w:gridSpan w:val="2"/>
          </w:tcPr>
          <w:p>
            <w:pPr>
              <w:pStyle w:val="Compact"/>
              <w:spacing w:before="20" w:after="20" w:line="240" w:lineRule="auto"/>
              <w:ind w:firstLine="0"/>
              <w:jc w:val="left"/>
            </w:pPr>
            <w:r>
              <w:rPr>
                <w:rFonts w:ascii="Times New Roman" w:hAnsi="Times New Roman"/>
                <w:b/>
                <w:bCs/>
                <w:sz w:val="22"/>
              </w:rPr>
              <w:t xml:space="preserve">Xu hướng tính dục</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Đồng tính nam</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62 (26,4)</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Đồng tính nữ</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62 (26,4)</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Song tính</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78 (33,2)</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Toàn tính</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21 (8,9)</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Khác, đang tự xác định hoặc không nêu</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12 (5,1)</w:t>
            </w:r>
          </w:p>
        </w:tc>
      </w:tr>
      <w:tr>
        <w:trPr>
          <w:cantSplit/>
        </w:trPr>
        <w:tc>
          <w:tcPr>
            <w:tcW w:w="9072" w:type="dxa"/>
            <w:gridSpan w:val="2"/>
          </w:tcPr>
          <w:p>
            <w:pPr>
              <w:pStyle w:val="Compact"/>
              <w:spacing w:before="20" w:after="20" w:line="240" w:lineRule="auto"/>
              <w:ind w:firstLine="0"/>
              <w:jc w:val="left"/>
            </w:pPr>
            <w:r>
              <w:rPr>
                <w:rFonts w:ascii="Times New Roman" w:hAnsi="Times New Roman"/>
                <w:b/>
                <w:bCs/>
                <w:sz w:val="22"/>
              </w:rPr>
              <w:t xml:space="preserve">Loại hình nơi làm việc</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Cơ quan, doanh nghiệp nhà nước</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86 (36,8)</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Doanh nghiệp tư nhân trong nước</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81 (34,6)</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Doanh nghiệp FDI</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26 (11,1)</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Tổ chức phi lợi nhuận</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Tự doanh, hộ kinh doanh</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27 (11,5)</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Khác</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&lt;10</w:t>
            </w:r>
          </w:p>
        </w:tc>
      </w:tr>
      <w:tr>
        <w:trPr>
          <w:cantSplit/>
        </w:trPr>
        <w:tc>
          <w:tcPr>
            <w:tcW w:w="9072" w:type="dxa"/>
            <w:gridSpan w:val="2"/>
          </w:tcPr>
          <w:p>
            <w:pPr>
              <w:pStyle w:val="Compact"/>
              <w:spacing w:before="20" w:after="20" w:line="240" w:lineRule="auto"/>
              <w:ind w:firstLine="0"/>
              <w:jc w:val="left"/>
            </w:pPr>
            <w:r>
              <w:rPr>
                <w:rFonts w:ascii="Times New Roman" w:hAnsi="Times New Roman"/>
                <w:b/>
                <w:bCs/>
                <w:sz w:val="22"/>
              </w:rPr>
              <w:t xml:space="preserve">Quy mô nơi làm việc</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Dưới 50 người</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66 (28,3)</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50–199 người</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56 (24,0)</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200–499 người</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33 (14,2)</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Từ 500 người trở lên</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66 (28,3)</w:t>
            </w:r>
          </w:p>
        </w:tc>
      </w:tr>
      <w:tr>
        <w:trPr>
          <w:cantSplit/>
        </w:trPr>
        <w:tc>
          <w:tcPr>
            <w:tcW w:w="6804" w:type="dxa"/>
          </w:tcPr>
          <w:p>
            <w:pPr>
              <w:pStyle w:val="Compact"/>
              <w:keepNext w:val="0"/>
              <w:spacing w:before="20" w:after="20" w:line="240" w:lineRule="auto"/>
              <w:ind w:firstLine="0" w:left="0"/>
              <w:jc w:val="left"/>
            </w:pPr>
            <w:r>
              <w:rPr>
                <w:rFonts w:ascii="Times New Roman" w:hAnsi="Times New Roman"/>
                <w:sz w:val="22"/>
              </w:rPr>
              <w:t xml:space="preserve">Không áp dụng hoặc không rõ</w:t>
            </w:r>
          </w:p>
        </w:tc>
        <w:tc>
          <w:tcPr>
            <w:tcW w:w="2268" w:type="dxa"/>
          </w:tcPr>
          <w:p>
            <w:pPr>
              <w:pStyle w:val="Compact"/>
              <w:keepNext w:val="0"/>
              <w:spacing w:before="20" w:after="20" w:line="240" w:lineRule="auto"/>
              <w:ind w:firstLine="0" w:left="0"/>
              <w:jc w:val="center"/>
            </w:pPr>
            <w:r>
              <w:rPr>
                <w:rFonts w:ascii="Times New Roman" w:hAnsi="Times New Roman"/>
                <w:sz w:val="22"/>
              </w:rPr>
              <w:t xml:space="preserve">–</w:t>
            </w:r>
          </w:p>
        </w:tc>
      </w:tr>
      <w:tr>
        <w:trPr>
          <w:cantSplit/>
        </w:trPr>
        <w:tc>
          <w:tcPr>
            <w:tcW w:w="6804" w:type="dxa"/>
          </w:tcPr>
          <w:p>
            <w:pPr>
              <w:pStyle w:val="Compact"/>
              <w:keepNext/>
              <w:spacing w:before="20" w:after="20" w:line="240" w:lineRule="auto"/>
              <w:ind w:firstLine="0" w:left="0"/>
              <w:jc w:val="left"/>
            </w:pPr>
            <w:r>
              <w:rPr>
                <w:rFonts w:ascii="Times New Roman" w:hAnsi="Times New Roman"/>
                <w:sz w:val="22"/>
              </w:rPr>
              <w:t xml:space="preserve">Không muốn trả lời</w:t>
            </w:r>
          </w:p>
        </w:tc>
        <w:tc>
          <w:tcPr>
            <w:tcW w:w="2268" w:type="dxa"/>
          </w:tcPr>
          <w:p>
            <w:pPr>
              <w:pStyle w:val="Compact"/>
              <w:keepNext/>
              <w:spacing w:before="20" w:after="20" w:line="240" w:lineRule="auto"/>
              <w:ind w:firstLine="0" w:left="0"/>
              <w:jc w:val="center"/>
            </w:pPr>
            <w:r>
              <w:rPr>
                <w:rFonts w:ascii="Times New Roman" w:hAnsi="Times New Roman"/>
                <w:sz w:val="22"/>
              </w:rPr>
              <w:t xml:space="preserve">&lt;10</w:t>
            </w: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Tỷ lệ tính trên số người trả lời câu hỏi tương ứng. &lt;10: ô có dưới 10 người được ẩn. –: ô được ẩn để không suy ra được ô có dưới 10 người. Bản dạng giới không được trình bày. Tình trạng quan hệ và ngành được điều chỉnh trong mô hình nhưng không trình bày ở đây. Mẫu DEI chỉ được mô tả qua cỡ mẫu, để không suy ra được các nhóm nhỏ bằng phép trừ giữa hai mẫu.</w:t>
      </w:r>
    </w:p>
    <w:p>
      <w:pPr>
        <w:pStyle w:val="TableSource"/>
      </w:pPr>
      <w:r>
        <w:rPr>
          <w:rFonts w:ascii="Times New Roman" w:hAnsi="Times New Roman" w:cs="Times New Roman" w:eastAsia="Times New Roman"/>
          <w:i/>
          <w:iCs/>
        </w:rPr>
        <w:t xml:space="preserve">Nguồn: Kết quả phân tích số liệu khảo sát của nhóm tác giả (2026).</w:t>
      </w:r>
    </w:p>
    <w:bookmarkEnd w:id="23"/>
    <w:bookmarkStart w:id="24" w:name="X49eb61817fd616999c0305f868dafef8ed1de2d"/>
    <w:p>
      <w:pPr>
        <w:pStyle w:val="Heading2"/>
      </w:pPr>
      <w:r>
        <w:rPr>
          <w:rFonts w:ascii="Times New Roman" w:hAnsi="Times New Roman" w:cs="Times New Roman" w:eastAsia="Times New Roman"/>
        </w:rPr>
        <w:t xml:space="preserve">4.2. Các hình thức kỳ thị và người gây ảnh hưởng nghiêm trọng nhất</w:t>
      </w:r>
    </w:p>
    <w:p>
      <w:pPr>
        <w:pStyle w:val="FirstParagraph"/>
      </w:pPr>
      <w:r>
        <w:rPr>
          <w:rFonts w:ascii="Times New Roman" w:hAnsi="Times New Roman" w:cs="Times New Roman" w:eastAsia="Times New Roman"/>
        </w:rPr>
        <w:t xml:space="preserve">Bảng 3 trình bày các hình thức kỳ thị trong mẫu chính. Có 57,0% người trả lời đã gặp ít nhất một tình huống trong 12 tháng, và 27,2% đã gặp ít nhất một tình huống ở mức thường xuyên hoặc rất thường xuyên. Kỳ thị trong giao tiếp phổ biến nhất (47,2%). Câu hỏi riêng tư không mong muốn được báo cáo nhiều nhất (33,9%), tiếp đến là lời đùa, bình luận xúc phạm (26,8%) và việc bị tiết lộ hoặc bị đe dọa tiết lộ khi chưa đồng ý (15,5%). Kỳ thị liên quan đến nghề nghiệp (17,4%) và kỳ thị về thể hiện giới (18,0%) ít gặp hơn. Áp lực theo khuôn mẫu giới được 16,2% người trả lời báo cáo. Các tỷ lệ này trùng với phần mô tả trong bài viết cùng bộ dữ liệu, vì hai bài dùng chung mẫu chính.</w:t>
      </w:r>
    </w:p>
    <w:p>
      <w:pPr>
        <w:pStyle w:val="TableCaption"/>
      </w:pPr>
      <w:r>
        <w:rPr>
          <w:rFonts w:ascii="Times New Roman" w:hAnsi="Times New Roman" w:cs="Times New Roman" w:eastAsia="Times New Roman"/>
          <w:b/>
          <w:bCs/>
        </w:rPr>
        <w:t xml:space="preserve">Bảng 3. Các hình thức kỳ thị đã gặp tại nơi làm việc trong 12 tháng (mẫu chính, n = 235)</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717"/>
        <w:gridCol w:w="1089"/>
        <w:gridCol w:w="1633"/>
        <w:gridCol w:w="1633"/>
      </w:tblGrid>
      <w:tr>
        <w:trPr>
          <w:tblHeader w:val="on"/>
          <w:cantSplit/>
        </w:trPr>
        <w:tc>
          <w:tcPr>
            <w:tcW w:w="4717" w:type="dxa"/>
          </w:tcPr>
          <w:p>
            <w:pPr>
              <w:pStyle w:val="Compact"/>
              <w:keepNext w:val="0"/>
              <w:spacing w:before="20" w:after="20" w:line="240" w:lineRule="auto"/>
              <w:ind w:firstLine="0" w:left="0"/>
              <w:jc w:val="center"/>
            </w:pPr>
            <w:r>
              <w:rPr>
                <w:rFonts w:ascii="Times New Roman" w:hAnsi="Times New Roman"/>
                <w:b/>
                <w:sz w:val="22"/>
              </w:rPr>
              <w:t xml:space="preserve">Hình thức kỳ thị</w:t>
            </w:r>
          </w:p>
        </w:tc>
        <w:tc>
          <w:tcPr>
            <w:tcW w:w="1089" w:type="dxa"/>
          </w:tcPr>
          <w:p>
            <w:pPr>
              <w:pStyle w:val="Compact"/>
              <w:keepNext w:val="0"/>
              <w:spacing w:before="20" w:after="20" w:line="240" w:lineRule="auto"/>
              <w:ind w:firstLine="0" w:left="0"/>
              <w:jc w:val="center"/>
            </w:pPr>
            <w:r>
              <w:rPr>
                <w:rFonts w:ascii="Times New Roman" w:hAnsi="Times New Roman"/>
                <w:b/>
                <w:sz w:val="22"/>
              </w:rPr>
              <w:t xml:space="preserve">n hợp lệ</w:t>
            </w:r>
          </w:p>
        </w:tc>
        <w:tc>
          <w:tcPr>
            <w:tcW w:w="1633" w:type="dxa"/>
          </w:tcPr>
          <w:p>
            <w:pPr>
              <w:pStyle w:val="Compact"/>
              <w:keepNext w:val="0"/>
              <w:spacing w:before="20" w:after="20" w:line="240" w:lineRule="auto"/>
              <w:ind w:firstLine="0" w:left="0"/>
              <w:jc w:val="center"/>
            </w:pPr>
            <w:r>
              <w:rPr>
                <w:rFonts w:ascii="Times New Roman" w:hAnsi="Times New Roman"/>
                <w:b/>
                <w:sz w:val="22"/>
              </w:rPr>
              <w:t xml:space="preserve">Ít nhất một lần, n (%)</w:t>
            </w:r>
          </w:p>
        </w:tc>
        <w:tc>
          <w:tcPr>
            <w:tcW w:w="1633" w:type="dxa"/>
          </w:tcPr>
          <w:p>
            <w:pPr>
              <w:pStyle w:val="Compact"/>
              <w:keepNext w:val="0"/>
              <w:spacing w:before="20" w:after="20" w:line="240" w:lineRule="auto"/>
              <w:ind w:firstLine="0" w:left="0"/>
              <w:jc w:val="center"/>
            </w:pPr>
            <w:r>
              <w:rPr>
                <w:rFonts w:ascii="Times New Roman" w:hAnsi="Times New Roman"/>
                <w:b/>
                <w:sz w:val="22"/>
              </w:rPr>
              <w:t xml:space="preserve">Thường xuyên hoặc rất thường xuyên, n (%)</w:t>
            </w:r>
          </w:p>
        </w:tc>
      </w:tr>
      <w:tr>
        <w:trPr>
          <w:cantSplit/>
        </w:trPr>
        <w:tc>
          <w:tcPr>
            <w:tcW w:w="4717" w:type="dxa"/>
          </w:tcPr>
          <w:p>
            <w:pPr>
              <w:pStyle w:val="Compact"/>
              <w:keepNext w:val="0"/>
              <w:spacing w:before="20" w:after="20" w:line="240" w:lineRule="auto"/>
              <w:ind w:firstLine="0" w:left="0"/>
              <w:jc w:val="left"/>
            </w:pPr>
            <w:r>
              <w:rPr>
                <w:rFonts w:ascii="Times New Roman" w:hAnsi="Times New Roman"/>
                <w:b/>
                <w:bCs/>
                <w:sz w:val="22"/>
              </w:rPr>
              <w:t xml:space="preserve">Bất kỳ tình huống nào (1–8)</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235</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134 (57,0)</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64 (27,2)</w:t>
            </w:r>
          </w:p>
        </w:tc>
      </w:tr>
      <w:tr>
        <w:trPr>
          <w:cantSplit/>
        </w:trPr>
        <w:tc>
          <w:tcPr>
            <w:tcW w:w="4717" w:type="dxa"/>
          </w:tcPr>
          <w:p>
            <w:pPr>
              <w:pStyle w:val="Compact"/>
              <w:keepNext w:val="0"/>
              <w:spacing w:before="20" w:after="20" w:line="240" w:lineRule="auto"/>
              <w:ind w:firstLine="0" w:left="0"/>
              <w:jc w:val="left"/>
            </w:pPr>
            <w:r>
              <w:rPr>
                <w:rFonts w:ascii="Times New Roman" w:hAnsi="Times New Roman"/>
                <w:b/>
                <w:bCs/>
                <w:sz w:val="22"/>
              </w:rPr>
              <w:t xml:space="preserve">Giao tiếp (1–3)</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235</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111 (47,2)</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52 (22,1)</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1. Lời đùa, bình luận xúc phạm</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231</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62 (26,8)</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17 (7,4)</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2. Câu hỏi riêng tư không mong muốn</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227</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77 (33,9)</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31 (13,7)</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3. Bị tiết lộ hoặc đe dọa tiết lộ khi chưa đồng ý</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220</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34 (15,5)</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13 (5,9)</w:t>
            </w:r>
          </w:p>
        </w:tc>
      </w:tr>
      <w:tr>
        <w:trPr>
          <w:cantSplit/>
        </w:trPr>
        <w:tc>
          <w:tcPr>
            <w:tcW w:w="4717" w:type="dxa"/>
          </w:tcPr>
          <w:p>
            <w:pPr>
              <w:pStyle w:val="Compact"/>
              <w:keepNext w:val="0"/>
              <w:spacing w:before="20" w:after="20" w:line="240" w:lineRule="auto"/>
              <w:ind w:firstLine="0" w:left="0"/>
              <w:jc w:val="left"/>
            </w:pPr>
            <w:r>
              <w:rPr>
                <w:rFonts w:ascii="Times New Roman" w:hAnsi="Times New Roman"/>
                <w:b/>
                <w:bCs/>
                <w:sz w:val="22"/>
              </w:rPr>
              <w:t xml:space="preserve">Nghề nghiệp (4–6)</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235</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41 (17,4)</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17 (7,2)</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4. Bị loại khỏi đào tạo, phát triển nghề nghiệp</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212</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&lt;10</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&lt;10</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5. Đánh giá, trả lương, thăng tiến không công bằng</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204</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20 (9,8)</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&lt;10</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6. Phân công, bố trí công việc bất lợi</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223</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26 (11,7)</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10 (4,5)</w:t>
            </w:r>
          </w:p>
        </w:tc>
      </w:tr>
      <w:tr>
        <w:trPr>
          <w:cantSplit/>
        </w:trPr>
        <w:tc>
          <w:tcPr>
            <w:tcW w:w="4717" w:type="dxa"/>
          </w:tcPr>
          <w:p>
            <w:pPr>
              <w:pStyle w:val="Compact"/>
              <w:keepNext w:val="0"/>
              <w:spacing w:before="20" w:after="20" w:line="240" w:lineRule="auto"/>
              <w:ind w:firstLine="0" w:left="0"/>
              <w:jc w:val="left"/>
            </w:pPr>
            <w:r>
              <w:rPr>
                <w:rFonts w:ascii="Times New Roman" w:hAnsi="Times New Roman"/>
                <w:b/>
                <w:bCs/>
                <w:sz w:val="22"/>
              </w:rPr>
              <w:t xml:space="preserve">Thể hiện giới (7–8)</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233</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42 (18,0)</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14 (6,0)</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7. Áp lực theo khuôn mẫu giới</w:t>
            </w:r>
          </w:p>
        </w:tc>
        <w:tc>
          <w:tcPr>
            <w:tcW w:w="1089" w:type="dxa"/>
          </w:tcPr>
          <w:p>
            <w:pPr>
              <w:pStyle w:val="Compact"/>
              <w:keepNext w:val="0"/>
              <w:spacing w:before="20" w:after="20" w:line="240" w:lineRule="auto"/>
              <w:ind w:firstLine="0" w:left="0"/>
              <w:jc w:val="center"/>
            </w:pPr>
            <w:r>
              <w:rPr>
                <w:rFonts w:ascii="Times New Roman" w:hAnsi="Times New Roman"/>
                <w:sz w:val="22"/>
              </w:rPr>
              <w:t xml:space="preserve">222</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36 (16,2)</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10 (4,5)</w:t>
            </w:r>
          </w:p>
        </w:tc>
      </w:tr>
      <w:tr>
        <w:trPr>
          <w:cantSplit/>
        </w:trPr>
        <w:tc>
          <w:tcPr>
            <w:tcW w:w="4717" w:type="dxa"/>
          </w:tcPr>
          <w:p>
            <w:pPr>
              <w:pStyle w:val="Compact"/>
              <w:keepNext/>
              <w:spacing w:before="20" w:after="20" w:line="240" w:lineRule="auto"/>
              <w:ind w:firstLine="0" w:left="0"/>
              <w:jc w:val="left"/>
            </w:pPr>
            <w:r>
              <w:rPr>
                <w:rFonts w:ascii="Times New Roman" w:hAnsi="Times New Roman"/>
                <w:sz w:val="22"/>
              </w:rPr>
              <w:t xml:space="preserve">8. Khó khăn với tên gọi, đại từ, trang phục, nhà vệ sinh</w:t>
            </w:r>
          </w:p>
        </w:tc>
        <w:tc>
          <w:tcPr>
            <w:tcW w:w="1089" w:type="dxa"/>
          </w:tcPr>
          <w:p>
            <w:pPr>
              <w:pStyle w:val="Compact"/>
              <w:keepNext/>
              <w:spacing w:before="20" w:after="20" w:line="240" w:lineRule="auto"/>
              <w:ind w:firstLine="0" w:left="0"/>
              <w:jc w:val="center"/>
            </w:pPr>
            <w:r>
              <w:rPr>
                <w:rFonts w:ascii="Times New Roman" w:hAnsi="Times New Roman"/>
                <w:sz w:val="22"/>
              </w:rPr>
              <w:t xml:space="preserve">186</w:t>
            </w:r>
          </w:p>
        </w:tc>
        <w:tc>
          <w:tcPr>
            <w:tcW w:w="1633" w:type="dxa"/>
          </w:tcPr>
          <w:p>
            <w:pPr>
              <w:pStyle w:val="Compact"/>
              <w:keepNext/>
              <w:spacing w:before="20" w:after="20" w:line="240" w:lineRule="auto"/>
              <w:ind w:firstLine="0" w:left="0"/>
              <w:jc w:val="center"/>
            </w:pPr>
            <w:r>
              <w:rPr>
                <w:rFonts w:ascii="Times New Roman" w:hAnsi="Times New Roman"/>
                <w:sz w:val="22"/>
              </w:rPr>
              <w:t xml:space="preserve">13 (7,0)</w:t>
            </w:r>
          </w:p>
        </w:tc>
        <w:tc>
          <w:tcPr>
            <w:tcW w:w="1633" w:type="dxa"/>
          </w:tcPr>
          <w:p>
            <w:pPr>
              <w:pStyle w:val="Compact"/>
              <w:keepNext/>
              <w:spacing w:before="20" w:after="20" w:line="240" w:lineRule="auto"/>
              <w:ind w:firstLine="0" w:left="0"/>
              <w:jc w:val="center"/>
            </w:pPr>
            <w:r>
              <w:rPr>
                <w:rFonts w:ascii="Times New Roman" w:hAnsi="Times New Roman"/>
                <w:sz w:val="22"/>
              </w:rPr>
              <w:t xml:space="preserve">&lt;10</w:t>
            </w: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n hợp lệ là số người trả lời tình huống, hoặc có chỉ số hợp lệ của nhóm, và là mẫu số của tỷ lệ. &lt;10: ô có dưới 10 người được ẩn.</w:t>
      </w:r>
    </w:p>
    <w:p>
      <w:pPr>
        <w:pStyle w:val="TableSource"/>
      </w:pPr>
      <w:r>
        <w:rPr>
          <w:rFonts w:ascii="Times New Roman" w:hAnsi="Times New Roman" w:cs="Times New Roman" w:eastAsia="Times New Roman"/>
          <w:i/>
          <w:iCs/>
        </w:rPr>
        <w:t xml:space="preserve">Nguồn: Kết quả phân tích số liệu khảo sát của nhóm tác giả (2026).</w:t>
      </w:r>
    </w:p>
    <w:p>
      <w:pPr>
        <w:pStyle w:val="BodyText"/>
      </w:pPr>
      <w:r>
        <w:rPr>
          <w:rFonts w:ascii="Times New Roman" w:hAnsi="Times New Roman" w:cs="Times New Roman" w:eastAsia="Times New Roman"/>
        </w:rPr>
        <w:t xml:space="preserve">Bảng 4 cho biết ai gây ảnh hưởng nghiêm trọng nhất. Trong 134 người đã gặp ít nhất một tình huống, gần một nửa nêu đồng nghiệp (48,5%). Khách hàng hoặc đối tác đứng thứ hai (24,6%), quản lý trực tiếp đứng thứ ba (16,4%). Bộ phận nhân sự được nêu bởi dưới 10 người. Tỷ lệ nêu đồng nghiệp gần như không đổi ở những người đã gặp kỳ thị nghề nghiệp (48,8%) và kỳ thị về thể hiện giới (47,6%). Như vậy, ngay cả với các bất lợi trong đánh giá, phân công hay đào tạo, người lao động cũng thường nêu đồng nghiệp nhiều hơn quản lý.</w:t>
      </w:r>
    </w:p>
    <w:p>
      <w:pPr>
        <w:pStyle w:val="TableCaption"/>
      </w:pPr>
      <w:r>
        <w:rPr>
          <w:rFonts w:ascii="Times New Roman" w:hAnsi="Times New Roman" w:cs="Times New Roman" w:eastAsia="Times New Roman"/>
          <w:b/>
          <w:bCs/>
        </w:rPr>
        <w:t xml:space="preserve">Bảng 4. Người gây ảnh hưởng nghiêm trọng nhất, trong số người đã gặp kỳ thị (mẫu chính)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84"/>
        <w:gridCol w:w="1996"/>
        <w:gridCol w:w="1996"/>
        <w:gridCol w:w="1996"/>
      </w:tblGrid>
      <w:tr>
        <w:trPr>
          <w:tblHeader w:val="on"/>
          <w:cantSplit/>
        </w:trPr>
        <w:tc>
          <w:tcPr>
            <w:tcW w:w="3084" w:type="dxa"/>
          </w:tcPr>
          <w:p>
            <w:pPr>
              <w:pStyle w:val="Compact"/>
              <w:keepNext w:val="0"/>
              <w:spacing w:before="20" w:after="20" w:line="240" w:lineRule="auto"/>
              <w:ind w:firstLine="0" w:left="0"/>
              <w:jc w:val="center"/>
            </w:pPr>
            <w:r>
              <w:rPr>
                <w:rFonts w:ascii="Times New Roman" w:hAnsi="Times New Roman"/>
                <w:b/>
                <w:sz w:val="22"/>
              </w:rPr>
              <w:t xml:space="preserve">Người gây ảnh hưởng</w:t>
            </w:r>
          </w:p>
        </w:tc>
        <w:tc>
          <w:tcPr>
            <w:tcW w:w="1996" w:type="dxa"/>
          </w:tcPr>
          <w:p>
            <w:pPr>
              <w:pStyle w:val="Compact"/>
              <w:keepNext w:val="0"/>
              <w:spacing w:before="20" w:after="20" w:line="240" w:lineRule="auto"/>
              <w:ind w:firstLine="0" w:left="0"/>
              <w:jc w:val="center"/>
            </w:pPr>
            <w:r>
              <w:rPr>
                <w:rFonts w:ascii="Times New Roman" w:hAnsi="Times New Roman"/>
                <w:b/>
                <w:sz w:val="22"/>
              </w:rPr>
              <w:t xml:space="preserve">Bất kỳ tình huống nào</w:t>
            </w:r>
          </w:p>
        </w:tc>
        <w:tc>
          <w:tcPr>
            <w:tcW w:w="1996" w:type="dxa"/>
          </w:tcPr>
          <w:p>
            <w:pPr>
              <w:pStyle w:val="Compact"/>
              <w:keepNext w:val="0"/>
              <w:spacing w:before="20" w:after="20" w:line="240" w:lineRule="auto"/>
              <w:ind w:firstLine="0" w:left="0"/>
              <w:jc w:val="center"/>
            </w:pPr>
            <w:r>
              <w:rPr>
                <w:rFonts w:ascii="Times New Roman" w:hAnsi="Times New Roman"/>
                <w:b/>
                <w:sz w:val="22"/>
              </w:rPr>
              <w:t xml:space="preserve">Nghề nghiệp</w:t>
            </w:r>
          </w:p>
        </w:tc>
        <w:tc>
          <w:tcPr>
            <w:tcW w:w="1996" w:type="dxa"/>
          </w:tcPr>
          <w:p>
            <w:pPr>
              <w:pStyle w:val="Compact"/>
              <w:keepNext w:val="0"/>
              <w:spacing w:before="20" w:after="20" w:line="240" w:lineRule="auto"/>
              <w:ind w:firstLine="0" w:left="0"/>
              <w:jc w:val="center"/>
            </w:pPr>
            <w:r>
              <w:rPr>
                <w:rFonts w:ascii="Times New Roman" w:hAnsi="Times New Roman"/>
                <w:b/>
                <w:sz w:val="22"/>
              </w:rPr>
              <w:t xml:space="preserve">Thể hiện giới</w:t>
            </w:r>
          </w:p>
        </w:tc>
      </w:tr>
      <w:tr>
        <w:trPr>
          <w:cantSplit/>
        </w:trPr>
        <w:tc>
          <w:tcPr>
            <w:tcW w:w="3084" w:type="dxa"/>
          </w:tcPr>
          <w:p>
            <w:pPr>
              <w:pStyle w:val="Compact"/>
              <w:keepNext w:val="0"/>
              <w:spacing w:before="20" w:after="20" w:line="240" w:lineRule="auto"/>
              <w:ind w:firstLine="0" w:left="0"/>
              <w:jc w:val="left"/>
            </w:pPr>
            <w:r>
              <w:rPr>
                <w:rFonts w:ascii="Times New Roman" w:hAnsi="Times New Roman"/>
                <w:sz w:val="22"/>
              </w:rPr>
              <w:t xml:space="preserve">n</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134</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41</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42</w:t>
            </w:r>
          </w:p>
        </w:tc>
      </w:tr>
      <w:tr>
        <w:trPr>
          <w:cantSplit/>
        </w:trPr>
        <w:tc>
          <w:tcPr>
            <w:tcW w:w="3084" w:type="dxa"/>
          </w:tcPr>
          <w:p>
            <w:pPr>
              <w:pStyle w:val="Compact"/>
              <w:keepNext w:val="0"/>
              <w:spacing w:before="20" w:after="20" w:line="240" w:lineRule="auto"/>
              <w:ind w:firstLine="0" w:left="0"/>
              <w:jc w:val="left"/>
            </w:pPr>
            <w:r>
              <w:rPr>
                <w:rFonts w:ascii="Times New Roman" w:hAnsi="Times New Roman"/>
                <w:sz w:val="22"/>
              </w:rPr>
              <w:t xml:space="preserve">Quản lý trực tiếp</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22 (16,4)</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&lt;10</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&lt;10</w:t>
            </w:r>
          </w:p>
        </w:tc>
      </w:tr>
      <w:tr>
        <w:trPr>
          <w:cantSplit/>
        </w:trPr>
        <w:tc>
          <w:tcPr>
            <w:tcW w:w="3084" w:type="dxa"/>
          </w:tcPr>
          <w:p>
            <w:pPr>
              <w:pStyle w:val="Compact"/>
              <w:keepNext w:val="0"/>
              <w:spacing w:before="20" w:after="20" w:line="240" w:lineRule="auto"/>
              <w:ind w:firstLine="0" w:left="0"/>
              <w:jc w:val="left"/>
            </w:pPr>
            <w:r>
              <w:rPr>
                <w:rFonts w:ascii="Times New Roman" w:hAnsi="Times New Roman"/>
                <w:sz w:val="22"/>
              </w:rPr>
              <w:t xml:space="preserve">Đồng nghiệp</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65 (48,5)</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20 (48,8)</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20 (47,6)</w:t>
            </w:r>
          </w:p>
        </w:tc>
      </w:tr>
      <w:tr>
        <w:trPr>
          <w:cantSplit/>
        </w:trPr>
        <w:tc>
          <w:tcPr>
            <w:tcW w:w="3084" w:type="dxa"/>
          </w:tcPr>
          <w:p>
            <w:pPr>
              <w:pStyle w:val="Compact"/>
              <w:keepNext w:val="0"/>
              <w:spacing w:before="20" w:after="20" w:line="240" w:lineRule="auto"/>
              <w:ind w:firstLine="0" w:left="0"/>
              <w:jc w:val="left"/>
            </w:pPr>
            <w:r>
              <w:rPr>
                <w:rFonts w:ascii="Times New Roman" w:hAnsi="Times New Roman"/>
                <w:sz w:val="22"/>
              </w:rPr>
              <w:t xml:space="preserve">Khách hàng, đối tác</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33 (24,6)</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10 (24,4)</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11 (26,2)</w:t>
            </w:r>
          </w:p>
        </w:tc>
      </w:tr>
      <w:tr>
        <w:trPr>
          <w:cantSplit/>
        </w:trPr>
        <w:tc>
          <w:tcPr>
            <w:tcW w:w="3084" w:type="dxa"/>
          </w:tcPr>
          <w:p>
            <w:pPr>
              <w:pStyle w:val="Compact"/>
              <w:keepNext w:val="0"/>
              <w:spacing w:before="20" w:after="20" w:line="240" w:lineRule="auto"/>
              <w:ind w:firstLine="0" w:left="0"/>
              <w:jc w:val="left"/>
            </w:pPr>
            <w:r>
              <w:rPr>
                <w:rFonts w:ascii="Times New Roman" w:hAnsi="Times New Roman"/>
                <w:sz w:val="22"/>
              </w:rPr>
              <w:t xml:space="preserve">Bộ phận nhân sự</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&lt;10</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&lt;10</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0</w:t>
            </w:r>
          </w:p>
        </w:tc>
      </w:tr>
      <w:tr>
        <w:trPr>
          <w:cantSplit/>
        </w:trPr>
        <w:tc>
          <w:tcPr>
            <w:tcW w:w="3084" w:type="dxa"/>
          </w:tcPr>
          <w:p>
            <w:pPr>
              <w:pStyle w:val="Compact"/>
              <w:keepNext w:val="0"/>
              <w:spacing w:before="20" w:after="20" w:line="240" w:lineRule="auto"/>
              <w:ind w:firstLine="0" w:left="0"/>
              <w:jc w:val="left"/>
            </w:pPr>
            <w:r>
              <w:rPr>
                <w:rFonts w:ascii="Times New Roman" w:hAnsi="Times New Roman"/>
                <w:sz w:val="22"/>
              </w:rPr>
              <w:t xml:space="preserve">Người khác</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&lt;10</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0</w:t>
            </w:r>
          </w:p>
        </w:tc>
        <w:tc>
          <w:tcPr>
            <w:tcW w:w="1996" w:type="dxa"/>
          </w:tcPr>
          <w:p>
            <w:pPr>
              <w:pStyle w:val="Compact"/>
              <w:keepNext w:val="0"/>
              <w:spacing w:before="20" w:after="20" w:line="240" w:lineRule="auto"/>
              <w:ind w:firstLine="0" w:left="0"/>
              <w:jc w:val="center"/>
            </w:pPr>
            <w:r>
              <w:rPr>
                <w:rFonts w:ascii="Times New Roman" w:hAnsi="Times New Roman"/>
                <w:sz w:val="22"/>
              </w:rPr>
              <w:t xml:space="preserve">&lt;10</w:t>
            </w:r>
          </w:p>
        </w:tc>
      </w:tr>
      <w:tr>
        <w:trPr>
          <w:cantSplit/>
        </w:trPr>
        <w:tc>
          <w:tcPr>
            <w:tcW w:w="3084" w:type="dxa"/>
          </w:tcPr>
          <w:p>
            <w:pPr>
              <w:pStyle w:val="Compact"/>
              <w:keepNext/>
              <w:spacing w:before="20" w:after="20" w:line="240" w:lineRule="auto"/>
              <w:ind w:firstLine="0" w:left="0"/>
              <w:jc w:val="left"/>
            </w:pPr>
            <w:r>
              <w:rPr>
                <w:rFonts w:ascii="Times New Roman" w:hAnsi="Times New Roman"/>
                <w:sz w:val="22"/>
              </w:rPr>
              <w:t xml:space="preserve">Không muốn trả lời</w:t>
            </w:r>
          </w:p>
        </w:tc>
        <w:tc>
          <w:tcPr>
            <w:tcW w:w="1996" w:type="dxa"/>
          </w:tcPr>
          <w:p>
            <w:pPr>
              <w:pStyle w:val="Compact"/>
              <w:keepNext/>
              <w:spacing w:before="20" w:after="20" w:line="240" w:lineRule="auto"/>
              <w:ind w:firstLine="0" w:left="0"/>
              <w:jc w:val="center"/>
            </w:pPr>
            <w:r>
              <w:rPr>
                <w:rFonts w:ascii="Times New Roman" w:hAnsi="Times New Roman"/>
                <w:sz w:val="22"/>
              </w:rPr>
              <w:t xml:space="preserve">&lt;10</w:t>
            </w:r>
          </w:p>
        </w:tc>
        <w:tc>
          <w:tcPr>
            <w:tcW w:w="1996" w:type="dxa"/>
          </w:tcPr>
          <w:p>
            <w:pPr>
              <w:pStyle w:val="Compact"/>
              <w:keepNext/>
              <w:spacing w:before="20" w:after="20" w:line="240" w:lineRule="auto"/>
              <w:ind w:firstLine="0" w:left="0"/>
              <w:jc w:val="center"/>
            </w:pPr>
            <w:r>
              <w:rPr>
                <w:rFonts w:ascii="Times New Roman" w:hAnsi="Times New Roman"/>
                <w:sz w:val="22"/>
              </w:rPr>
              <w:t xml:space="preserve">&lt;10</w:t>
            </w:r>
          </w:p>
        </w:tc>
        <w:tc>
          <w:tcPr>
            <w:tcW w:w="1996" w:type="dxa"/>
          </w:tcPr>
          <w:p>
            <w:pPr>
              <w:pStyle w:val="Compact"/>
              <w:keepNext/>
              <w:spacing w:before="20" w:after="20" w:line="240" w:lineRule="auto"/>
              <w:ind w:firstLine="0" w:left="0"/>
              <w:jc w:val="center"/>
            </w:pPr>
            <w:r>
              <w:rPr>
                <w:rFonts w:ascii="Times New Roman" w:hAnsi="Times New Roman"/>
                <w:sz w:val="22"/>
              </w:rPr>
              <w:t xml:space="preserve">&lt;10</w:t>
            </w: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Giá trị là n (%). Mỗi người chọn một nhóm. Cột</w:t>
      </w:r>
      <w:r>
        <w:rPr>
          <w:rFonts w:ascii="Times New Roman" w:hAnsi="Times New Roman" w:cs="Times New Roman" w:eastAsia="Times New Roman"/>
        </w:rPr>
        <w:t xml:space="preserve"> </w:t>
      </w:r>
      <w:r>
        <w:rPr>
          <w:rFonts w:ascii="Times New Roman" w:hAnsi="Times New Roman" w:cs="Times New Roman" w:eastAsia="Times New Roman"/>
        </w:rPr>
        <w:t xml:space="preserve">“Nghề nghiệp”</w:t>
      </w:r>
      <w:r>
        <w:rPr>
          <w:rFonts w:ascii="Times New Roman" w:hAnsi="Times New Roman" w:cs="Times New Roman" w:eastAsia="Times New Roman"/>
        </w:rPr>
        <w:t xml:space="preserve"> </w:t>
      </w:r>
      <w:r>
        <w:rPr>
          <w:rFonts w:ascii="Times New Roman" w:hAnsi="Times New Roman" w:cs="Times New Roman" w:eastAsia="Times New Roman"/>
        </w:rPr>
        <w:t xml:space="preserve">và</w:t>
      </w:r>
      <w:r>
        <w:rPr>
          <w:rFonts w:ascii="Times New Roman" w:hAnsi="Times New Roman" w:cs="Times New Roman" w:eastAsia="Times New Roman"/>
        </w:rPr>
        <w:t xml:space="preserve"> </w:t>
      </w:r>
      <w:r>
        <w:rPr>
          <w:rFonts w:ascii="Times New Roman" w:hAnsi="Times New Roman" w:cs="Times New Roman" w:eastAsia="Times New Roman"/>
        </w:rPr>
        <w:t xml:space="preserve">“Thể hiện giới”</w:t>
      </w:r>
      <w:r>
        <w:rPr>
          <w:rFonts w:ascii="Times New Roman" w:hAnsi="Times New Roman" w:cs="Times New Roman" w:eastAsia="Times New Roman"/>
        </w:rPr>
        <w:t xml:space="preserve"> </w:t>
      </w:r>
      <w:r>
        <w:rPr>
          <w:rFonts w:ascii="Times New Roman" w:hAnsi="Times New Roman" w:cs="Times New Roman" w:eastAsia="Times New Roman"/>
        </w:rPr>
        <w:t xml:space="preserve">gồm những người đã gặp ít nhất một tình huống của nhóm hình thức tương ứng, nên một người có thể có mặt ở cả hai cột. Nhóm kỳ thị trong giao tiếp không được trình bày riêng vì gần trùng với cột đầu, và phép trừ giữa hai cột sẽ cho ra các ô dưới 10 người. &lt;10: ô có dưới 10 người được ẩn.</w:t>
      </w:r>
    </w:p>
    <w:p>
      <w:pPr>
        <w:pStyle w:val="TableSource"/>
      </w:pPr>
      <w:r>
        <w:rPr>
          <w:rFonts w:ascii="Times New Roman" w:hAnsi="Times New Roman" w:cs="Times New Roman" w:eastAsia="Times New Roman"/>
          <w:i/>
          <w:iCs/>
        </w:rPr>
        <w:t xml:space="preserve">Nguồn: Kết quả phân tích số liệu khảo sát của nhóm tác giả (2026).</w:t>
      </w:r>
    </w:p>
    <w:bookmarkEnd w:id="24"/>
    <w:bookmarkStart w:id="25" w:name="X7b4f12ff027416685d1bcf7d6363427568bbf97"/>
    <w:p>
      <w:pPr>
        <w:pStyle w:val="Heading2"/>
      </w:pPr>
      <w:r>
        <w:rPr>
          <w:rFonts w:ascii="Times New Roman" w:hAnsi="Times New Roman" w:cs="Times New Roman" w:eastAsia="Times New Roman"/>
        </w:rPr>
        <w:t xml:space="preserve">4.3. Chính sách DEI và mức thực thi được cảm nhận</w:t>
      </w:r>
    </w:p>
    <w:p>
      <w:pPr>
        <w:pStyle w:val="FirstParagraph"/>
      </w:pPr>
      <w:r>
        <w:rPr>
          <w:rFonts w:ascii="Times New Roman" w:hAnsi="Times New Roman" w:cs="Times New Roman" w:eastAsia="Times New Roman"/>
        </w:rPr>
        <w:t xml:space="preserve">Bảng 5 cho thấy chính sách DEI hiếm gặp. Kênh khiếu nại bảo mật là chính sách được báo cáo nhiều nhất (31,2%). Các chính sách dành riêng cho người LGBT rất ít: 8,5% cho biết có chính sách bằng văn bản chống phân biệt đối xử dựa trên xu hướng tính dục và bản dạng giới, 10,2% có đào tạo về DEI, 6,8% có biện pháp hỗ trợ người chuyển giới, và dưới 10 người có phúc lợi cho bạn đời cùng giới. Hơn một nửa (52,3%) không nêu chính sách nào là có. Mức</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cao: ở mỗi chính sách, từ 25,0% đến 28,4% người trả lời không biết nơi làm việc có hay không. Chỉ 24,4% trả lời có hoặc không cho cả năm chính sách.</w:t>
      </w:r>
    </w:p>
    <w:p>
      <w:pPr>
        <w:pStyle w:val="TableCaption"/>
      </w:pPr>
      <w:r>
        <w:rPr>
          <w:rFonts w:ascii="Times New Roman" w:hAnsi="Times New Roman" w:cs="Times New Roman" w:eastAsia="Times New Roman"/>
          <w:b/>
          <w:bCs/>
        </w:rPr>
        <w:t xml:space="preserve">Bảng 5. Chính sách DEI tại nơi làm việc theo cho biết của người lao động LGBT (mẫu DEI, n = 176)</w:t>
      </w:r>
    </w:p>
    <w:tbl>
      <w:tblPr>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717"/>
        <w:gridCol w:w="1452"/>
        <w:gridCol w:w="1452"/>
        <w:gridCol w:w="1452"/>
      </w:tblGrid>
      <w:tr>
        <w:trPr>
          <w:tblHeader w:val="on"/>
          <w:cantSplit/>
        </w:trPr>
        <w:tc>
          <w:tcPr>
            <w:tcW w:w="4717" w:type="dxa"/>
          </w:tcPr>
          <w:p>
            <w:pPr>
              <w:pStyle w:val="Compact"/>
              <w:keepNext w:val="0"/>
              <w:spacing w:before="20" w:after="20" w:line="240" w:lineRule="auto"/>
              <w:ind w:firstLine="0" w:left="0"/>
              <w:jc w:val="center"/>
            </w:pPr>
            <w:r>
              <w:rPr>
                <w:rFonts w:ascii="Times New Roman" w:hAnsi="Times New Roman"/>
                <w:b/>
                <w:sz w:val="22"/>
              </w:rPr>
              <w:t xml:space="preserve">Chính sách</w:t>
            </w:r>
          </w:p>
        </w:tc>
        <w:tc>
          <w:tcPr>
            <w:tcW w:w="1452" w:type="dxa"/>
          </w:tcPr>
          <w:p>
            <w:pPr>
              <w:pStyle w:val="Compact"/>
              <w:keepNext w:val="0"/>
              <w:spacing w:before="20" w:after="20" w:line="240" w:lineRule="auto"/>
              <w:ind w:firstLine="0" w:left="0"/>
              <w:jc w:val="center"/>
            </w:pPr>
            <w:r>
              <w:rPr>
                <w:rFonts w:ascii="Times New Roman" w:hAnsi="Times New Roman"/>
                <w:b/>
                <w:sz w:val="22"/>
              </w:rPr>
              <w:t xml:space="preserve">Có</w:t>
            </w:r>
          </w:p>
        </w:tc>
        <w:tc>
          <w:tcPr>
            <w:tcW w:w="1452" w:type="dxa"/>
          </w:tcPr>
          <w:p>
            <w:pPr>
              <w:pStyle w:val="Compact"/>
              <w:keepNext w:val="0"/>
              <w:spacing w:before="20" w:after="20" w:line="240" w:lineRule="auto"/>
              <w:ind w:firstLine="0" w:left="0"/>
              <w:jc w:val="center"/>
            </w:pPr>
            <w:r>
              <w:rPr>
                <w:rFonts w:ascii="Times New Roman" w:hAnsi="Times New Roman"/>
                <w:b/>
                <w:sz w:val="22"/>
              </w:rPr>
              <w:t xml:space="preserve">Không</w:t>
            </w:r>
          </w:p>
        </w:tc>
        <w:tc>
          <w:tcPr>
            <w:tcW w:w="1452" w:type="dxa"/>
          </w:tcPr>
          <w:p>
            <w:pPr>
              <w:pStyle w:val="Compact"/>
              <w:keepNext w:val="0"/>
              <w:spacing w:before="20" w:after="20" w:line="240" w:lineRule="auto"/>
              <w:ind w:firstLine="0" w:left="0"/>
              <w:jc w:val="center"/>
            </w:pPr>
            <w:r>
              <w:rPr>
                <w:rFonts w:ascii="Times New Roman" w:hAnsi="Times New Roman"/>
                <w:b/>
                <w:sz w:val="22"/>
              </w:rPr>
              <w:t xml:space="preserve">Không biết</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1. Chính sách bằng văn bản chống phân biệt đối xử dựa trên SOGIE</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15 (8,5)</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117 (66,5)</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44 (25,0)</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2. Kênh hoặc quy trình khiếu nại bảo mật</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55 (31,2)</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75 (42,6)</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46 (26,1)</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3. Đào tạo về DEI cho quản lý hoặc nhân viên</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18 (10,2)</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111 (63,1)</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47 (26,7)</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4. Phúc lợi cho bạn đời cùng giới hoặc người phụ thuộc</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&lt;10</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121 (68,8)</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5. Hỗ trợ người chuyển giới về tên gọi, đại từ, trang phục, nhà vệ sinh</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12 (6,8)</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114 (64,8)</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50 (28,4)</w:t>
            </w:r>
          </w:p>
        </w:tc>
      </w:tr>
      <w:tr>
        <w:trPr>
          <w:cantSplit/>
        </w:trPr>
        <w:tc>
          <w:tcPr>
            <w:tcW w:w="9073" w:type="dxa"/>
            <w:gridSpan w:val="4"/>
          </w:tcPr>
          <w:p>
            <w:pPr>
              <w:pStyle w:val="Compact"/>
              <w:spacing w:before="20" w:after="20" w:line="240" w:lineRule="auto"/>
              <w:ind w:firstLine="0"/>
              <w:jc w:val="left"/>
            </w:pPr>
            <w:r>
              <w:rPr>
                <w:rFonts w:ascii="Times New Roman" w:hAnsi="Times New Roman"/>
                <w:b/>
                <w:bCs/>
                <w:sz w:val="22"/>
              </w:rPr>
              <w:t xml:space="preserve">Số chính sách được báo là có</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0</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92 (52,3)</w:t>
            </w:r>
          </w:p>
        </w:tc>
        <w:tc>
          <w:tcPr>
            <w:tcW w:w="1452" w:type="dxa"/>
          </w:tcPr>
          <w:p>
            <w:pPr>
              <w:pStyle w:val="Compact"/>
              <w:keepNext w:val="0"/>
              <w:spacing w:before="20" w:after="20" w:line="240" w:lineRule="auto"/>
              <w:ind w:firstLine="0" w:left="0"/>
              <w:jc w:val="center"/>
            </w:pPr>
          </w:p>
        </w:tc>
        <w:tc>
          <w:tcPr>
            <w:tcW w:w="1452" w:type="dxa"/>
          </w:tcPr>
          <w:p>
            <w:pPr>
              <w:pStyle w:val="Compact"/>
              <w:keepNext w:val="0"/>
              <w:spacing w:before="20" w:after="20" w:line="240" w:lineRule="auto"/>
              <w:ind w:firstLine="0" w:left="0"/>
              <w:jc w:val="center"/>
            </w:pP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1</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65 (36,9)</w:t>
            </w:r>
          </w:p>
        </w:tc>
        <w:tc>
          <w:tcPr>
            <w:tcW w:w="1452" w:type="dxa"/>
          </w:tcPr>
          <w:p>
            <w:pPr>
              <w:pStyle w:val="Compact"/>
              <w:keepNext w:val="0"/>
              <w:spacing w:before="20" w:after="20" w:line="240" w:lineRule="auto"/>
              <w:ind w:firstLine="0" w:left="0"/>
              <w:jc w:val="center"/>
            </w:pPr>
          </w:p>
        </w:tc>
        <w:tc>
          <w:tcPr>
            <w:tcW w:w="1452" w:type="dxa"/>
          </w:tcPr>
          <w:p>
            <w:pPr>
              <w:pStyle w:val="Compact"/>
              <w:keepNext w:val="0"/>
              <w:spacing w:before="20" w:after="20" w:line="240" w:lineRule="auto"/>
              <w:ind w:firstLine="0" w:left="0"/>
              <w:jc w:val="center"/>
            </w:pP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2</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w:t>
            </w:r>
          </w:p>
        </w:tc>
        <w:tc>
          <w:tcPr>
            <w:tcW w:w="1452" w:type="dxa"/>
          </w:tcPr>
          <w:p>
            <w:pPr>
              <w:pStyle w:val="Compact"/>
              <w:keepNext w:val="0"/>
              <w:spacing w:before="20" w:after="20" w:line="240" w:lineRule="auto"/>
              <w:ind w:firstLine="0" w:left="0"/>
              <w:jc w:val="center"/>
            </w:pPr>
          </w:p>
        </w:tc>
        <w:tc>
          <w:tcPr>
            <w:tcW w:w="1452" w:type="dxa"/>
          </w:tcPr>
          <w:p>
            <w:pPr>
              <w:pStyle w:val="Compact"/>
              <w:keepNext w:val="0"/>
              <w:spacing w:before="20" w:after="20" w:line="240" w:lineRule="auto"/>
              <w:ind w:firstLine="0" w:left="0"/>
              <w:jc w:val="center"/>
            </w:pP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Từ 3 trở lên</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&lt;10</w:t>
            </w:r>
          </w:p>
        </w:tc>
        <w:tc>
          <w:tcPr>
            <w:tcW w:w="1452" w:type="dxa"/>
          </w:tcPr>
          <w:p>
            <w:pPr>
              <w:pStyle w:val="Compact"/>
              <w:keepNext w:val="0"/>
              <w:spacing w:before="20" w:after="20" w:line="240" w:lineRule="auto"/>
              <w:ind w:firstLine="0" w:left="0"/>
              <w:jc w:val="center"/>
            </w:pPr>
          </w:p>
        </w:tc>
        <w:tc>
          <w:tcPr>
            <w:tcW w:w="1452" w:type="dxa"/>
          </w:tcPr>
          <w:p>
            <w:pPr>
              <w:pStyle w:val="Compact"/>
              <w:keepNext w:val="0"/>
              <w:spacing w:before="20" w:after="20" w:line="240" w:lineRule="auto"/>
              <w:ind w:firstLine="0" w:left="0"/>
              <w:jc w:val="center"/>
            </w:pPr>
          </w:p>
        </w:tc>
      </w:tr>
      <w:tr>
        <w:trPr>
          <w:cantSplit/>
        </w:trPr>
        <w:tc>
          <w:tcPr>
            <w:tcW w:w="9073" w:type="dxa"/>
            <w:gridSpan w:val="4"/>
          </w:tcPr>
          <w:p>
            <w:pPr>
              <w:pStyle w:val="Compact"/>
              <w:spacing w:before="20" w:after="20" w:line="240" w:lineRule="auto"/>
              <w:ind w:firstLine="0"/>
              <w:jc w:val="left"/>
            </w:pPr>
            <w:r>
              <w:rPr>
                <w:rFonts w:ascii="Times New Roman" w:hAnsi="Times New Roman"/>
                <w:b/>
                <w:bCs/>
                <w:sz w:val="22"/>
              </w:rPr>
              <w:t xml:space="preserve">Số câu trả lời</w:t>
            </w:r>
            <w:r>
              <w:rPr>
                <w:rFonts w:ascii="Times New Roman" w:hAnsi="Times New Roman"/>
                <w:b/>
                <w:bCs/>
                <w:sz w:val="22"/>
              </w:rPr>
              <w:t xml:space="preserve"> </w:t>
            </w:r>
            <w:r>
              <w:rPr>
                <w:rFonts w:ascii="Times New Roman" w:hAnsi="Times New Roman"/>
                <w:b/>
                <w:bCs/>
                <w:sz w:val="22"/>
              </w:rPr>
              <w:t xml:space="preserve">“không biết”</w:t>
            </w: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0</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43 (24,4)</w:t>
            </w:r>
          </w:p>
        </w:tc>
        <w:tc>
          <w:tcPr>
            <w:tcW w:w="1452" w:type="dxa"/>
          </w:tcPr>
          <w:p>
            <w:pPr>
              <w:pStyle w:val="Compact"/>
              <w:keepNext w:val="0"/>
              <w:spacing w:before="20" w:after="20" w:line="240" w:lineRule="auto"/>
              <w:ind w:firstLine="0" w:left="0"/>
              <w:jc w:val="center"/>
            </w:pPr>
          </w:p>
        </w:tc>
        <w:tc>
          <w:tcPr>
            <w:tcW w:w="1452" w:type="dxa"/>
          </w:tcPr>
          <w:p>
            <w:pPr>
              <w:pStyle w:val="Compact"/>
              <w:keepNext w:val="0"/>
              <w:spacing w:before="20" w:after="20" w:line="240" w:lineRule="auto"/>
              <w:ind w:firstLine="0" w:left="0"/>
              <w:jc w:val="center"/>
            </w:pPr>
          </w:p>
        </w:tc>
      </w:tr>
      <w:tr>
        <w:trPr>
          <w:cantSplit/>
        </w:trPr>
        <w:tc>
          <w:tcPr>
            <w:tcW w:w="4717" w:type="dxa"/>
          </w:tcPr>
          <w:p>
            <w:pPr>
              <w:pStyle w:val="Compact"/>
              <w:keepNext w:val="0"/>
              <w:spacing w:before="20" w:after="20" w:line="240" w:lineRule="auto"/>
              <w:ind w:firstLine="0" w:left="0"/>
              <w:jc w:val="left"/>
            </w:pPr>
            <w:r>
              <w:rPr>
                <w:rFonts w:ascii="Times New Roman" w:hAnsi="Times New Roman"/>
                <w:sz w:val="22"/>
              </w:rPr>
              <w:t xml:space="preserve">1–2</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106 (60,2)</w:t>
            </w:r>
          </w:p>
        </w:tc>
        <w:tc>
          <w:tcPr>
            <w:tcW w:w="1452" w:type="dxa"/>
          </w:tcPr>
          <w:p>
            <w:pPr>
              <w:pStyle w:val="Compact"/>
              <w:keepNext w:val="0"/>
              <w:spacing w:before="20" w:after="20" w:line="240" w:lineRule="auto"/>
              <w:ind w:firstLine="0" w:left="0"/>
              <w:jc w:val="center"/>
            </w:pPr>
          </w:p>
        </w:tc>
        <w:tc>
          <w:tcPr>
            <w:tcW w:w="1452" w:type="dxa"/>
          </w:tcPr>
          <w:p>
            <w:pPr>
              <w:pStyle w:val="Compact"/>
              <w:keepNext w:val="0"/>
              <w:spacing w:before="20" w:after="20" w:line="240" w:lineRule="auto"/>
              <w:ind w:firstLine="0" w:left="0"/>
              <w:jc w:val="center"/>
            </w:pPr>
          </w:p>
        </w:tc>
      </w:tr>
      <w:tr>
        <w:trPr>
          <w:cantSplit/>
        </w:trPr>
        <w:tc>
          <w:tcPr>
            <w:tcW w:w="4717" w:type="dxa"/>
          </w:tcPr>
          <w:p>
            <w:pPr>
              <w:pStyle w:val="Compact"/>
              <w:keepNext/>
              <w:spacing w:before="20" w:after="20" w:line="240" w:lineRule="auto"/>
              <w:ind w:firstLine="0" w:left="0"/>
              <w:jc w:val="left"/>
            </w:pPr>
            <w:r>
              <w:rPr>
                <w:rFonts w:ascii="Times New Roman" w:hAnsi="Times New Roman"/>
                <w:sz w:val="22"/>
              </w:rPr>
              <w:t xml:space="preserve">Từ 3 trở lên</w:t>
            </w:r>
          </w:p>
        </w:tc>
        <w:tc>
          <w:tcPr>
            <w:tcW w:w="1452" w:type="dxa"/>
          </w:tcPr>
          <w:p>
            <w:pPr>
              <w:pStyle w:val="Compact"/>
              <w:keepNext/>
              <w:spacing w:before="20" w:after="20" w:line="240" w:lineRule="auto"/>
              <w:ind w:firstLine="0" w:left="0"/>
              <w:jc w:val="center"/>
            </w:pPr>
            <w:r>
              <w:rPr>
                <w:rFonts w:ascii="Times New Roman" w:hAnsi="Times New Roman"/>
                <w:sz w:val="22"/>
              </w:rPr>
              <w:t xml:space="preserve">27 (15,3)</w:t>
            </w:r>
          </w:p>
        </w:tc>
        <w:tc>
          <w:tcPr>
            <w:tcW w:w="1452" w:type="dxa"/>
          </w:tcPr>
          <w:p>
            <w:pPr>
              <w:pStyle w:val="Compact"/>
              <w:keepNext/>
              <w:spacing w:before="20" w:after="20" w:line="240" w:lineRule="auto"/>
              <w:ind w:firstLine="0" w:left="0"/>
              <w:jc w:val="center"/>
            </w:pPr>
          </w:p>
        </w:tc>
        <w:tc>
          <w:tcPr>
            <w:tcW w:w="1452" w:type="dxa"/>
          </w:tcPr>
          <w:p>
            <w:pPr>
              <w:pStyle w:val="Compact"/>
              <w:keepNext/>
              <w:spacing w:before="20" w:after="20" w:line="240" w:lineRule="auto"/>
              <w:ind w:firstLine="0" w:left="0"/>
              <w:jc w:val="center"/>
            </w:pP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Giá trị là n (%). SOGIE: xu hướng tính dục, bản dạng giới và thể hiện giới. &lt;10: ô có dưới 10 người được ẩn. –: ô được ẩn để không suy ra được ô có dưới 10 người.</w:t>
      </w:r>
    </w:p>
    <w:p>
      <w:pPr>
        <w:pStyle w:val="TableSource"/>
      </w:pPr>
      <w:r>
        <w:rPr>
          <w:rFonts w:ascii="Times New Roman" w:hAnsi="Times New Roman" w:cs="Times New Roman" w:eastAsia="Times New Roman"/>
          <w:i/>
          <w:iCs/>
        </w:rPr>
        <w:t xml:space="preserve">Nguồn: Kết quả phân tích số liệu khảo sát của nhóm tác giả (2026).</w:t>
      </w:r>
    </w:p>
    <w:p>
      <w:pPr>
        <w:pStyle w:val="BodyText"/>
      </w:pPr>
      <w:r>
        <w:rPr>
          <w:rFonts w:ascii="Times New Roman" w:hAnsi="Times New Roman" w:cs="Times New Roman" w:eastAsia="Times New Roman"/>
        </w:rPr>
        <w:t xml:space="preserve">Bảng 6 trình bày mức thực thi được cảm nhận. Khoảng một nửa người trả lời đồng ý với từng phát biểu, nhưng chỉ 41,0% đồng ý rằng quản lý trực tiếp thể hiện thái độ tôn trọng người LGBT. Khoảng một phần ba chọn mức trung lập ở mỗi phát biểu. Chỉ số thực thi trung bình là 3,37 trên thang 1–5 (độ lệch chuẩn 0,78).</w:t>
      </w:r>
    </w:p>
    <w:p>
      <w:pPr>
        <w:pStyle w:val="TableCaption"/>
      </w:pPr>
      <w:r>
        <w:rPr>
          <w:rFonts w:ascii="Times New Roman" w:hAnsi="Times New Roman" w:cs="Times New Roman" w:eastAsia="Times New Roman"/>
          <w:b/>
          <w:bCs/>
        </w:rPr>
        <w:t xml:space="preserve">Bảng 6. Mức thực thi DEI được cảm nhận (mẫu DEI)</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447"/>
        <w:gridCol w:w="907"/>
        <w:gridCol w:w="1179"/>
        <w:gridCol w:w="1179"/>
        <w:gridCol w:w="1179"/>
        <w:gridCol w:w="1179"/>
      </w:tblGrid>
      <w:tr>
        <w:trPr>
          <w:tblHeader w:val="on"/>
          <w:cantSplit/>
        </w:trPr>
        <w:tc>
          <w:tcPr>
            <w:tcW w:w="3447" w:type="dxa"/>
          </w:tcPr>
          <w:p>
            <w:pPr>
              <w:pStyle w:val="Compact"/>
              <w:keepNext w:val="0"/>
              <w:spacing w:before="20" w:after="20" w:line="240" w:lineRule="auto"/>
              <w:ind w:firstLine="0" w:left="0"/>
              <w:jc w:val="center"/>
            </w:pPr>
            <w:r>
              <w:rPr>
                <w:rFonts w:ascii="Times New Roman" w:hAnsi="Times New Roman"/>
                <w:b/>
                <w:sz w:val="22"/>
              </w:rPr>
              <w:t xml:space="preserve">Phát biểu</w:t>
            </w:r>
          </w:p>
        </w:tc>
        <w:tc>
          <w:tcPr>
            <w:tcW w:w="907" w:type="dxa"/>
          </w:tcPr>
          <w:p>
            <w:pPr>
              <w:pStyle w:val="Compact"/>
              <w:keepNext w:val="0"/>
              <w:spacing w:before="20" w:after="20" w:line="240" w:lineRule="auto"/>
              <w:ind w:firstLine="0" w:left="0"/>
              <w:jc w:val="center"/>
            </w:pPr>
            <w:r>
              <w:rPr>
                <w:rFonts w:ascii="Times New Roman" w:hAnsi="Times New Roman"/>
                <w:b/>
                <w:sz w:val="22"/>
              </w:rPr>
              <w:t xml:space="preserve">n hợp lệ</w:t>
            </w:r>
          </w:p>
        </w:tc>
        <w:tc>
          <w:tcPr>
            <w:tcW w:w="1179" w:type="dxa"/>
          </w:tcPr>
          <w:p>
            <w:pPr>
              <w:pStyle w:val="Compact"/>
              <w:keepNext w:val="0"/>
              <w:spacing w:before="20" w:after="20" w:line="240" w:lineRule="auto"/>
              <w:ind w:firstLine="0" w:left="0"/>
              <w:jc w:val="center"/>
            </w:pPr>
            <w:r>
              <w:rPr>
                <w:rFonts w:ascii="Times New Roman" w:hAnsi="Times New Roman"/>
                <w:b/>
                <w:sz w:val="22"/>
              </w:rPr>
              <w:t xml:space="preserve">Không đồng ý (1–2)</w:t>
            </w:r>
          </w:p>
        </w:tc>
        <w:tc>
          <w:tcPr>
            <w:tcW w:w="1179" w:type="dxa"/>
          </w:tcPr>
          <w:p>
            <w:pPr>
              <w:pStyle w:val="Compact"/>
              <w:keepNext w:val="0"/>
              <w:spacing w:before="20" w:after="20" w:line="240" w:lineRule="auto"/>
              <w:ind w:firstLine="0" w:left="0"/>
              <w:jc w:val="center"/>
            </w:pPr>
            <w:r>
              <w:rPr>
                <w:rFonts w:ascii="Times New Roman" w:hAnsi="Times New Roman"/>
                <w:b/>
                <w:sz w:val="22"/>
              </w:rPr>
              <w:t xml:space="preserve">Trung lập (3)</w:t>
            </w:r>
          </w:p>
        </w:tc>
        <w:tc>
          <w:tcPr>
            <w:tcW w:w="1179" w:type="dxa"/>
          </w:tcPr>
          <w:p>
            <w:pPr>
              <w:pStyle w:val="Compact"/>
              <w:keepNext w:val="0"/>
              <w:spacing w:before="20" w:after="20" w:line="240" w:lineRule="auto"/>
              <w:ind w:firstLine="0" w:left="0"/>
              <w:jc w:val="center"/>
            </w:pPr>
            <w:r>
              <w:rPr>
                <w:rFonts w:ascii="Times New Roman" w:hAnsi="Times New Roman"/>
                <w:b/>
                <w:sz w:val="22"/>
              </w:rPr>
              <w:t xml:space="preserve">Đồng ý (4–5)</w:t>
            </w:r>
          </w:p>
        </w:tc>
        <w:tc>
          <w:tcPr>
            <w:tcW w:w="1179" w:type="dxa"/>
          </w:tcPr>
          <w:p>
            <w:pPr>
              <w:pStyle w:val="Compact"/>
              <w:keepNext w:val="0"/>
              <w:spacing w:before="20" w:after="20" w:line="240" w:lineRule="auto"/>
              <w:ind w:firstLine="0" w:left="0"/>
              <w:jc w:val="center"/>
            </w:pPr>
            <w:r>
              <w:rPr>
                <w:rFonts w:ascii="Times New Roman" w:hAnsi="Times New Roman"/>
                <w:b/>
                <w:sz w:val="22"/>
              </w:rPr>
              <w:t xml:space="preserve">Trung bình (ĐLC)</w:t>
            </w:r>
          </w:p>
        </w:tc>
      </w:tr>
      <w:tr>
        <w:trPr>
          <w:cantSplit/>
        </w:trPr>
        <w:tc>
          <w:tcPr>
            <w:tcW w:w="3447" w:type="dxa"/>
          </w:tcPr>
          <w:p>
            <w:pPr>
              <w:pStyle w:val="Compact"/>
              <w:keepNext w:val="0"/>
              <w:spacing w:before="20" w:after="20" w:line="240" w:lineRule="auto"/>
              <w:ind w:firstLine="0" w:left="0"/>
              <w:jc w:val="left"/>
            </w:pPr>
            <w:r>
              <w:rPr>
                <w:rFonts w:ascii="Times New Roman" w:hAnsi="Times New Roman"/>
                <w:sz w:val="22"/>
              </w:rPr>
              <w:t xml:space="preserve">An toàn khi phản ánh phân biệt đối xử hoặc quấy rối</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167</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27 (16,2)</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56 (33,5)</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84 (50,3)</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3,46 (1,06)</w:t>
            </w:r>
          </w:p>
        </w:tc>
      </w:tr>
      <w:tr>
        <w:trPr>
          <w:cantSplit/>
        </w:trPr>
        <w:tc>
          <w:tcPr>
            <w:tcW w:w="3447" w:type="dxa"/>
          </w:tcPr>
          <w:p>
            <w:pPr>
              <w:pStyle w:val="Compact"/>
              <w:keepNext w:val="0"/>
              <w:spacing w:before="20" w:after="20" w:line="240" w:lineRule="auto"/>
              <w:ind w:firstLine="0" w:left="0"/>
              <w:jc w:val="left"/>
            </w:pPr>
            <w:r>
              <w:rPr>
                <w:rFonts w:ascii="Times New Roman" w:hAnsi="Times New Roman"/>
                <w:sz w:val="22"/>
              </w:rPr>
              <w:t xml:space="preserve">Quản lý trực tiếp tôn trọng người LGBT</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173</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40 (23,1)</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62 (35,8)</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71 (41,0)</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3,28 (1,18)</w:t>
            </w:r>
          </w:p>
        </w:tc>
      </w:tr>
      <w:tr>
        <w:trPr>
          <w:cantSplit/>
        </w:trPr>
        <w:tc>
          <w:tcPr>
            <w:tcW w:w="3447" w:type="dxa"/>
          </w:tcPr>
          <w:p>
            <w:pPr>
              <w:pStyle w:val="Compact"/>
              <w:keepNext w:val="0"/>
              <w:spacing w:before="20" w:after="20" w:line="240" w:lineRule="auto"/>
              <w:ind w:firstLine="0" w:left="0"/>
              <w:jc w:val="left"/>
            </w:pPr>
            <w:r>
              <w:rPr>
                <w:rFonts w:ascii="Times New Roman" w:hAnsi="Times New Roman"/>
                <w:sz w:val="22"/>
              </w:rPr>
              <w:t xml:space="preserve">Hành vi nói đùa, xúc phạm người LGBT bị nhắc nhở hoặc xử lý</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165</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27 (16,4)</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55 (33,3)</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83 (50,3)</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3,38 (1,06)</w:t>
            </w:r>
          </w:p>
        </w:tc>
      </w:tr>
      <w:tr>
        <w:trPr>
          <w:cantSplit/>
        </w:trPr>
        <w:tc>
          <w:tcPr>
            <w:tcW w:w="3447" w:type="dxa"/>
          </w:tcPr>
          <w:p>
            <w:pPr>
              <w:pStyle w:val="Compact"/>
              <w:keepNext w:val="0"/>
              <w:spacing w:before="20" w:after="20" w:line="240" w:lineRule="auto"/>
              <w:ind w:firstLine="0" w:left="0"/>
              <w:jc w:val="left"/>
            </w:pPr>
            <w:r>
              <w:rPr>
                <w:rFonts w:ascii="Times New Roman" w:hAnsi="Times New Roman"/>
                <w:sz w:val="22"/>
              </w:rPr>
              <w:t xml:space="preserve">Được dùng tên gọi, đại từ, trang phục phù hợp với bản dạng giới</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167</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31 (18,6)</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48 (28,7)</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88 (52,7)</w:t>
            </w:r>
          </w:p>
        </w:tc>
        <w:tc>
          <w:tcPr>
            <w:tcW w:w="1179" w:type="dxa"/>
          </w:tcPr>
          <w:p>
            <w:pPr>
              <w:pStyle w:val="Compact"/>
              <w:keepNext w:val="0"/>
              <w:spacing w:before="20" w:after="20" w:line="240" w:lineRule="auto"/>
              <w:ind w:firstLine="0" w:left="0"/>
              <w:jc w:val="center"/>
            </w:pPr>
            <w:r>
              <w:rPr>
                <w:rFonts w:ascii="Times New Roman" w:hAnsi="Times New Roman"/>
                <w:sz w:val="22"/>
              </w:rPr>
              <w:t xml:space="preserve">3,39 (1,05)</w:t>
            </w:r>
          </w:p>
        </w:tc>
      </w:tr>
      <w:tr>
        <w:trPr>
          <w:cantSplit/>
        </w:trPr>
        <w:tc>
          <w:tcPr>
            <w:tcW w:w="3447" w:type="dxa"/>
          </w:tcPr>
          <w:p>
            <w:pPr>
              <w:pStyle w:val="Compact"/>
              <w:keepNext/>
              <w:spacing w:before="20" w:after="20" w:line="240" w:lineRule="auto"/>
              <w:ind w:firstLine="0" w:left="0"/>
              <w:jc w:val="left"/>
            </w:pPr>
            <w:r>
              <w:rPr>
                <w:rFonts w:ascii="Times New Roman" w:hAnsi="Times New Roman"/>
                <w:b/>
                <w:bCs/>
                <w:sz w:val="22"/>
              </w:rPr>
              <w:t xml:space="preserve">Chỉ số thực thi Q</w:t>
            </w:r>
          </w:p>
        </w:tc>
        <w:tc>
          <w:tcPr>
            <w:tcW w:w="907" w:type="dxa"/>
          </w:tcPr>
          <w:p>
            <w:pPr>
              <w:pStyle w:val="Compact"/>
              <w:keepNext/>
              <w:spacing w:before="20" w:after="20" w:line="240" w:lineRule="auto"/>
              <w:ind w:firstLine="0" w:left="0"/>
              <w:jc w:val="center"/>
            </w:pPr>
            <w:r>
              <w:rPr>
                <w:rFonts w:ascii="Times New Roman" w:hAnsi="Times New Roman"/>
                <w:sz w:val="22"/>
              </w:rPr>
              <w:t xml:space="preserve">176</w:t>
            </w:r>
          </w:p>
        </w:tc>
        <w:tc>
          <w:tcPr>
            <w:tcW w:w="1179" w:type="dxa"/>
          </w:tcPr>
          <w:p>
            <w:pPr>
              <w:pStyle w:val="Compact"/>
              <w:keepNext/>
              <w:spacing w:before="20" w:after="20" w:line="240" w:lineRule="auto"/>
              <w:ind w:firstLine="0" w:left="0"/>
              <w:jc w:val="center"/>
            </w:pPr>
          </w:p>
        </w:tc>
        <w:tc>
          <w:tcPr>
            <w:tcW w:w="1179" w:type="dxa"/>
          </w:tcPr>
          <w:p>
            <w:pPr>
              <w:pStyle w:val="Compact"/>
              <w:keepNext/>
              <w:spacing w:before="20" w:after="20" w:line="240" w:lineRule="auto"/>
              <w:ind w:firstLine="0" w:left="0"/>
              <w:jc w:val="center"/>
            </w:pPr>
          </w:p>
        </w:tc>
        <w:tc>
          <w:tcPr>
            <w:tcW w:w="1179" w:type="dxa"/>
          </w:tcPr>
          <w:p>
            <w:pPr>
              <w:pStyle w:val="Compact"/>
              <w:keepNext/>
              <w:spacing w:before="20" w:after="20" w:line="240" w:lineRule="auto"/>
              <w:ind w:firstLine="0" w:left="0"/>
              <w:jc w:val="center"/>
            </w:pPr>
          </w:p>
        </w:tc>
        <w:tc>
          <w:tcPr>
            <w:tcW w:w="1179" w:type="dxa"/>
          </w:tcPr>
          <w:p>
            <w:pPr>
              <w:pStyle w:val="Compact"/>
              <w:keepNext/>
              <w:spacing w:before="20" w:after="20" w:line="240" w:lineRule="auto"/>
              <w:ind w:firstLine="0" w:left="0"/>
              <w:jc w:val="center"/>
            </w:pPr>
            <w:r>
              <w:rPr>
                <w:rFonts w:ascii="Times New Roman" w:hAnsi="Times New Roman"/>
                <w:sz w:val="22"/>
              </w:rPr>
              <w:t xml:space="preserve">3,37 (0,78)</w:t>
            </w: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Giá trị là n (%) trừ cột cuối. ĐLC: độ lệch chuẩn. n hợp lệ không gồm câu trả lời</w:t>
      </w:r>
      <w:r>
        <w:rPr>
          <w:rFonts w:ascii="Times New Roman" w:hAnsi="Times New Roman" w:cs="Times New Roman" w:eastAsia="Times New Roman"/>
        </w:rPr>
        <w:t xml:space="preserve"> </w:t>
      </w:r>
      <w:r>
        <w:rPr>
          <w:rFonts w:ascii="Times New Roman" w:hAnsi="Times New Roman" w:cs="Times New Roman" w:eastAsia="Times New Roman"/>
        </w:rPr>
        <w:t xml:space="preserve">“không rõ, không áp dụng hoặc không muốn trả lời”</w:t>
      </w:r>
      <w:r>
        <w:rPr>
          <w:rFonts w:ascii="Times New Roman" w:hAnsi="Times New Roman" w:cs="Times New Roman" w:eastAsia="Times New Roman"/>
        </w:rPr>
        <w:t xml:space="preserve">.</w:t>
      </w:r>
    </w:p>
    <w:p>
      <w:pPr>
        <w:pStyle w:val="TableSource"/>
      </w:pPr>
      <w:r>
        <w:rPr>
          <w:rFonts w:ascii="Times New Roman" w:hAnsi="Times New Roman" w:cs="Times New Roman" w:eastAsia="Times New Roman"/>
          <w:i/>
          <w:iCs/>
        </w:rPr>
        <w:t xml:space="preserve">Nguồn: Kết quả phân tích số liệu khảo sát của nhóm tác giả (2026).</w:t>
      </w:r>
    </w:p>
    <w:p>
      <w:pPr>
        <w:pStyle w:val="BodyText"/>
      </w:pPr>
      <w:r>
        <w:rPr>
          <w:rFonts w:ascii="Times New Roman" w:hAnsi="Times New Roman" w:cs="Times New Roman" w:eastAsia="Times New Roman"/>
        </w:rPr>
        <w:t xml:space="preserve">Chính sách và thực thi được cảm nhận đi cùng nhau ở mức yếu (Bảng 7). Chỉ số thực thi gần như như nhau giữa nhóm có và nhóm không của từng chính sách, trong khoảng 3,3–3,6 điểm. Nhóm</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có chỉ số thấp hơn đôi chút ở hầu hết các chính sách. Ở cặp kênh khiếu nại và cảm giác an toàn khi phản ánh, tỷ lệ đồng ý của người cho biết có kênh khiếu nại bảo mật (46,2%) không cao hơn người cho biết không có (52,1%) hoặc không biết (52,4%). Các so sánh này chỉ mang tính mô tả và dựa trên nhóm nhỏ, nhưng chúng cho thấy việc có chính sách chưa đi cùng với cảm nhận rằng chính sách được thực thi.</w:t>
      </w:r>
    </w:p>
    <w:p>
      <w:pPr>
        <w:pStyle w:val="TableCaption"/>
      </w:pPr>
      <w:r>
        <w:rPr>
          <w:rFonts w:ascii="Times New Roman" w:hAnsi="Times New Roman" w:cs="Times New Roman" w:eastAsia="Times New Roman"/>
          <w:b/>
          <w:bCs/>
        </w:rPr>
        <w:t xml:space="preserve">Bảng 7. Mức thực thi được cảm nhận theo tình trạng chính sách (mẫu DEI, mô tả)</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173"/>
        <w:gridCol w:w="1633"/>
        <w:gridCol w:w="1633"/>
        <w:gridCol w:w="1633"/>
      </w:tblGrid>
      <w:tr>
        <w:trPr>
          <w:tblHeader w:val="on"/>
          <w:cantSplit/>
        </w:trPr>
        <w:tc>
          <w:tcPr>
            <w:tcW w:w="4173" w:type="dxa"/>
          </w:tcPr>
          <w:p>
            <w:pPr>
              <w:pStyle w:val="Compact"/>
              <w:keepNext w:val="0"/>
              <w:spacing w:before="20" w:after="20" w:line="240" w:lineRule="auto"/>
              <w:ind w:firstLine="0" w:left="0"/>
              <w:jc w:val="center"/>
            </w:pPr>
            <w:r>
              <w:rPr>
                <w:rFonts w:ascii="Times New Roman" w:hAnsi="Times New Roman"/>
                <w:b/>
                <w:sz w:val="22"/>
              </w:rPr>
              <w:t xml:space="preserve">Chính sách</w:t>
            </w:r>
          </w:p>
        </w:tc>
        <w:tc>
          <w:tcPr>
            <w:tcW w:w="1633" w:type="dxa"/>
          </w:tcPr>
          <w:p>
            <w:pPr>
              <w:pStyle w:val="Compact"/>
              <w:keepNext w:val="0"/>
              <w:spacing w:before="20" w:after="20" w:line="240" w:lineRule="auto"/>
              <w:ind w:firstLine="0" w:left="0"/>
              <w:jc w:val="center"/>
            </w:pPr>
            <w:r>
              <w:rPr>
                <w:rFonts w:ascii="Times New Roman" w:hAnsi="Times New Roman"/>
                <w:b/>
                <w:sz w:val="22"/>
              </w:rPr>
              <w:t xml:space="preserve">Có</w:t>
            </w:r>
          </w:p>
        </w:tc>
        <w:tc>
          <w:tcPr>
            <w:tcW w:w="1633" w:type="dxa"/>
          </w:tcPr>
          <w:p>
            <w:pPr>
              <w:pStyle w:val="Compact"/>
              <w:keepNext w:val="0"/>
              <w:spacing w:before="20" w:after="20" w:line="240" w:lineRule="auto"/>
              <w:ind w:firstLine="0" w:left="0"/>
              <w:jc w:val="center"/>
            </w:pPr>
            <w:r>
              <w:rPr>
                <w:rFonts w:ascii="Times New Roman" w:hAnsi="Times New Roman"/>
                <w:b/>
                <w:sz w:val="22"/>
              </w:rPr>
              <w:t xml:space="preserve">Không</w:t>
            </w:r>
          </w:p>
        </w:tc>
        <w:tc>
          <w:tcPr>
            <w:tcW w:w="1633" w:type="dxa"/>
          </w:tcPr>
          <w:p>
            <w:pPr>
              <w:pStyle w:val="Compact"/>
              <w:keepNext w:val="0"/>
              <w:spacing w:before="20" w:after="20" w:line="240" w:lineRule="auto"/>
              <w:ind w:firstLine="0" w:left="0"/>
              <w:jc w:val="center"/>
            </w:pPr>
            <w:r>
              <w:rPr>
                <w:rFonts w:ascii="Times New Roman" w:hAnsi="Times New Roman"/>
                <w:b/>
                <w:sz w:val="22"/>
              </w:rPr>
              <w:t xml:space="preserve">Không biết</w:t>
            </w:r>
          </w:p>
        </w:tc>
      </w:tr>
      <w:tr>
        <w:trPr>
          <w:cantSplit/>
        </w:trPr>
        <w:tc>
          <w:tcPr>
            <w:tcW w:w="9072" w:type="dxa"/>
            <w:gridSpan w:val="4"/>
          </w:tcPr>
          <w:p>
            <w:pPr>
              <w:pStyle w:val="Compact"/>
              <w:spacing w:before="20" w:after="20" w:line="240" w:lineRule="auto"/>
              <w:ind w:firstLine="0"/>
              <w:jc w:val="left"/>
            </w:pPr>
            <w:r>
              <w:rPr>
                <w:rFonts w:ascii="Times New Roman" w:hAnsi="Times New Roman"/>
                <w:b/>
                <w:bCs/>
                <w:sz w:val="22"/>
              </w:rPr>
              <w:t xml:space="preserve">A. Chỉ số thực thi Q, trung bình (ĐLC)</w:t>
            </w:r>
          </w:p>
        </w:tc>
      </w:tr>
      <w:tr>
        <w:trPr>
          <w:cantSplit/>
        </w:trPr>
        <w:tc>
          <w:tcPr>
            <w:tcW w:w="4173" w:type="dxa"/>
          </w:tcPr>
          <w:p>
            <w:pPr>
              <w:pStyle w:val="Compact"/>
              <w:keepNext w:val="0"/>
              <w:spacing w:before="20" w:after="20" w:line="240" w:lineRule="auto"/>
              <w:ind w:firstLine="0" w:left="0"/>
              <w:jc w:val="left"/>
            </w:pPr>
            <w:r>
              <w:rPr>
                <w:rFonts w:ascii="Times New Roman" w:hAnsi="Times New Roman"/>
                <w:sz w:val="22"/>
              </w:rPr>
              <w:t xml:space="preserve">1. Văn bản chống phân biệt đối xử</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3,59 (0,58)</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3,41 (0,74)</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3,18 (0,92)</w:t>
            </w:r>
          </w:p>
        </w:tc>
      </w:tr>
      <w:tr>
        <w:trPr>
          <w:cantSplit/>
        </w:trPr>
        <w:tc>
          <w:tcPr>
            <w:tcW w:w="4173" w:type="dxa"/>
          </w:tcPr>
          <w:p>
            <w:pPr>
              <w:pStyle w:val="Compact"/>
              <w:keepNext w:val="0"/>
              <w:spacing w:before="20" w:after="20" w:line="240" w:lineRule="auto"/>
              <w:ind w:firstLine="0" w:left="0"/>
              <w:jc w:val="left"/>
            </w:pPr>
            <w:r>
              <w:rPr>
                <w:rFonts w:ascii="Times New Roman" w:hAnsi="Times New Roman"/>
                <w:sz w:val="22"/>
              </w:rPr>
              <w:t xml:space="preserve">2. Kênh khiếu nại bảo mật</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3,33 (0,74)</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3,44 (0,68)</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3,28 (0,96)</w:t>
            </w:r>
          </w:p>
        </w:tc>
      </w:tr>
      <w:tr>
        <w:trPr>
          <w:cantSplit/>
        </w:trPr>
        <w:tc>
          <w:tcPr>
            <w:tcW w:w="4173" w:type="dxa"/>
          </w:tcPr>
          <w:p>
            <w:pPr>
              <w:pStyle w:val="Compact"/>
              <w:keepNext w:val="0"/>
              <w:spacing w:before="20" w:after="20" w:line="240" w:lineRule="auto"/>
              <w:ind w:firstLine="0" w:left="0"/>
              <w:jc w:val="left"/>
            </w:pPr>
            <w:r>
              <w:rPr>
                <w:rFonts w:ascii="Times New Roman" w:hAnsi="Times New Roman"/>
                <w:sz w:val="22"/>
              </w:rPr>
              <w:t xml:space="preserve">3. Đào tạo về DEI</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3,45 (0,89)</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3,41 (0,76)</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3,23 (0,79)</w:t>
            </w:r>
          </w:p>
        </w:tc>
      </w:tr>
      <w:tr>
        <w:trPr>
          <w:cantSplit/>
        </w:trPr>
        <w:tc>
          <w:tcPr>
            <w:tcW w:w="4173" w:type="dxa"/>
          </w:tcPr>
          <w:p>
            <w:pPr>
              <w:pStyle w:val="Compact"/>
              <w:keepNext w:val="0"/>
              <w:spacing w:before="20" w:after="20" w:line="240" w:lineRule="auto"/>
              <w:ind w:firstLine="0" w:left="0"/>
              <w:jc w:val="left"/>
            </w:pPr>
            <w:r>
              <w:rPr>
                <w:rFonts w:ascii="Times New Roman" w:hAnsi="Times New Roman"/>
                <w:sz w:val="22"/>
              </w:rPr>
              <w:t xml:space="preserve">4. Phúc lợi cho bạn đời cùng giới</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&lt;10</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3,39 (0,79)</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w:t>
            </w:r>
          </w:p>
        </w:tc>
      </w:tr>
      <w:tr>
        <w:trPr>
          <w:cantSplit/>
        </w:trPr>
        <w:tc>
          <w:tcPr>
            <w:tcW w:w="4173" w:type="dxa"/>
          </w:tcPr>
          <w:p>
            <w:pPr>
              <w:pStyle w:val="Compact"/>
              <w:keepNext w:val="0"/>
              <w:spacing w:before="20" w:after="20" w:line="240" w:lineRule="auto"/>
              <w:ind w:firstLine="0" w:left="0"/>
              <w:jc w:val="left"/>
            </w:pPr>
            <w:r>
              <w:rPr>
                <w:rFonts w:ascii="Times New Roman" w:hAnsi="Times New Roman"/>
                <w:sz w:val="22"/>
              </w:rPr>
              <w:t xml:space="preserve">5. Hỗ trợ người chuyển giới</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3,44 (0,53)</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3,39 (0,78)</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3,29 (0,83)</w:t>
            </w:r>
          </w:p>
        </w:tc>
      </w:tr>
      <w:tr>
        <w:trPr>
          <w:cantSplit/>
        </w:trPr>
        <w:tc>
          <w:tcPr>
            <w:tcW w:w="9072" w:type="dxa"/>
            <w:gridSpan w:val="4"/>
          </w:tcPr>
          <w:p>
            <w:pPr>
              <w:pStyle w:val="Compact"/>
              <w:spacing w:before="20" w:after="20" w:line="240" w:lineRule="auto"/>
              <w:ind w:firstLine="0"/>
              <w:jc w:val="left"/>
            </w:pPr>
            <w:r>
              <w:rPr>
                <w:rFonts w:ascii="Times New Roman" w:hAnsi="Times New Roman"/>
                <w:b/>
                <w:bCs/>
                <w:sz w:val="22"/>
              </w:rPr>
              <w:t xml:space="preserve">B. Tỷ lệ đồng ý với phát biểu tương ứng (%)</w:t>
            </w:r>
          </w:p>
        </w:tc>
      </w:tr>
      <w:tr>
        <w:trPr>
          <w:cantSplit/>
        </w:trPr>
        <w:tc>
          <w:tcPr>
            <w:tcW w:w="4173" w:type="dxa"/>
          </w:tcPr>
          <w:p>
            <w:pPr>
              <w:pStyle w:val="Compact"/>
              <w:keepNext w:val="0"/>
              <w:spacing w:before="20" w:after="20" w:line="240" w:lineRule="auto"/>
              <w:ind w:firstLine="0" w:left="0"/>
              <w:jc w:val="left"/>
            </w:pPr>
            <w:r>
              <w:rPr>
                <w:rFonts w:ascii="Times New Roman" w:hAnsi="Times New Roman"/>
                <w:sz w:val="22"/>
              </w:rPr>
              <w:t xml:space="preserve">Kênh khiếu nại → an toàn khi phản ánh</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46,2</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52,1</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52,4</w:t>
            </w:r>
          </w:p>
        </w:tc>
      </w:tr>
      <w:tr>
        <w:trPr>
          <w:cantSplit/>
        </w:trPr>
        <w:tc>
          <w:tcPr>
            <w:tcW w:w="4173" w:type="dxa"/>
          </w:tcPr>
          <w:p>
            <w:pPr>
              <w:pStyle w:val="Compact"/>
              <w:keepNext w:val="0"/>
              <w:spacing w:before="20" w:after="20" w:line="240" w:lineRule="auto"/>
              <w:ind w:firstLine="0" w:left="0"/>
              <w:jc w:val="left"/>
            </w:pPr>
            <w:r>
              <w:rPr>
                <w:rFonts w:ascii="Times New Roman" w:hAnsi="Times New Roman"/>
                <w:sz w:val="22"/>
              </w:rPr>
              <w:t xml:space="preserve">Đào tạo về DEI → quản lý tôn trọng người LGBT</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42,6</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34,0</w:t>
            </w:r>
          </w:p>
        </w:tc>
      </w:tr>
      <w:tr>
        <w:trPr>
          <w:cantSplit/>
        </w:trPr>
        <w:tc>
          <w:tcPr>
            <w:tcW w:w="4173" w:type="dxa"/>
          </w:tcPr>
          <w:p>
            <w:pPr>
              <w:pStyle w:val="Compact"/>
              <w:keepNext/>
              <w:spacing w:before="20" w:after="20" w:line="240" w:lineRule="auto"/>
              <w:ind w:firstLine="0" w:left="0"/>
              <w:jc w:val="left"/>
            </w:pPr>
            <w:r>
              <w:rPr>
                <w:rFonts w:ascii="Times New Roman" w:hAnsi="Times New Roman"/>
                <w:sz w:val="22"/>
              </w:rPr>
              <w:t xml:space="preserve">Hỗ trợ người chuyển giới → được dùng tên gọi, đại từ, trang phục</w:t>
            </w:r>
          </w:p>
        </w:tc>
        <w:tc>
          <w:tcPr>
            <w:tcW w:w="1633" w:type="dxa"/>
          </w:tcPr>
          <w:p>
            <w:pPr>
              <w:pStyle w:val="Compact"/>
              <w:keepNext/>
              <w:spacing w:before="20" w:after="20" w:line="240" w:lineRule="auto"/>
              <w:ind w:firstLine="0" w:left="0"/>
              <w:jc w:val="center"/>
            </w:pPr>
            <w:r>
              <w:rPr>
                <w:rFonts w:ascii="Times New Roman" w:hAnsi="Times New Roman"/>
                <w:sz w:val="22"/>
              </w:rPr>
              <w:t xml:space="preserve">–</w:t>
            </w:r>
          </w:p>
        </w:tc>
        <w:tc>
          <w:tcPr>
            <w:tcW w:w="1633" w:type="dxa"/>
          </w:tcPr>
          <w:p>
            <w:pPr>
              <w:pStyle w:val="Compact"/>
              <w:keepNext/>
              <w:spacing w:before="20" w:after="20" w:line="240" w:lineRule="auto"/>
              <w:ind w:firstLine="0" w:left="0"/>
              <w:jc w:val="center"/>
            </w:pPr>
            <w:r>
              <w:rPr>
                <w:rFonts w:ascii="Times New Roman" w:hAnsi="Times New Roman"/>
                <w:sz w:val="22"/>
              </w:rPr>
              <w:t xml:space="preserve">51,4</w:t>
            </w:r>
          </w:p>
        </w:tc>
        <w:tc>
          <w:tcPr>
            <w:tcW w:w="1633" w:type="dxa"/>
          </w:tcPr>
          <w:p>
            <w:pPr>
              <w:pStyle w:val="Compact"/>
              <w:keepNext/>
              <w:spacing w:before="20" w:after="20" w:line="240" w:lineRule="auto"/>
              <w:ind w:firstLine="0" w:left="0"/>
              <w:jc w:val="center"/>
            </w:pPr>
            <w:r>
              <w:rPr>
                <w:rFonts w:ascii="Times New Roman" w:hAnsi="Times New Roman"/>
                <w:sz w:val="22"/>
              </w:rPr>
              <w:t xml:space="preserve">53,2</w:t>
            </w: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Cỡ nhóm như ở Bảng 5. Ở phần B, tỷ lệ tính trên số người trả lời hợp lệ phát biểu tương ứng. &lt;10: nhóm có dưới 10 người. –: không báo cáo vì nhóm có dưới 10 người, hoặc vì số người đồng ý hay không đồng ý trong nhóm dưới 10.</w:t>
      </w:r>
    </w:p>
    <w:p>
      <w:pPr>
        <w:pStyle w:val="TableSource"/>
      </w:pPr>
      <w:r>
        <w:rPr>
          <w:rFonts w:ascii="Times New Roman" w:hAnsi="Times New Roman" w:cs="Times New Roman" w:eastAsia="Times New Roman"/>
          <w:i/>
          <w:iCs/>
        </w:rPr>
        <w:t xml:space="preserve">Nguồn: Kết quả phân tích số liệu khảo sát của nhóm tác giả (2026).</w:t>
      </w:r>
    </w:p>
    <w:p>
      <w:pPr>
        <w:pStyle w:val="BodyText"/>
      </w:pPr>
      <w:r>
        <w:rPr>
          <w:rFonts w:ascii="Times New Roman" w:hAnsi="Times New Roman" w:cs="Times New Roman" w:eastAsia="Times New Roman"/>
        </w:rPr>
        <w:t xml:space="preserve">Chính sách DEI khác nhau theo loại hình nơi làm việc (Bảng 8). Người làm việc ở doanh nghiệp FDI báo cáo trung bình 1,33 chính sách, cao hơn người làm ở doanh nghiệp tư nhân trong nước (0,58) và cơ quan, doanh nghiệp nhà nước (0,45). Ở khu vực nhà nước, chỉ một phần ba (33,3%) nêu được ít nhất một chính sách. Mức thực thi được cảm nhận ít khác nhau giữa các loại hình (3,35–3,47).</w:t>
      </w:r>
    </w:p>
    <w:p>
      <w:pPr>
        <w:pStyle w:val="TableCaption"/>
      </w:pPr>
      <w:r>
        <w:rPr>
          <w:rFonts w:ascii="Times New Roman" w:hAnsi="Times New Roman" w:cs="Times New Roman" w:eastAsia="Times New Roman"/>
          <w:b/>
          <w:bCs/>
        </w:rPr>
        <w:t xml:space="preserve">Bảng 8. Chính sách DEI theo loại hình nơi làm việc (mẫu DEI, mô tả)</w:t>
      </w:r>
    </w:p>
    <w:tbl>
      <w:tblPr>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40"/>
        <w:gridCol w:w="726"/>
        <w:gridCol w:w="1542"/>
        <w:gridCol w:w="1361"/>
        <w:gridCol w:w="1452"/>
        <w:gridCol w:w="1452"/>
      </w:tblGrid>
      <w:tr>
        <w:trPr>
          <w:tblHeader w:val="on"/>
          <w:cantSplit/>
        </w:trPr>
        <w:tc>
          <w:tcPr>
            <w:tcW w:w="2540" w:type="dxa"/>
          </w:tcPr>
          <w:p>
            <w:pPr>
              <w:pStyle w:val="Compact"/>
              <w:keepNext w:val="0"/>
              <w:spacing w:before="20" w:after="20" w:line="240" w:lineRule="auto"/>
              <w:ind w:firstLine="0" w:left="0"/>
              <w:jc w:val="center"/>
            </w:pPr>
            <w:r>
              <w:rPr>
                <w:rFonts w:ascii="Times New Roman" w:hAnsi="Times New Roman"/>
                <w:b/>
                <w:sz w:val="22"/>
              </w:rPr>
              <w:t xml:space="preserve">Loại hình</w:t>
            </w:r>
          </w:p>
        </w:tc>
        <w:tc>
          <w:tcPr>
            <w:tcW w:w="726" w:type="dxa"/>
          </w:tcPr>
          <w:p>
            <w:pPr>
              <w:pStyle w:val="Compact"/>
              <w:keepNext w:val="0"/>
              <w:spacing w:before="20" w:after="20" w:line="240" w:lineRule="auto"/>
              <w:ind w:firstLine="0" w:left="0"/>
              <w:jc w:val="center"/>
            </w:pPr>
            <w:r>
              <w:rPr>
                <w:rFonts w:ascii="Times New Roman" w:hAnsi="Times New Roman"/>
                <w:b/>
                <w:sz w:val="22"/>
              </w:rPr>
              <w:t xml:space="preserve">n</w:t>
            </w:r>
          </w:p>
        </w:tc>
        <w:tc>
          <w:tcPr>
            <w:tcW w:w="1542" w:type="dxa"/>
          </w:tcPr>
          <w:p>
            <w:pPr>
              <w:pStyle w:val="Compact"/>
              <w:keepNext w:val="0"/>
              <w:spacing w:before="20" w:after="20" w:line="240" w:lineRule="auto"/>
              <w:ind w:firstLine="0" w:left="0"/>
              <w:jc w:val="center"/>
            </w:pPr>
            <w:r>
              <w:rPr>
                <w:rFonts w:ascii="Times New Roman" w:hAnsi="Times New Roman"/>
                <w:b/>
                <w:sz w:val="22"/>
              </w:rPr>
              <w:t xml:space="preserve">Số chính sách có, trung bình (ĐLC)</w:t>
            </w:r>
          </w:p>
        </w:tc>
        <w:tc>
          <w:tcPr>
            <w:tcW w:w="1361" w:type="dxa"/>
          </w:tcPr>
          <w:p>
            <w:pPr>
              <w:pStyle w:val="Compact"/>
              <w:keepNext w:val="0"/>
              <w:spacing w:before="20" w:after="20" w:line="240" w:lineRule="auto"/>
              <w:ind w:firstLine="0" w:left="0"/>
              <w:jc w:val="center"/>
            </w:pPr>
            <w:r>
              <w:rPr>
                <w:rFonts w:ascii="Times New Roman" w:hAnsi="Times New Roman"/>
                <w:b/>
                <w:sz w:val="22"/>
              </w:rPr>
              <w:t xml:space="preserve">Có ít nhất một chính sách (%)</w:t>
            </w:r>
          </w:p>
        </w:tc>
        <w:tc>
          <w:tcPr>
            <w:tcW w:w="1452" w:type="dxa"/>
          </w:tcPr>
          <w:p>
            <w:pPr>
              <w:pStyle w:val="Compact"/>
              <w:keepNext w:val="0"/>
              <w:spacing w:before="20" w:after="20" w:line="240" w:lineRule="auto"/>
              <w:ind w:firstLine="0" w:left="0"/>
              <w:jc w:val="center"/>
            </w:pPr>
            <w:r>
              <w:rPr>
                <w:rFonts w:ascii="Times New Roman" w:hAnsi="Times New Roman"/>
                <w:b/>
                <w:sz w:val="22"/>
              </w:rPr>
              <w:t xml:space="preserve">Số câu</w:t>
            </w:r>
            <w:r>
              <w:rPr>
                <w:rFonts w:ascii="Times New Roman" w:hAnsi="Times New Roman"/>
                <w:b/>
                <w:sz w:val="22"/>
              </w:rPr>
              <w:t xml:space="preserve"> </w:t>
            </w:r>
            <w:r>
              <w:rPr>
                <w:rFonts w:ascii="Times New Roman" w:hAnsi="Times New Roman"/>
                <w:b/>
                <w:sz w:val="22"/>
              </w:rPr>
              <w:t xml:space="preserve">“không biết”</w:t>
            </w:r>
            <w:r>
              <w:rPr>
                <w:rFonts w:ascii="Times New Roman" w:hAnsi="Times New Roman"/>
                <w:b/>
                <w:sz w:val="22"/>
              </w:rPr>
              <w:t xml:space="preserve">, trung bình</w:t>
            </w:r>
          </w:p>
        </w:tc>
        <w:tc>
          <w:tcPr>
            <w:tcW w:w="1452" w:type="dxa"/>
          </w:tcPr>
          <w:p>
            <w:pPr>
              <w:pStyle w:val="Compact"/>
              <w:keepNext w:val="0"/>
              <w:spacing w:before="20" w:after="20" w:line="240" w:lineRule="auto"/>
              <w:ind w:firstLine="0" w:left="0"/>
              <w:jc w:val="center"/>
            </w:pPr>
            <w:r>
              <w:rPr>
                <w:rFonts w:ascii="Times New Roman" w:hAnsi="Times New Roman"/>
                <w:b/>
                <w:sz w:val="22"/>
              </w:rPr>
              <w:t xml:space="preserve">Chỉ số thực thi Q, trung bình</w:t>
            </w:r>
          </w:p>
        </w:tc>
      </w:tr>
      <w:tr>
        <w:trPr>
          <w:cantSplit/>
        </w:trPr>
        <w:tc>
          <w:tcPr>
            <w:tcW w:w="2540" w:type="dxa"/>
          </w:tcPr>
          <w:p>
            <w:pPr>
              <w:pStyle w:val="Compact"/>
              <w:keepNext w:val="0"/>
              <w:spacing w:before="20" w:after="20" w:line="240" w:lineRule="auto"/>
              <w:ind w:firstLine="0" w:left="0"/>
              <w:jc w:val="left"/>
            </w:pPr>
            <w:r>
              <w:rPr>
                <w:rFonts w:ascii="Times New Roman" w:hAnsi="Times New Roman"/>
                <w:sz w:val="22"/>
              </w:rPr>
              <w:t xml:space="preserve">Cơ quan, doanh nghiệp nhà nước</w:t>
            </w:r>
          </w:p>
        </w:tc>
        <w:tc>
          <w:tcPr>
            <w:tcW w:w="726" w:type="dxa"/>
          </w:tcPr>
          <w:p>
            <w:pPr>
              <w:pStyle w:val="Compact"/>
              <w:keepNext w:val="0"/>
              <w:spacing w:before="20" w:after="20" w:line="240" w:lineRule="auto"/>
              <w:ind w:firstLine="0" w:left="0"/>
              <w:jc w:val="center"/>
            </w:pPr>
            <w:r>
              <w:rPr>
                <w:rFonts w:ascii="Times New Roman" w:hAnsi="Times New Roman"/>
                <w:sz w:val="22"/>
              </w:rPr>
              <w:t xml:space="preserve">75</w:t>
            </w:r>
          </w:p>
        </w:tc>
        <w:tc>
          <w:tcPr>
            <w:tcW w:w="1542" w:type="dxa"/>
          </w:tcPr>
          <w:p>
            <w:pPr>
              <w:pStyle w:val="Compact"/>
              <w:keepNext w:val="0"/>
              <w:spacing w:before="20" w:after="20" w:line="240" w:lineRule="auto"/>
              <w:ind w:firstLine="0" w:left="0"/>
              <w:jc w:val="center"/>
            </w:pPr>
            <w:r>
              <w:rPr>
                <w:rFonts w:ascii="Times New Roman" w:hAnsi="Times New Roman"/>
                <w:sz w:val="22"/>
              </w:rPr>
              <w:t xml:space="preserve">0,45 (0,74)</w:t>
            </w:r>
          </w:p>
        </w:tc>
        <w:tc>
          <w:tcPr>
            <w:tcW w:w="1361" w:type="dxa"/>
          </w:tcPr>
          <w:p>
            <w:pPr>
              <w:pStyle w:val="Compact"/>
              <w:keepNext w:val="0"/>
              <w:spacing w:before="20" w:after="20" w:line="240" w:lineRule="auto"/>
              <w:ind w:firstLine="0" w:left="0"/>
              <w:jc w:val="center"/>
            </w:pPr>
            <w:r>
              <w:rPr>
                <w:rFonts w:ascii="Times New Roman" w:hAnsi="Times New Roman"/>
                <w:sz w:val="22"/>
              </w:rPr>
              <w:t xml:space="preserve">33,3</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1,20</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3,35</w:t>
            </w:r>
          </w:p>
        </w:tc>
      </w:tr>
      <w:tr>
        <w:trPr>
          <w:cantSplit/>
        </w:trPr>
        <w:tc>
          <w:tcPr>
            <w:tcW w:w="2540" w:type="dxa"/>
          </w:tcPr>
          <w:p>
            <w:pPr>
              <w:pStyle w:val="Compact"/>
              <w:keepNext w:val="0"/>
              <w:spacing w:before="20" w:after="20" w:line="240" w:lineRule="auto"/>
              <w:ind w:firstLine="0" w:left="0"/>
              <w:jc w:val="left"/>
            </w:pPr>
            <w:r>
              <w:rPr>
                <w:rFonts w:ascii="Times New Roman" w:hAnsi="Times New Roman"/>
                <w:sz w:val="22"/>
              </w:rPr>
              <w:t xml:space="preserve">Doanh nghiệp tư nhân trong nước</w:t>
            </w:r>
          </w:p>
        </w:tc>
        <w:tc>
          <w:tcPr>
            <w:tcW w:w="726" w:type="dxa"/>
          </w:tcPr>
          <w:p>
            <w:pPr>
              <w:pStyle w:val="Compact"/>
              <w:keepNext w:val="0"/>
              <w:spacing w:before="20" w:after="20" w:line="240" w:lineRule="auto"/>
              <w:ind w:firstLine="0" w:left="0"/>
              <w:jc w:val="center"/>
            </w:pPr>
            <w:r>
              <w:rPr>
                <w:rFonts w:ascii="Times New Roman" w:hAnsi="Times New Roman"/>
                <w:sz w:val="22"/>
              </w:rPr>
              <w:t xml:space="preserve">66</w:t>
            </w:r>
          </w:p>
        </w:tc>
        <w:tc>
          <w:tcPr>
            <w:tcW w:w="1542" w:type="dxa"/>
          </w:tcPr>
          <w:p>
            <w:pPr>
              <w:pStyle w:val="Compact"/>
              <w:keepNext w:val="0"/>
              <w:spacing w:before="20" w:after="20" w:line="240" w:lineRule="auto"/>
              <w:ind w:firstLine="0" w:left="0"/>
              <w:jc w:val="center"/>
            </w:pPr>
            <w:r>
              <w:rPr>
                <w:rFonts w:ascii="Times New Roman" w:hAnsi="Times New Roman"/>
                <w:sz w:val="22"/>
              </w:rPr>
              <w:t xml:space="preserve">0,58 (0,58)</w:t>
            </w:r>
          </w:p>
        </w:tc>
        <w:tc>
          <w:tcPr>
            <w:tcW w:w="1361" w:type="dxa"/>
          </w:tcPr>
          <w:p>
            <w:pPr>
              <w:pStyle w:val="Compact"/>
              <w:keepNext w:val="0"/>
              <w:spacing w:before="20" w:after="20" w:line="240" w:lineRule="auto"/>
              <w:ind w:firstLine="0" w:left="0"/>
              <w:jc w:val="center"/>
            </w:pPr>
            <w:r>
              <w:rPr>
                <w:rFonts w:ascii="Times New Roman" w:hAnsi="Times New Roman"/>
                <w:sz w:val="22"/>
              </w:rPr>
              <w:t xml:space="preserve">53,0</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1,50</w:t>
            </w:r>
          </w:p>
        </w:tc>
        <w:tc>
          <w:tcPr>
            <w:tcW w:w="1452" w:type="dxa"/>
          </w:tcPr>
          <w:p>
            <w:pPr>
              <w:pStyle w:val="Compact"/>
              <w:keepNext w:val="0"/>
              <w:spacing w:before="20" w:after="20" w:line="240" w:lineRule="auto"/>
              <w:ind w:firstLine="0" w:left="0"/>
              <w:jc w:val="center"/>
            </w:pPr>
            <w:r>
              <w:rPr>
                <w:rFonts w:ascii="Times New Roman" w:hAnsi="Times New Roman"/>
                <w:sz w:val="22"/>
              </w:rPr>
              <w:t xml:space="preserve">3,36</w:t>
            </w:r>
          </w:p>
        </w:tc>
      </w:tr>
      <w:tr>
        <w:trPr>
          <w:cantSplit/>
        </w:trPr>
        <w:tc>
          <w:tcPr>
            <w:tcW w:w="2540" w:type="dxa"/>
          </w:tcPr>
          <w:p>
            <w:pPr>
              <w:pStyle w:val="Compact"/>
              <w:keepNext/>
              <w:spacing w:before="20" w:after="20" w:line="240" w:lineRule="auto"/>
              <w:ind w:firstLine="0" w:left="0"/>
              <w:jc w:val="left"/>
            </w:pPr>
            <w:r>
              <w:rPr>
                <w:rFonts w:ascii="Times New Roman" w:hAnsi="Times New Roman"/>
                <w:sz w:val="22"/>
              </w:rPr>
              <w:t xml:space="preserve">Doanh nghiệp FDI</w:t>
            </w:r>
          </w:p>
        </w:tc>
        <w:tc>
          <w:tcPr>
            <w:tcW w:w="726" w:type="dxa"/>
          </w:tcPr>
          <w:p>
            <w:pPr>
              <w:pStyle w:val="Compact"/>
              <w:keepNext/>
              <w:spacing w:before="20" w:after="20" w:line="240" w:lineRule="auto"/>
              <w:ind w:firstLine="0" w:left="0"/>
              <w:jc w:val="center"/>
            </w:pPr>
            <w:r>
              <w:rPr>
                <w:rFonts w:ascii="Times New Roman" w:hAnsi="Times New Roman"/>
                <w:sz w:val="22"/>
              </w:rPr>
              <w:t xml:space="preserve">21</w:t>
            </w:r>
          </w:p>
        </w:tc>
        <w:tc>
          <w:tcPr>
            <w:tcW w:w="1542" w:type="dxa"/>
          </w:tcPr>
          <w:p>
            <w:pPr>
              <w:pStyle w:val="Compact"/>
              <w:keepNext/>
              <w:spacing w:before="20" w:after="20" w:line="240" w:lineRule="auto"/>
              <w:ind w:firstLine="0" w:left="0"/>
              <w:jc w:val="center"/>
            </w:pPr>
            <w:r>
              <w:rPr>
                <w:rFonts w:ascii="Times New Roman" w:hAnsi="Times New Roman"/>
                <w:sz w:val="22"/>
              </w:rPr>
              <w:t xml:space="preserve">1,33 (0,97)</w:t>
            </w:r>
          </w:p>
        </w:tc>
        <w:tc>
          <w:tcPr>
            <w:tcW w:w="1361" w:type="dxa"/>
          </w:tcPr>
          <w:p>
            <w:pPr>
              <w:pStyle w:val="Compact"/>
              <w:keepNext/>
              <w:spacing w:before="20" w:after="20" w:line="240" w:lineRule="auto"/>
              <w:ind w:firstLine="0" w:left="0"/>
              <w:jc w:val="center"/>
            </w:pPr>
            <w:r>
              <w:rPr>
                <w:rFonts w:ascii="Times New Roman" w:hAnsi="Times New Roman"/>
                <w:sz w:val="22"/>
              </w:rPr>
              <w:t xml:space="preserve">–</w:t>
            </w:r>
          </w:p>
        </w:tc>
        <w:tc>
          <w:tcPr>
            <w:tcW w:w="1452" w:type="dxa"/>
          </w:tcPr>
          <w:p>
            <w:pPr>
              <w:pStyle w:val="Compact"/>
              <w:keepNext/>
              <w:spacing w:before="20" w:after="20" w:line="240" w:lineRule="auto"/>
              <w:ind w:firstLine="0" w:left="0"/>
              <w:jc w:val="center"/>
            </w:pPr>
            <w:r>
              <w:rPr>
                <w:rFonts w:ascii="Times New Roman" w:hAnsi="Times New Roman"/>
                <w:sz w:val="22"/>
              </w:rPr>
              <w:t xml:space="preserve">1,43</w:t>
            </w:r>
          </w:p>
        </w:tc>
        <w:tc>
          <w:tcPr>
            <w:tcW w:w="1452" w:type="dxa"/>
          </w:tcPr>
          <w:p>
            <w:pPr>
              <w:pStyle w:val="Compact"/>
              <w:keepNext/>
              <w:spacing w:before="20" w:after="20" w:line="240" w:lineRule="auto"/>
              <w:ind w:firstLine="0" w:left="0"/>
              <w:jc w:val="center"/>
            </w:pPr>
            <w:r>
              <w:rPr>
                <w:rFonts w:ascii="Times New Roman" w:hAnsi="Times New Roman"/>
                <w:sz w:val="22"/>
              </w:rPr>
              <w:t xml:space="preserve">3,47</w:t>
            </w: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Tổ chức phi lợi nhuận và loại hình khác không được trình bày vì có dưới 10 người hoặc để không suy ra được nhóm dưới 10 người. –: không báo cáo vì số người có hoặc không có chính sách nào trong nhóm dưới 10.</w:t>
      </w:r>
    </w:p>
    <w:p>
      <w:pPr>
        <w:pStyle w:val="TableSource"/>
      </w:pPr>
      <w:r>
        <w:rPr>
          <w:rFonts w:ascii="Times New Roman" w:hAnsi="Times New Roman" w:cs="Times New Roman" w:eastAsia="Times New Roman"/>
          <w:i/>
          <w:iCs/>
        </w:rPr>
        <w:t xml:space="preserve">Nguồn: Kết quả phân tích số liệu khảo sát của nhóm tác giả (2026).</w:t>
      </w:r>
    </w:p>
    <w:bookmarkEnd w:id="25"/>
    <w:bookmarkStart w:id="26" w:name="X653358a5089286b3483904657cd8eabd77381cd"/>
    <w:p>
      <w:pPr>
        <w:pStyle w:val="Heading2"/>
      </w:pPr>
      <w:r>
        <w:rPr>
          <w:rFonts w:ascii="Times New Roman" w:hAnsi="Times New Roman" w:cs="Times New Roman" w:eastAsia="Times New Roman"/>
        </w:rPr>
        <w:t xml:space="preserve">4.4. Chính sách DEI, kỳ thị và triệu chứng lo âu, trầm cảm: phân tích thăm dò</w:t>
      </w:r>
    </w:p>
    <w:p>
      <w:pPr>
        <w:pStyle w:val="FirstParagraph"/>
      </w:pPr>
      <w:r>
        <w:rPr>
          <w:rFonts w:ascii="Times New Roman" w:hAnsi="Times New Roman" w:cs="Times New Roman" w:eastAsia="Times New Roman"/>
        </w:rPr>
        <w:t xml:space="preserve">Để làm bối cảnh, trong mẫu chính, một đơn vị chênh lệch của chỉ số kỳ thị đi kèm điểm PHQ-4 cao hơn 1,85 điểm (KTC 95%: [0,71; 2,99]). Trong mẫu DEI, với các biến kiểm soát của mô hình DEI, hệ số này là 1,84 (KTC 95%: [0,49; 3,19]). Bảng 9 trình bày các mô hình thăm dò.</w:t>
      </w:r>
    </w:p>
    <w:p>
      <w:pPr>
        <w:pStyle w:val="TableCaption"/>
      </w:pPr>
      <w:r>
        <w:rPr>
          <w:rFonts w:ascii="Times New Roman" w:hAnsi="Times New Roman" w:cs="Times New Roman" w:eastAsia="Times New Roman"/>
          <w:b/>
          <w:bCs/>
        </w:rPr>
        <w:t xml:space="preserve">Bảng 9. Chính sách DEI, chỉ số kỳ thị và điểm PHQ-4 (phân tích thăm dò)</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70"/>
        <w:gridCol w:w="3447"/>
        <w:gridCol w:w="907"/>
        <w:gridCol w:w="1633"/>
        <w:gridCol w:w="907"/>
        <w:gridCol w:w="907"/>
      </w:tblGrid>
      <w:tr>
        <w:trPr>
          <w:tblHeader w:val="on"/>
          <w:cantSplit/>
        </w:trPr>
        <w:tc>
          <w:tcPr>
            <w:tcW w:w="1270" w:type="dxa"/>
          </w:tcPr>
          <w:p>
            <w:pPr>
              <w:pStyle w:val="Compact"/>
              <w:keepNext w:val="0"/>
              <w:spacing w:before="20" w:after="20" w:line="240" w:lineRule="auto"/>
              <w:ind w:firstLine="0" w:left="0"/>
              <w:jc w:val="center"/>
            </w:pPr>
            <w:r>
              <w:rPr>
                <w:rFonts w:ascii="Times New Roman" w:hAnsi="Times New Roman"/>
                <w:b/>
                <w:sz w:val="22"/>
              </w:rPr>
              <w:t xml:space="preserve">Mô hình</w:t>
            </w:r>
          </w:p>
        </w:tc>
        <w:tc>
          <w:tcPr>
            <w:tcW w:w="3447" w:type="dxa"/>
          </w:tcPr>
          <w:p>
            <w:pPr>
              <w:pStyle w:val="Compact"/>
              <w:keepNext w:val="0"/>
              <w:spacing w:before="20" w:after="20" w:line="240" w:lineRule="auto"/>
              <w:ind w:firstLine="0" w:left="0"/>
              <w:jc w:val="center"/>
            </w:pPr>
            <w:r>
              <w:rPr>
                <w:rFonts w:ascii="Times New Roman" w:hAnsi="Times New Roman"/>
                <w:b/>
                <w:sz w:val="22"/>
              </w:rPr>
              <w:t xml:space="preserve">Biến</w:t>
            </w:r>
          </w:p>
        </w:tc>
        <w:tc>
          <w:tcPr>
            <w:tcW w:w="907" w:type="dxa"/>
          </w:tcPr>
          <w:p>
            <w:pPr>
              <w:pStyle w:val="Compact"/>
              <w:keepNext w:val="0"/>
              <w:spacing w:before="20" w:after="20" w:line="240" w:lineRule="auto"/>
              <w:ind w:firstLine="0" w:left="0"/>
              <w:jc w:val="center"/>
            </w:pPr>
            <w:r>
              <w:rPr>
                <w:rFonts w:ascii="Times New Roman" w:hAnsi="Times New Roman"/>
                <w:b/>
                <w:sz w:val="22"/>
              </w:rPr>
              <w:t xml:space="preserve">Hệ số</w:t>
            </w:r>
          </w:p>
        </w:tc>
        <w:tc>
          <w:tcPr>
            <w:tcW w:w="1633" w:type="dxa"/>
          </w:tcPr>
          <w:p>
            <w:pPr>
              <w:pStyle w:val="Compact"/>
              <w:keepNext w:val="0"/>
              <w:spacing w:before="20" w:after="20" w:line="240" w:lineRule="auto"/>
              <w:ind w:firstLine="0" w:left="0"/>
              <w:jc w:val="center"/>
            </w:pPr>
            <w:r>
              <w:rPr>
                <w:rFonts w:ascii="Times New Roman" w:hAnsi="Times New Roman"/>
                <w:b/>
                <w:sz w:val="22"/>
              </w:rPr>
              <w:t xml:space="preserve">KTC 95%</w:t>
            </w:r>
          </w:p>
        </w:tc>
        <w:tc>
          <w:tcPr>
            <w:tcW w:w="907" w:type="dxa"/>
          </w:tcPr>
          <w:p>
            <w:pPr>
              <w:pStyle w:val="Compact"/>
              <w:keepNext w:val="0"/>
              <w:spacing w:before="20" w:after="20" w:line="240" w:lineRule="auto"/>
              <w:ind w:firstLine="0" w:left="0"/>
              <w:jc w:val="center"/>
            </w:pPr>
            <w:r>
              <w:rPr>
                <w:rFonts w:ascii="Times New Roman" w:hAnsi="Times New Roman"/>
                <w:b/>
                <w:sz w:val="22"/>
              </w:rPr>
              <w:t xml:space="preserve">p</w:t>
            </w:r>
          </w:p>
        </w:tc>
        <w:tc>
          <w:tcPr>
            <w:tcW w:w="907" w:type="dxa"/>
          </w:tcPr>
          <w:p>
            <w:pPr>
              <w:pStyle w:val="Compact"/>
              <w:keepNext w:val="0"/>
              <w:spacing w:before="20" w:after="20" w:line="240" w:lineRule="auto"/>
              <w:ind w:firstLine="0" w:left="0"/>
              <w:jc w:val="center"/>
            </w:pPr>
            <w:r>
              <w:rPr>
                <w:rFonts w:ascii="Times New Roman" w:hAnsi="Times New Roman"/>
                <w:b/>
                <w:sz w:val="22"/>
              </w:rPr>
              <w:t xml:space="preserve">p (BH)</w:t>
            </w:r>
          </w:p>
        </w:tc>
      </w:tr>
      <w:tr>
        <w:trPr>
          <w:cantSplit/>
        </w:trPr>
        <w:tc>
          <w:tcPr>
            <w:tcW w:w="9071" w:type="dxa"/>
            <w:gridSpan w:val="6"/>
          </w:tcPr>
          <w:p>
            <w:pPr>
              <w:pStyle w:val="Compact"/>
              <w:spacing w:before="20" w:after="20" w:line="240" w:lineRule="auto"/>
              <w:ind w:firstLine="0"/>
              <w:jc w:val="left"/>
            </w:pPr>
            <w:r>
              <w:rPr>
                <w:rFonts w:ascii="Times New Roman" w:hAnsi="Times New Roman"/>
                <w:b/>
                <w:bCs/>
                <w:sz w:val="22"/>
              </w:rPr>
              <w:t xml:space="preserve">Họ A: biến phụ thuộc là chỉ số kỳ thị S (n = 176)</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A1</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Số chính sách có</w:t>
            </w:r>
            <w:r>
              <w:rPr>
                <w:rFonts w:ascii="Times New Roman" w:hAnsi="Times New Roman"/>
                <w:sz w:val="22"/>
                <w:vertAlign w:val="superscript"/>
              </w:rPr>
              <w:t xml:space="preserve">a</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0,04</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[−0,08; 0,16]</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0,506</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0,754</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A2</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Chỉ số thực thi Q</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0,04</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[−0,05; 0,13]</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0,393</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0,754</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A3</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Văn bản chống phân biệt đối xử (có so với không)</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−0,09</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[−0,44; 0,27]</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0,629</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0,754</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A4</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Kênh khiếu nại bảo mật (có so với không)</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0,02</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[−0,20; 0,24]</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0,846</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0,846</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A5</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Đào tạo về DEI (có so với không)</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0,08</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[−0,20; 0,35]</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0,573</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0,754</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A6</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Phúc lợi cho bạn đời cùng giới (có so với không)</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w:t>
            </w:r>
            <w:r>
              <w:rPr>
                <w:rFonts w:ascii="Times New Roman" w:hAnsi="Times New Roman"/>
                <w:sz w:val="22"/>
                <w:vertAlign w:val="superscript"/>
              </w:rPr>
              <w:t xml:space="preserve">b</w:t>
            </w:r>
          </w:p>
        </w:tc>
        <w:tc>
          <w:tcPr>
            <w:tcW w:w="1633" w:type="dxa"/>
          </w:tcPr>
          <w:p>
            <w:pPr>
              <w:pStyle w:val="Compact"/>
              <w:keepNext w:val="0"/>
              <w:spacing w:before="20" w:after="20" w:line="240" w:lineRule="auto"/>
              <w:ind w:firstLine="0" w:left="0"/>
              <w:jc w:val="center"/>
            </w:pPr>
          </w:p>
        </w:tc>
        <w:tc>
          <w:tcPr>
            <w:tcW w:w="907" w:type="dxa"/>
          </w:tcPr>
          <w:p>
            <w:pPr>
              <w:pStyle w:val="Compact"/>
              <w:keepNext w:val="0"/>
              <w:spacing w:before="20" w:after="20" w:line="240" w:lineRule="auto"/>
              <w:ind w:firstLine="0" w:left="0"/>
              <w:jc w:val="center"/>
            </w:pPr>
          </w:p>
        </w:tc>
        <w:tc>
          <w:tcPr>
            <w:tcW w:w="907" w:type="dxa"/>
          </w:tcPr>
          <w:p>
            <w:pPr>
              <w:pStyle w:val="Compact"/>
              <w:keepNext w:val="0"/>
              <w:spacing w:before="20" w:after="20" w:line="240" w:lineRule="auto"/>
              <w:ind w:firstLine="0" w:left="0"/>
              <w:jc w:val="center"/>
            </w:pP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A7</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Hỗ trợ người chuyển giới (có so với không)</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0,20</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[−0,25; 0,64]</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0,382</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0,754</w:t>
            </w:r>
          </w:p>
        </w:tc>
      </w:tr>
      <w:tr>
        <w:trPr>
          <w:cantSplit/>
        </w:trPr>
        <w:tc>
          <w:tcPr>
            <w:tcW w:w="9071" w:type="dxa"/>
            <w:gridSpan w:val="6"/>
          </w:tcPr>
          <w:p>
            <w:pPr>
              <w:pStyle w:val="Compact"/>
              <w:spacing w:before="20" w:after="20" w:line="240" w:lineRule="auto"/>
              <w:ind w:firstLine="0"/>
              <w:jc w:val="left"/>
            </w:pPr>
            <w:r>
              <w:rPr>
                <w:rFonts w:ascii="Times New Roman" w:hAnsi="Times New Roman"/>
                <w:b/>
                <w:bCs/>
                <w:sz w:val="22"/>
              </w:rPr>
              <w:t xml:space="preserve">Họ B: biến phụ thuộc là điểm PHQ-4 (n = 176)</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B1</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Số chính sách có</w:t>
            </w:r>
            <w:r>
              <w:rPr>
                <w:rFonts w:ascii="Times New Roman" w:hAnsi="Times New Roman"/>
                <w:sz w:val="22"/>
                <w:vertAlign w:val="superscript"/>
              </w:rPr>
              <w:t xml:space="preserve">a</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0,02</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[−0,73; 0,76]</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0,964</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0,964</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B1, thêm S</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Số chính sách có</w:t>
            </w:r>
            <w:r>
              <w:rPr>
                <w:rFonts w:ascii="Times New Roman" w:hAnsi="Times New Roman"/>
                <w:sz w:val="22"/>
                <w:vertAlign w:val="superscript"/>
              </w:rPr>
              <w:t xml:space="preserve">a</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−0,06</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[−0,76; 0,64]</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0,865</w:t>
            </w:r>
          </w:p>
        </w:tc>
        <w:tc>
          <w:tcPr>
            <w:tcW w:w="907" w:type="dxa"/>
          </w:tcPr>
          <w:p>
            <w:pPr>
              <w:pStyle w:val="Compact"/>
              <w:keepNext w:val="0"/>
              <w:spacing w:before="20" w:after="20" w:line="240" w:lineRule="auto"/>
              <w:ind w:firstLine="0" w:left="0"/>
              <w:jc w:val="center"/>
            </w:pP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B2</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Chỉ số thực thi Q</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−0,62</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[−1,32; 0,09]</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0,088</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0,176</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B2, thêm S</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Chỉ số thực thi Q</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−0,69</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[−1,40; 0,02]</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0,056</w:t>
            </w:r>
          </w:p>
        </w:tc>
        <w:tc>
          <w:tcPr>
            <w:tcW w:w="907" w:type="dxa"/>
          </w:tcPr>
          <w:p>
            <w:pPr>
              <w:pStyle w:val="Compact"/>
              <w:keepNext w:val="0"/>
              <w:spacing w:before="20" w:after="20" w:line="240" w:lineRule="auto"/>
              <w:ind w:firstLine="0" w:left="0"/>
              <w:jc w:val="center"/>
            </w:pPr>
          </w:p>
        </w:tc>
      </w:tr>
      <w:tr>
        <w:trPr>
          <w:cantSplit/>
        </w:trPr>
        <w:tc>
          <w:tcPr>
            <w:tcW w:w="9071" w:type="dxa"/>
            <w:gridSpan w:val="6"/>
          </w:tcPr>
          <w:p>
            <w:pPr>
              <w:pStyle w:val="Compact"/>
              <w:spacing w:before="20" w:after="20" w:line="240" w:lineRule="auto"/>
              <w:ind w:firstLine="0"/>
              <w:jc w:val="left"/>
            </w:pPr>
            <w:r>
              <w:rPr>
                <w:rFonts w:ascii="Times New Roman" w:hAnsi="Times New Roman"/>
                <w:b/>
                <w:bCs/>
                <w:sz w:val="22"/>
              </w:rPr>
              <w:t xml:space="preserve">Họ C: điều tiết, biến phụ thuộc là điểm PHQ-4</w:t>
            </w: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C1 (n = 223)</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S × Q</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−1,31</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[−3,04; 0,42]</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0,137</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0,275</w:t>
            </w:r>
          </w:p>
        </w:tc>
      </w:tr>
      <w:tr>
        <w:trPr>
          <w:cantSplit/>
        </w:trPr>
        <w:tc>
          <w:tcPr>
            <w:tcW w:w="1270" w:type="dxa"/>
          </w:tcPr>
          <w:p>
            <w:pPr>
              <w:pStyle w:val="Compact"/>
              <w:keepNext w:val="0"/>
              <w:spacing w:before="20" w:after="20" w:line="240" w:lineRule="auto"/>
              <w:ind w:firstLine="0" w:left="0"/>
              <w:jc w:val="left"/>
            </w:pPr>
          </w:p>
        </w:tc>
        <w:tc>
          <w:tcPr>
            <w:tcW w:w="3447" w:type="dxa"/>
          </w:tcPr>
          <w:p>
            <w:pPr>
              <w:pStyle w:val="Compact"/>
              <w:keepNext w:val="0"/>
              <w:spacing w:before="20" w:after="20" w:line="240" w:lineRule="auto"/>
              <w:ind w:firstLine="0" w:left="0"/>
              <w:jc w:val="left"/>
            </w:pPr>
            <w:r>
              <w:rPr>
                <w:rFonts w:ascii="Times New Roman" w:hAnsi="Times New Roman"/>
                <w:sz w:val="22"/>
              </w:rPr>
              <w:t xml:space="preserve">S tại Q thấp (trung bình − 1 ĐLC)</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3,43</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[1,22; 5,64]</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0,002</w:t>
            </w:r>
          </w:p>
        </w:tc>
        <w:tc>
          <w:tcPr>
            <w:tcW w:w="907" w:type="dxa"/>
          </w:tcPr>
          <w:p>
            <w:pPr>
              <w:pStyle w:val="Compact"/>
              <w:keepNext w:val="0"/>
              <w:spacing w:before="20" w:after="20" w:line="240" w:lineRule="auto"/>
              <w:ind w:firstLine="0" w:left="0"/>
              <w:jc w:val="center"/>
            </w:pPr>
          </w:p>
        </w:tc>
      </w:tr>
      <w:tr>
        <w:trPr>
          <w:cantSplit/>
        </w:trPr>
        <w:tc>
          <w:tcPr>
            <w:tcW w:w="1270" w:type="dxa"/>
          </w:tcPr>
          <w:p>
            <w:pPr>
              <w:pStyle w:val="Compact"/>
              <w:keepNext w:val="0"/>
              <w:spacing w:before="20" w:after="20" w:line="240" w:lineRule="auto"/>
              <w:ind w:firstLine="0" w:left="0"/>
              <w:jc w:val="left"/>
            </w:pPr>
          </w:p>
        </w:tc>
        <w:tc>
          <w:tcPr>
            <w:tcW w:w="3447" w:type="dxa"/>
          </w:tcPr>
          <w:p>
            <w:pPr>
              <w:pStyle w:val="Compact"/>
              <w:keepNext w:val="0"/>
              <w:spacing w:before="20" w:after="20" w:line="240" w:lineRule="auto"/>
              <w:ind w:firstLine="0" w:left="0"/>
              <w:jc w:val="left"/>
            </w:pPr>
            <w:r>
              <w:rPr>
                <w:rFonts w:ascii="Times New Roman" w:hAnsi="Times New Roman"/>
                <w:sz w:val="22"/>
              </w:rPr>
              <w:t xml:space="preserve">S tại Q trung bình</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2,41</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[1,20; 3,62]</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&lt;0,001</w:t>
            </w:r>
          </w:p>
        </w:tc>
        <w:tc>
          <w:tcPr>
            <w:tcW w:w="907" w:type="dxa"/>
          </w:tcPr>
          <w:p>
            <w:pPr>
              <w:pStyle w:val="Compact"/>
              <w:keepNext w:val="0"/>
              <w:spacing w:before="20" w:after="20" w:line="240" w:lineRule="auto"/>
              <w:ind w:firstLine="0" w:left="0"/>
              <w:jc w:val="center"/>
            </w:pPr>
          </w:p>
        </w:tc>
      </w:tr>
      <w:tr>
        <w:trPr>
          <w:cantSplit/>
        </w:trPr>
        <w:tc>
          <w:tcPr>
            <w:tcW w:w="1270" w:type="dxa"/>
          </w:tcPr>
          <w:p>
            <w:pPr>
              <w:pStyle w:val="Compact"/>
              <w:keepNext w:val="0"/>
              <w:spacing w:before="20" w:after="20" w:line="240" w:lineRule="auto"/>
              <w:ind w:firstLine="0" w:left="0"/>
              <w:jc w:val="left"/>
            </w:pPr>
          </w:p>
        </w:tc>
        <w:tc>
          <w:tcPr>
            <w:tcW w:w="3447" w:type="dxa"/>
          </w:tcPr>
          <w:p>
            <w:pPr>
              <w:pStyle w:val="Compact"/>
              <w:keepNext w:val="0"/>
              <w:spacing w:before="20" w:after="20" w:line="240" w:lineRule="auto"/>
              <w:ind w:firstLine="0" w:left="0"/>
              <w:jc w:val="left"/>
            </w:pPr>
            <w:r>
              <w:rPr>
                <w:rFonts w:ascii="Times New Roman" w:hAnsi="Times New Roman"/>
                <w:sz w:val="22"/>
              </w:rPr>
              <w:t xml:space="preserve">S tại Q cao (trung bình + 1 ĐLC)</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1,39</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[0,08; 2,70]</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0,037</w:t>
            </w:r>
          </w:p>
        </w:tc>
        <w:tc>
          <w:tcPr>
            <w:tcW w:w="907" w:type="dxa"/>
          </w:tcPr>
          <w:p>
            <w:pPr>
              <w:pStyle w:val="Compact"/>
              <w:keepNext w:val="0"/>
              <w:spacing w:before="20" w:after="20" w:line="240" w:lineRule="auto"/>
              <w:ind w:firstLine="0" w:left="0"/>
              <w:jc w:val="center"/>
            </w:pPr>
          </w:p>
        </w:tc>
      </w:tr>
      <w:tr>
        <w:trPr>
          <w:cantSplit/>
        </w:trPr>
        <w:tc>
          <w:tcPr>
            <w:tcW w:w="1270" w:type="dxa"/>
          </w:tcPr>
          <w:p>
            <w:pPr>
              <w:pStyle w:val="Compact"/>
              <w:keepNext w:val="0"/>
              <w:spacing w:before="20" w:after="20" w:line="240" w:lineRule="auto"/>
              <w:ind w:firstLine="0" w:left="0"/>
              <w:jc w:val="left"/>
            </w:pPr>
            <w:r>
              <w:rPr>
                <w:rFonts w:ascii="Times New Roman" w:hAnsi="Times New Roman"/>
                <w:sz w:val="22"/>
              </w:rPr>
              <w:t xml:space="preserve">C2 (n = 176)</w:t>
            </w:r>
          </w:p>
        </w:tc>
        <w:tc>
          <w:tcPr>
            <w:tcW w:w="3447" w:type="dxa"/>
          </w:tcPr>
          <w:p>
            <w:pPr>
              <w:pStyle w:val="Compact"/>
              <w:keepNext w:val="0"/>
              <w:spacing w:before="20" w:after="20" w:line="240" w:lineRule="auto"/>
              <w:ind w:firstLine="0" w:left="0"/>
              <w:jc w:val="left"/>
            </w:pPr>
            <w:r>
              <w:rPr>
                <w:rFonts w:ascii="Times New Roman" w:hAnsi="Times New Roman"/>
                <w:sz w:val="22"/>
              </w:rPr>
              <w:t xml:space="preserve">S × số chính sách có</w:t>
            </w:r>
            <w:r>
              <w:rPr>
                <w:rFonts w:ascii="Times New Roman" w:hAnsi="Times New Roman"/>
                <w:sz w:val="22"/>
                <w:vertAlign w:val="superscript"/>
              </w:rPr>
              <w:t xml:space="preserve">a</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0,18</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[−1,54; 1,90]</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0,835</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0,835</w:t>
            </w:r>
          </w:p>
        </w:tc>
      </w:tr>
      <w:tr>
        <w:trPr>
          <w:cantSplit/>
        </w:trPr>
        <w:tc>
          <w:tcPr>
            <w:tcW w:w="1270" w:type="dxa"/>
          </w:tcPr>
          <w:p>
            <w:pPr>
              <w:pStyle w:val="Compact"/>
              <w:keepNext w:val="0"/>
              <w:spacing w:before="20" w:after="20" w:line="240" w:lineRule="auto"/>
              <w:ind w:firstLine="0" w:left="0"/>
              <w:jc w:val="left"/>
            </w:pPr>
          </w:p>
        </w:tc>
        <w:tc>
          <w:tcPr>
            <w:tcW w:w="3447" w:type="dxa"/>
          </w:tcPr>
          <w:p>
            <w:pPr>
              <w:pStyle w:val="Compact"/>
              <w:keepNext w:val="0"/>
              <w:spacing w:before="20" w:after="20" w:line="240" w:lineRule="auto"/>
              <w:ind w:firstLine="0" w:left="0"/>
              <w:jc w:val="left"/>
            </w:pPr>
            <w:r>
              <w:rPr>
                <w:rFonts w:ascii="Times New Roman" w:hAnsi="Times New Roman"/>
                <w:sz w:val="22"/>
              </w:rPr>
              <w:t xml:space="preserve">S khi không có chính sách nào</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1,86</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[0,15; 3,57]</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0,034</w:t>
            </w:r>
          </w:p>
        </w:tc>
        <w:tc>
          <w:tcPr>
            <w:tcW w:w="907" w:type="dxa"/>
          </w:tcPr>
          <w:p>
            <w:pPr>
              <w:pStyle w:val="Compact"/>
              <w:keepNext w:val="0"/>
              <w:spacing w:before="20" w:after="20" w:line="240" w:lineRule="auto"/>
              <w:ind w:firstLine="0" w:left="0"/>
              <w:jc w:val="center"/>
            </w:pPr>
          </w:p>
        </w:tc>
      </w:tr>
      <w:tr>
        <w:trPr>
          <w:cantSplit/>
        </w:trPr>
        <w:tc>
          <w:tcPr>
            <w:tcW w:w="1270" w:type="dxa"/>
          </w:tcPr>
          <w:p>
            <w:pPr>
              <w:pStyle w:val="Compact"/>
              <w:keepNext w:val="0"/>
              <w:spacing w:before="20" w:after="20" w:line="240" w:lineRule="auto"/>
              <w:ind w:firstLine="0" w:left="0"/>
              <w:jc w:val="left"/>
            </w:pPr>
          </w:p>
        </w:tc>
        <w:tc>
          <w:tcPr>
            <w:tcW w:w="3447" w:type="dxa"/>
          </w:tcPr>
          <w:p>
            <w:pPr>
              <w:pStyle w:val="Compact"/>
              <w:keepNext w:val="0"/>
              <w:spacing w:before="20" w:after="20" w:line="240" w:lineRule="auto"/>
              <w:ind w:firstLine="0" w:left="0"/>
              <w:jc w:val="left"/>
            </w:pPr>
            <w:r>
              <w:rPr>
                <w:rFonts w:ascii="Times New Roman" w:hAnsi="Times New Roman"/>
                <w:sz w:val="22"/>
              </w:rPr>
              <w:t xml:space="preserve">S tại số chính sách trung bình (0,62)</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1,97</w:t>
            </w:r>
          </w:p>
        </w:tc>
        <w:tc>
          <w:tcPr>
            <w:tcW w:w="1633" w:type="dxa"/>
          </w:tcPr>
          <w:p>
            <w:pPr>
              <w:pStyle w:val="Compact"/>
              <w:keepNext w:val="0"/>
              <w:spacing w:before="20" w:after="20" w:line="240" w:lineRule="auto"/>
              <w:ind w:firstLine="0" w:left="0"/>
              <w:jc w:val="center"/>
            </w:pPr>
            <w:r>
              <w:rPr>
                <w:rFonts w:ascii="Times New Roman" w:hAnsi="Times New Roman"/>
                <w:sz w:val="22"/>
              </w:rPr>
              <w:t xml:space="preserve">[0,54; 3,40]</w:t>
            </w:r>
          </w:p>
        </w:tc>
        <w:tc>
          <w:tcPr>
            <w:tcW w:w="907" w:type="dxa"/>
          </w:tcPr>
          <w:p>
            <w:pPr>
              <w:pStyle w:val="Compact"/>
              <w:keepNext w:val="0"/>
              <w:spacing w:before="20" w:after="20" w:line="240" w:lineRule="auto"/>
              <w:ind w:firstLine="0" w:left="0"/>
              <w:jc w:val="center"/>
            </w:pPr>
            <w:r>
              <w:rPr>
                <w:rFonts w:ascii="Times New Roman" w:hAnsi="Times New Roman"/>
                <w:sz w:val="22"/>
              </w:rPr>
              <w:t xml:space="preserve">0,007</w:t>
            </w:r>
          </w:p>
        </w:tc>
        <w:tc>
          <w:tcPr>
            <w:tcW w:w="907" w:type="dxa"/>
          </w:tcPr>
          <w:p>
            <w:pPr>
              <w:pStyle w:val="Compact"/>
              <w:keepNext w:val="0"/>
              <w:spacing w:before="20" w:after="20" w:line="240" w:lineRule="auto"/>
              <w:ind w:firstLine="0" w:left="0"/>
              <w:jc w:val="center"/>
            </w:pPr>
          </w:p>
        </w:tc>
      </w:tr>
      <w:tr>
        <w:trPr>
          <w:cantSplit/>
        </w:trPr>
        <w:tc>
          <w:tcPr>
            <w:tcW w:w="1270" w:type="dxa"/>
          </w:tcPr>
          <w:p>
            <w:pPr>
              <w:pStyle w:val="Compact"/>
              <w:keepNext/>
              <w:spacing w:before="20" w:after="20" w:line="240" w:lineRule="auto"/>
              <w:ind w:firstLine="0" w:left="0"/>
              <w:jc w:val="left"/>
            </w:pPr>
          </w:p>
        </w:tc>
        <w:tc>
          <w:tcPr>
            <w:tcW w:w="3447" w:type="dxa"/>
          </w:tcPr>
          <w:p>
            <w:pPr>
              <w:pStyle w:val="Compact"/>
              <w:keepNext/>
              <w:spacing w:before="20" w:after="20" w:line="240" w:lineRule="auto"/>
              <w:ind w:firstLine="0" w:left="0"/>
              <w:jc w:val="left"/>
            </w:pPr>
            <w:r>
              <w:rPr>
                <w:rFonts w:ascii="Times New Roman" w:hAnsi="Times New Roman"/>
                <w:sz w:val="22"/>
              </w:rPr>
              <w:t xml:space="preserve">S tại số chính sách trung bình + 1 ĐLC (1,40)</w:t>
            </w:r>
          </w:p>
        </w:tc>
        <w:tc>
          <w:tcPr>
            <w:tcW w:w="907" w:type="dxa"/>
          </w:tcPr>
          <w:p>
            <w:pPr>
              <w:pStyle w:val="Compact"/>
              <w:keepNext/>
              <w:spacing w:before="20" w:after="20" w:line="240" w:lineRule="auto"/>
              <w:ind w:firstLine="0" w:left="0"/>
              <w:jc w:val="center"/>
            </w:pPr>
            <w:r>
              <w:rPr>
                <w:rFonts w:ascii="Times New Roman" w:hAnsi="Times New Roman"/>
                <w:sz w:val="22"/>
              </w:rPr>
              <w:t xml:space="preserve">2,11</w:t>
            </w:r>
          </w:p>
        </w:tc>
        <w:tc>
          <w:tcPr>
            <w:tcW w:w="1633" w:type="dxa"/>
          </w:tcPr>
          <w:p>
            <w:pPr>
              <w:pStyle w:val="Compact"/>
              <w:keepNext/>
              <w:spacing w:before="20" w:after="20" w:line="240" w:lineRule="auto"/>
              <w:ind w:firstLine="0" w:left="0"/>
              <w:jc w:val="center"/>
            </w:pPr>
            <w:r>
              <w:rPr>
                <w:rFonts w:ascii="Times New Roman" w:hAnsi="Times New Roman"/>
                <w:sz w:val="22"/>
              </w:rPr>
              <w:t xml:space="preserve">[0,07; 4,15]</w:t>
            </w:r>
          </w:p>
        </w:tc>
        <w:tc>
          <w:tcPr>
            <w:tcW w:w="907" w:type="dxa"/>
          </w:tcPr>
          <w:p>
            <w:pPr>
              <w:pStyle w:val="Compact"/>
              <w:keepNext/>
              <w:spacing w:before="20" w:after="20" w:line="240" w:lineRule="auto"/>
              <w:ind w:firstLine="0" w:left="0"/>
              <w:jc w:val="center"/>
            </w:pPr>
            <w:r>
              <w:rPr>
                <w:rFonts w:ascii="Times New Roman" w:hAnsi="Times New Roman"/>
                <w:sz w:val="22"/>
              </w:rPr>
              <w:t xml:space="preserve">0,043</w:t>
            </w:r>
          </w:p>
        </w:tc>
        <w:tc>
          <w:tcPr>
            <w:tcW w:w="907" w:type="dxa"/>
          </w:tcPr>
          <w:p>
            <w:pPr>
              <w:pStyle w:val="Compact"/>
              <w:keepNext/>
              <w:spacing w:before="20" w:after="20" w:line="240" w:lineRule="auto"/>
              <w:ind w:firstLine="0" w:left="0"/>
              <w:jc w:val="center"/>
            </w:pP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Hồi quy OLS với sai số chuẩn HC3. Mô hình họ A, B và C2 điều chỉnh Xᴰ, loại hình và quy mô nơi làm việc; C1 điều chỉnh Xᴰ. p (BH): giá trị p hiệu chỉnh theo Benjamini–Hochberg trong từng họ.</w:t>
      </w:r>
      <w:r>
        <w:rPr>
          <w:rFonts w:ascii="Times New Roman" w:hAnsi="Times New Roman" w:cs="Times New Roman" w:eastAsia="Times New Roman"/>
        </w:rPr>
        <w:t xml:space="preserve"> </w:t>
      </w:r>
      <w:r>
        <w:rPr>
          <w:rFonts w:ascii="Times New Roman" w:hAnsi="Times New Roman" w:cs="Times New Roman" w:eastAsia="Times New Roman"/>
          <w:vertAlign w:val="superscript"/>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Điều chỉnh số câu trả lời</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vertAlign w:val="superscript"/>
        </w:rPr>
        <w:t xml:space="preserve">b</w:t>
      </w:r>
      <w:r>
        <w:rPr>
          <w:rFonts w:ascii="Times New Roman" w:hAnsi="Times New Roman" w:cs="Times New Roman" w:eastAsia="Times New Roman"/>
        </w:rPr>
        <w:t xml:space="preserve"> </w:t>
      </w:r>
      <w:r>
        <w:rPr>
          <w:rFonts w:ascii="Times New Roman" w:hAnsi="Times New Roman" w:cs="Times New Roman" w:eastAsia="Times New Roman"/>
        </w:rPr>
        <w:t xml:space="preserve">Không báo cáo vì nhóm</w:t>
      </w:r>
      <w:r>
        <w:rPr>
          <w:rFonts w:ascii="Times New Roman" w:hAnsi="Times New Roman" w:cs="Times New Roman" w:eastAsia="Times New Roman"/>
        </w:rPr>
        <w:t xml:space="preserve"> </w:t>
      </w:r>
      <w:r>
        <w:rPr>
          <w:rFonts w:ascii="Times New Roman" w:hAnsi="Times New Roman" w:cs="Times New Roman" w:eastAsia="Times New Roman"/>
        </w:rPr>
        <w:t xml:space="preserve">“có”</w:t>
      </w:r>
      <w:r>
        <w:rPr>
          <w:rFonts w:ascii="Times New Roman" w:hAnsi="Times New Roman" w:cs="Times New Roman" w:eastAsia="Times New Roman"/>
        </w:rPr>
        <w:t xml:space="preserve"> </w:t>
      </w:r>
      <w:r>
        <w:rPr>
          <w:rFonts w:ascii="Times New Roman" w:hAnsi="Times New Roman" w:cs="Times New Roman" w:eastAsia="Times New Roman"/>
        </w:rPr>
        <w:t xml:space="preserve">dưới 10 người. Trong A1, mỗi câu</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thêm đi kèm chỉ số kỳ thị thấp hơn 0,09 (KTC 95%: [−0,17; −0,02]); hệ số này không thuộc họ kiểm định.</w:t>
      </w:r>
    </w:p>
    <w:p>
      <w:pPr>
        <w:pStyle w:val="TableSource"/>
      </w:pPr>
      <w:r>
        <w:rPr>
          <w:rFonts w:ascii="Times New Roman" w:hAnsi="Times New Roman" w:cs="Times New Roman" w:eastAsia="Times New Roman"/>
          <w:i/>
          <w:iCs/>
        </w:rPr>
        <w:t xml:space="preserve">Nguồn: Kết quả phân tích số liệu khảo sát của nhóm tác giả (2026).</w:t>
      </w:r>
    </w:p>
    <w:p>
      <w:pPr>
        <w:pStyle w:val="BodyText"/>
      </w:pPr>
      <w:r>
        <w:rPr>
          <w:rFonts w:ascii="Times New Roman" w:hAnsi="Times New Roman" w:cs="Times New Roman" w:eastAsia="Times New Roman"/>
        </w:rPr>
        <w:t xml:space="preserve">Ở họ A, không chính sách nào và cả chỉ số thực thi đều chưa cho thấy liên hệ rõ với mức kỳ thị. Mọi khoảng tin cậy đều chứa 0, và sau hiệu chỉnh mọi giá trị p đều từ 0,75 trở lên. Các khoảng tin cậy của từng chính sách khá rộng, vì chỉ 12 đến 55 người cho biết có từng chính sách. Vì vậy, kết quả là chưa xác định, không phải bằng chứng rằng chính sách không có tác dụng. Một kết quả phụ đáng chú ý là người trả lời</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nhiều hơn báo cáo mức kỳ thị thấp hơn. Kết quả này có thể phản ánh việc người đã gặp kỳ thị chú ý hơn đến chính sách và kênh khiếu nại của nơi làm việc, nhưng dữ liệu không cho phép kiểm tra cách giải thích đó.</w:t>
      </w:r>
    </w:p>
    <w:p>
      <w:pPr>
        <w:pStyle w:val="BodyText"/>
      </w:pPr>
      <w:r>
        <w:rPr>
          <w:rFonts w:ascii="Times New Roman" w:hAnsi="Times New Roman" w:cs="Times New Roman" w:eastAsia="Times New Roman"/>
        </w:rPr>
        <w:t xml:space="preserve">Ở họ B, số chính sách không cho thấy liên hệ với điểm PHQ-4 (0,02; KTC 95%: [−0,73; 0,76]). Mỗi điểm cao hơn của chỉ số thực thi đi kèm điểm PHQ-4 thấp hơn 0,62 điểm, nhưng khoảng tin cậy chứa cả 0 và mức chênh lệch hơn 1 điểm, nên kết quả chưa xác định. Khi thêm chỉ số kỳ thị vào mô hình, hệ số này gần như không đổi (−0,69), và hệ số của chỉ số kỳ thị vẫn khoảng 1,9 điểm. Như vậy, liên hệ giữa thực thi được cảm nhận và triệu chứng, nếu có, gần như không thay đổi khi xét cùng mức kỳ thị đã gặp.</w:t>
      </w:r>
    </w:p>
    <w:p>
      <w:pPr>
        <w:pStyle w:val="BodyText"/>
      </w:pPr>
      <w:r>
        <w:rPr>
          <w:rFonts w:ascii="Times New Roman" w:hAnsi="Times New Roman" w:cs="Times New Roman" w:eastAsia="Times New Roman"/>
        </w:rPr>
        <w:t xml:space="preserve">Ở họ C, cả hai tích điều tiết đều chưa xác định. Ở mô hình C1, hệ số của chỉ số kỳ thị là 3,43 ở nơi có thực thi thấp và 1,39 ở nơi có thực thi cao. Tuy nhiên, khoảng tin cậy của tích S × Q chứa cả 0 và các giá trị âm lớn (KTC 95%: [−3,04; 0,42]). Do đó, dữ liệu không cho phép kết luận rằng liên hệ giữa kỳ thị và triệu chứng yếu hơn ở nơi có thực thi tốt hơn. Hai hệ số, một lớn và một nhỏ, không chứng minh rằng chúng khác nhau. Ở mô hình C2, hệ số của chỉ số kỳ thị gần như như nhau khi không có chính sách nào (1,86) và khi có nhiều chính sách hơn (2,11). Ở mọi mức chính sách và thực thi được xem xét, kỳ thị vẫn đi kèm với triệu chứng nặng hơn.</w:t>
      </w:r>
    </w:p>
    <w:p>
      <w:pPr>
        <w:pStyle w:val="BodyText"/>
      </w:pPr>
      <w:r>
        <w:rPr>
          <w:rFonts w:ascii="Times New Roman" w:hAnsi="Times New Roman" w:cs="Times New Roman" w:eastAsia="Times New Roman"/>
        </w:rPr>
        <w:t xml:space="preserve">Các phân tích độ nhạy cho kết luận tương tự (Phụ lục, Bảng PL1). Khi coi mọi câu</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là không hoặc là có, hệ số của số chính sách ở họ A và B vẫn gần 0, với khoảng tin cậy chứa 0. Kết quả cũng tương tự khi giữ cả người tự doanh và freelancer. Mẫu chỉ gồm người không có câu</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nào quá nhỏ (43 người) để có ước lượng chính xác.</w:t>
      </w:r>
    </w:p>
    <w:bookmarkEnd w:id="26"/>
    <w:bookmarkStart w:id="27" w:name="đối-chiếu-với-khung-pháp-luật-hiện-hành"/>
    <w:p>
      <w:pPr>
        <w:pStyle w:val="Heading2"/>
      </w:pPr>
      <w:r>
        <w:rPr>
          <w:rFonts w:ascii="Times New Roman" w:hAnsi="Times New Roman" w:cs="Times New Roman" w:eastAsia="Times New Roman"/>
        </w:rPr>
        <w:t xml:space="preserve">4.5. Đối chiếu với khung pháp luật hiện hành</w:t>
      </w:r>
    </w:p>
    <w:p>
      <w:pPr>
        <w:pStyle w:val="FirstParagraph"/>
      </w:pPr>
      <w:r>
        <w:rPr>
          <w:rFonts w:ascii="Times New Roman" w:hAnsi="Times New Roman" w:cs="Times New Roman" w:eastAsia="Times New Roman"/>
        </w:rPr>
        <w:t xml:space="preserve">Bảng 10 đối chiếu các hình thức kỳ thị với pháp luật hiện hành. Các hình thức phổ biến nhất được điều chỉnh yếu nhất. Câu hỏi riêng tư và lời đùa xúc phạm chỉ được điều chỉnh bởi các nguyên tắc chung về đời sống riêng tư và danh dự, nhân phẩm (Quốc hội, 2013, Điều 21; Quốc hội, 2015, Điều 34 và 38). Không văn bản nào quy định riêng về các hành vi này tại nơi làm việc. Bộ luật Lao động có một cơ chế đáng chú ý cho quấy rối tình dục. Quấy rối tình dục tại nơi làm việc được định nghĩa là hành vi có tính chất tình dục của bất kỳ người nào đối với người khác tại nơi làm việc mà không được người đó mong muốn hoặc chấp nhận (Quốc hội, 2019, Điều 3 khoản 9). Nội quy lao động phải có nội dung phòng, chống quấy rối tình dục cùng trình tự xử lý (Chính phủ, 2020, Điều 85; Quốc hội, 2019, Điều 118 khoản 2 điểm d). Tuy nhiên, lời xúc phạm dựa trên xu hướng tính dục hay bản dạng giới thường không mang tính chất tình dục, nên nằm ngoài cơ chế này.</w:t>
      </w:r>
    </w:p>
    <w:p>
      <w:pPr>
        <w:pStyle w:val="BodyText"/>
      </w:pPr>
      <w:r>
        <w:rPr>
          <w:rFonts w:ascii="Times New Roman" w:hAnsi="Times New Roman" w:cs="Times New Roman" w:eastAsia="Times New Roman"/>
        </w:rPr>
        <w:t xml:space="preserve">Việc tiết lộ xu hướng tính dục hoặc bản dạng giới khi chưa được đồng ý có căn cứ rõ nhất. Bộ luật Dân sự yêu cầu việc công khai thông tin về đời sống riêng tư, bí mật cá nhân phải được người đó đồng ý (Quốc hội, 2015, Điều 38). Nghị định 356/2025/NĐ-CP xếp dữ liệu tiết lộ đời sống tình dục, xu hướng tình dục của cá nhân vào nhóm dữ liệu cá nhân nhạy cảm (Chính phủ, 2025, Điều 4). Kỳ thị liên quan đến nghề nghiệp có thể được coi là phân biệt đối xử trong lao động, nhưng chỉ khi gắn với một căn cứ được liệt kê. Danh mục này có giới tính nhưng không có xu hướng tính dục và bản dạng giới (Quốc hội, 2019, Điều 3 khoản 8). Với kỳ thị về thể hiện giới, Bộ luật Dân sự giao việc chuyển đổi giới tính cho luật riêng (Quốc hội, 2015, Điều 37). Đến thời điểm viết bài, luật này chưa được ban hành, và chưa có quy định về tên gọi, trang phục hay tiện ích tại nơi làm việc.</w:t>
      </w:r>
    </w:p>
    <w:p>
      <w:pPr>
        <w:pStyle w:val="TableCaption"/>
      </w:pPr>
      <w:r>
        <w:rPr>
          <w:rFonts w:ascii="Times New Roman" w:hAnsi="Times New Roman" w:cs="Times New Roman" w:eastAsia="Times New Roman"/>
          <w:b/>
          <w:bCs/>
        </w:rPr>
        <w:t xml:space="preserve">Bảng 10. Đối chiếu các hình thức kỳ thị với pháp luật hiện hành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77"/>
        <w:gridCol w:w="3266"/>
        <w:gridCol w:w="3629"/>
      </w:tblGrid>
      <w:tr>
        <w:trPr>
          <w:tblHeader w:val="on"/>
          <w:cantSplit/>
        </w:trPr>
        <w:tc>
          <w:tcPr>
            <w:tcW w:w="2177" w:type="dxa"/>
          </w:tcPr>
          <w:p>
            <w:pPr>
              <w:pStyle w:val="Compact"/>
              <w:keepNext w:val="0"/>
              <w:spacing w:before="20" w:after="20" w:line="240" w:lineRule="auto"/>
              <w:ind w:firstLine="0" w:left="0"/>
              <w:jc w:val="center"/>
            </w:pPr>
            <w:r>
              <w:rPr>
                <w:rFonts w:ascii="Times New Roman" w:hAnsi="Times New Roman"/>
                <w:b/>
                <w:sz w:val="22"/>
              </w:rPr>
              <w:t xml:space="preserve">Hình thức kỳ thị (tỷ lệ đã gặp)</w:t>
            </w:r>
          </w:p>
        </w:tc>
        <w:tc>
          <w:tcPr>
            <w:tcW w:w="3266" w:type="dxa"/>
          </w:tcPr>
          <w:p>
            <w:pPr>
              <w:pStyle w:val="Compact"/>
              <w:keepNext w:val="0"/>
              <w:spacing w:before="20" w:after="20" w:line="240" w:lineRule="auto"/>
              <w:ind w:firstLine="0" w:left="0"/>
              <w:jc w:val="center"/>
            </w:pPr>
            <w:r>
              <w:rPr>
                <w:rFonts w:ascii="Times New Roman" w:hAnsi="Times New Roman"/>
                <w:b/>
                <w:sz w:val="22"/>
              </w:rPr>
              <w:t xml:space="preserve">Văn bản có liên quan</w:t>
            </w:r>
          </w:p>
        </w:tc>
        <w:tc>
          <w:tcPr>
            <w:tcW w:w="3629" w:type="dxa"/>
          </w:tcPr>
          <w:p>
            <w:pPr>
              <w:pStyle w:val="Compact"/>
              <w:keepNext w:val="0"/>
              <w:spacing w:before="20" w:after="20" w:line="240" w:lineRule="auto"/>
              <w:ind w:firstLine="0" w:left="0"/>
              <w:jc w:val="center"/>
            </w:pPr>
            <w:r>
              <w:rPr>
                <w:rFonts w:ascii="Times New Roman" w:hAnsi="Times New Roman"/>
                <w:b/>
                <w:sz w:val="22"/>
              </w:rPr>
              <w:t xml:space="preserve">Phạm vi điều chỉnh và khoảng trống</w:t>
            </w:r>
          </w:p>
        </w:tc>
      </w:tr>
      <w:tr>
        <w:trPr>
          <w:cantSplit/>
        </w:trPr>
        <w:tc>
          <w:tcPr>
            <w:tcW w:w="2177" w:type="dxa"/>
          </w:tcPr>
          <w:p>
            <w:pPr>
              <w:pStyle w:val="Compact"/>
              <w:keepNext w:val="0"/>
              <w:spacing w:before="20" w:after="20" w:line="240" w:lineRule="auto"/>
              <w:ind w:firstLine="0" w:left="0"/>
              <w:jc w:val="left"/>
            </w:pPr>
            <w:r>
              <w:rPr>
                <w:rFonts w:ascii="Times New Roman" w:hAnsi="Times New Roman"/>
                <w:sz w:val="22"/>
              </w:rPr>
              <w:t xml:space="preserve">Lời đùa, bình luận xúc phạm (26,8%)</w:t>
            </w:r>
          </w:p>
        </w:tc>
        <w:tc>
          <w:tcPr>
            <w:tcW w:w="3266" w:type="dxa"/>
          </w:tcPr>
          <w:p>
            <w:pPr>
              <w:pStyle w:val="Compact"/>
              <w:keepNext w:val="0"/>
              <w:spacing w:before="20" w:after="20" w:line="240" w:lineRule="auto"/>
              <w:ind w:firstLine="0" w:left="0"/>
              <w:jc w:val="left"/>
            </w:pPr>
            <w:r>
              <w:rPr>
                <w:rFonts w:ascii="Times New Roman" w:hAnsi="Times New Roman"/>
                <w:sz w:val="22"/>
              </w:rPr>
              <w:t xml:space="preserve">Bộ luật Lao động 2019, Điều 3 khoản 9, Điều 8, Điều 118 khoản 2 điểm d; Nghị định 145/2020/NĐ-CP, Điều 84–85; Bộ luật Dân sự 2015, Điều 34</w:t>
            </w:r>
          </w:p>
        </w:tc>
        <w:tc>
          <w:tcPr>
            <w:tcW w:w="3629" w:type="dxa"/>
          </w:tcPr>
          <w:p>
            <w:pPr>
              <w:pStyle w:val="Compact"/>
              <w:keepNext w:val="0"/>
              <w:spacing w:before="20" w:after="20" w:line="240" w:lineRule="auto"/>
              <w:ind w:firstLine="0" w:left="0"/>
              <w:jc w:val="left"/>
            </w:pPr>
            <w:r>
              <w:rPr>
                <w:rFonts w:ascii="Times New Roman" w:hAnsi="Times New Roman"/>
                <w:sz w:val="22"/>
              </w:rPr>
              <w:t xml:space="preserve">Nội quy bắt buộc chỉ bao gồm hành vi có tính chất tình dục. Lời xúc phạm dựa trên xu hướng tính dục, bản dạng giới không được nêu</w:t>
            </w:r>
          </w:p>
        </w:tc>
      </w:tr>
      <w:tr>
        <w:trPr>
          <w:cantSplit/>
        </w:trPr>
        <w:tc>
          <w:tcPr>
            <w:tcW w:w="2177" w:type="dxa"/>
          </w:tcPr>
          <w:p>
            <w:pPr>
              <w:pStyle w:val="Compact"/>
              <w:keepNext w:val="0"/>
              <w:spacing w:before="20" w:after="20" w:line="240" w:lineRule="auto"/>
              <w:ind w:firstLine="0" w:left="0"/>
              <w:jc w:val="left"/>
            </w:pPr>
            <w:r>
              <w:rPr>
                <w:rFonts w:ascii="Times New Roman" w:hAnsi="Times New Roman"/>
                <w:sz w:val="22"/>
              </w:rPr>
              <w:t xml:space="preserve">Câu hỏi riêng tư không mong muốn (33,9%)</w:t>
            </w:r>
          </w:p>
        </w:tc>
        <w:tc>
          <w:tcPr>
            <w:tcW w:w="3266" w:type="dxa"/>
          </w:tcPr>
          <w:p>
            <w:pPr>
              <w:pStyle w:val="Compact"/>
              <w:keepNext w:val="0"/>
              <w:spacing w:before="20" w:after="20" w:line="240" w:lineRule="auto"/>
              <w:ind w:firstLine="0" w:left="0"/>
              <w:jc w:val="left"/>
            </w:pPr>
            <w:r>
              <w:rPr>
                <w:rFonts w:ascii="Times New Roman" w:hAnsi="Times New Roman"/>
                <w:sz w:val="22"/>
              </w:rPr>
              <w:t xml:space="preserve">Hiến pháp 2013, Điều 21; Bộ luật Dân sự 2015, Điều 38</w:t>
            </w:r>
          </w:p>
        </w:tc>
        <w:tc>
          <w:tcPr>
            <w:tcW w:w="3629" w:type="dxa"/>
          </w:tcPr>
          <w:p>
            <w:pPr>
              <w:pStyle w:val="Compact"/>
              <w:keepNext w:val="0"/>
              <w:spacing w:before="20" w:after="20" w:line="240" w:lineRule="auto"/>
              <w:ind w:firstLine="0" w:left="0"/>
              <w:jc w:val="left"/>
            </w:pPr>
            <w:r>
              <w:rPr>
                <w:rFonts w:ascii="Times New Roman" w:hAnsi="Times New Roman"/>
                <w:sz w:val="22"/>
              </w:rPr>
              <w:t xml:space="preserve">Chỉ có nguyên tắc chung về đời sống riêng tư. Không có quy định về hành vi này tại nơi làm việc</w:t>
            </w:r>
          </w:p>
        </w:tc>
      </w:tr>
      <w:tr>
        <w:trPr>
          <w:cantSplit/>
        </w:trPr>
        <w:tc>
          <w:tcPr>
            <w:tcW w:w="2177" w:type="dxa"/>
          </w:tcPr>
          <w:p>
            <w:pPr>
              <w:pStyle w:val="Compact"/>
              <w:keepNext w:val="0"/>
              <w:spacing w:before="20" w:after="20" w:line="240" w:lineRule="auto"/>
              <w:ind w:firstLine="0" w:left="0"/>
              <w:jc w:val="left"/>
            </w:pPr>
            <w:r>
              <w:rPr>
                <w:rFonts w:ascii="Times New Roman" w:hAnsi="Times New Roman"/>
                <w:sz w:val="22"/>
              </w:rPr>
              <w:t xml:space="preserve">Bị tiết lộ hoặc đe dọa tiết lộ (15,5%)</w:t>
            </w:r>
          </w:p>
        </w:tc>
        <w:tc>
          <w:tcPr>
            <w:tcW w:w="3266" w:type="dxa"/>
          </w:tcPr>
          <w:p>
            <w:pPr>
              <w:pStyle w:val="Compact"/>
              <w:keepNext w:val="0"/>
              <w:spacing w:before="20" w:after="20" w:line="240" w:lineRule="auto"/>
              <w:ind w:firstLine="0" w:left="0"/>
              <w:jc w:val="left"/>
            </w:pPr>
            <w:r>
              <w:rPr>
                <w:rFonts w:ascii="Times New Roman" w:hAnsi="Times New Roman"/>
                <w:sz w:val="22"/>
              </w:rPr>
              <w:t xml:space="preserve">Bộ luật Dân sự 2015, Điều 38; Luật Bảo vệ dữ liệu cá nhân 2025; Nghị định 356/2025/NĐ-CP, Điều 4</w:t>
            </w:r>
          </w:p>
        </w:tc>
        <w:tc>
          <w:tcPr>
            <w:tcW w:w="3629" w:type="dxa"/>
          </w:tcPr>
          <w:p>
            <w:pPr>
              <w:pStyle w:val="Compact"/>
              <w:keepNext w:val="0"/>
              <w:spacing w:before="20" w:after="20" w:line="240" w:lineRule="auto"/>
              <w:ind w:firstLine="0" w:left="0"/>
              <w:jc w:val="left"/>
            </w:pPr>
            <w:r>
              <w:rPr>
                <w:rFonts w:ascii="Times New Roman" w:hAnsi="Times New Roman"/>
                <w:sz w:val="22"/>
              </w:rPr>
              <w:t xml:space="preserve">Có căn cứ rõ nhất: thông tin về xu hướng tình dục là dữ liệu cá nhân nhạy cảm. Chưa có hướng dẫn cho tình huống đồng nghiệp tiết lộ bằng lời</w:t>
            </w:r>
          </w:p>
        </w:tc>
      </w:tr>
      <w:tr>
        <w:trPr>
          <w:cantSplit/>
        </w:trPr>
        <w:tc>
          <w:tcPr>
            <w:tcW w:w="2177" w:type="dxa"/>
          </w:tcPr>
          <w:p>
            <w:pPr>
              <w:pStyle w:val="Compact"/>
              <w:keepNext w:val="0"/>
              <w:spacing w:before="20" w:after="20" w:line="240" w:lineRule="auto"/>
              <w:ind w:firstLine="0" w:left="0"/>
              <w:jc w:val="left"/>
            </w:pPr>
            <w:r>
              <w:rPr>
                <w:rFonts w:ascii="Times New Roman" w:hAnsi="Times New Roman"/>
                <w:sz w:val="22"/>
              </w:rPr>
              <w:t xml:space="preserve">Kỳ thị liên quan đến nghề nghiệp (17,4%)</w:t>
            </w:r>
          </w:p>
        </w:tc>
        <w:tc>
          <w:tcPr>
            <w:tcW w:w="3266" w:type="dxa"/>
          </w:tcPr>
          <w:p>
            <w:pPr>
              <w:pStyle w:val="Compact"/>
              <w:keepNext w:val="0"/>
              <w:spacing w:before="20" w:after="20" w:line="240" w:lineRule="auto"/>
              <w:ind w:firstLine="0" w:left="0"/>
              <w:jc w:val="left"/>
            </w:pPr>
            <w:r>
              <w:rPr>
                <w:rFonts w:ascii="Times New Roman" w:hAnsi="Times New Roman"/>
                <w:sz w:val="22"/>
              </w:rPr>
              <w:t xml:space="preserve">Bộ luật Lao động 2019, Điều 3 khoản 8, Điều 8, Điều 90 khoản 3</w:t>
            </w:r>
          </w:p>
        </w:tc>
        <w:tc>
          <w:tcPr>
            <w:tcW w:w="3629" w:type="dxa"/>
          </w:tcPr>
          <w:p>
            <w:pPr>
              <w:pStyle w:val="Compact"/>
              <w:keepNext w:val="0"/>
              <w:spacing w:before="20" w:after="20" w:line="240" w:lineRule="auto"/>
              <w:ind w:firstLine="0" w:left="0"/>
              <w:jc w:val="left"/>
            </w:pPr>
            <w:r>
              <w:rPr>
                <w:rFonts w:ascii="Times New Roman" w:hAnsi="Times New Roman"/>
                <w:sz w:val="22"/>
              </w:rPr>
              <w:t xml:space="preserve">Cấm phân biệt đối xử theo danh mục căn cứ có giới tính, nhưng không có xu hướng tính dục, bản dạng giới</w:t>
            </w:r>
          </w:p>
        </w:tc>
      </w:tr>
      <w:tr>
        <w:trPr>
          <w:cantSplit/>
        </w:trPr>
        <w:tc>
          <w:tcPr>
            <w:tcW w:w="2177" w:type="dxa"/>
          </w:tcPr>
          <w:p>
            <w:pPr>
              <w:pStyle w:val="Compact"/>
              <w:keepNext w:val="0"/>
              <w:spacing w:before="20" w:after="20" w:line="240" w:lineRule="auto"/>
              <w:ind w:firstLine="0" w:left="0"/>
              <w:jc w:val="left"/>
            </w:pPr>
            <w:r>
              <w:rPr>
                <w:rFonts w:ascii="Times New Roman" w:hAnsi="Times New Roman"/>
                <w:sz w:val="22"/>
              </w:rPr>
              <w:t xml:space="preserve">Kỳ thị về thể hiện giới (18,0%)</w:t>
            </w:r>
          </w:p>
        </w:tc>
        <w:tc>
          <w:tcPr>
            <w:tcW w:w="3266" w:type="dxa"/>
          </w:tcPr>
          <w:p>
            <w:pPr>
              <w:pStyle w:val="Compact"/>
              <w:keepNext w:val="0"/>
              <w:spacing w:before="20" w:after="20" w:line="240" w:lineRule="auto"/>
              <w:ind w:firstLine="0" w:left="0"/>
              <w:jc w:val="left"/>
            </w:pPr>
            <w:r>
              <w:rPr>
                <w:rFonts w:ascii="Times New Roman" w:hAnsi="Times New Roman"/>
                <w:sz w:val="22"/>
              </w:rPr>
              <w:t xml:space="preserve">Bộ luật Dân sự 2015, Điều 36–37</w:t>
            </w:r>
          </w:p>
        </w:tc>
        <w:tc>
          <w:tcPr>
            <w:tcW w:w="3629" w:type="dxa"/>
          </w:tcPr>
          <w:p>
            <w:pPr>
              <w:pStyle w:val="Compact"/>
              <w:keepNext w:val="0"/>
              <w:spacing w:before="20" w:after="20" w:line="240" w:lineRule="auto"/>
              <w:ind w:firstLine="0" w:left="0"/>
              <w:jc w:val="left"/>
            </w:pPr>
            <w:r>
              <w:rPr>
                <w:rFonts w:ascii="Times New Roman" w:hAnsi="Times New Roman"/>
                <w:sz w:val="22"/>
              </w:rPr>
              <w:t xml:space="preserve">Chuyển đổi giới tính được thực hiện theo luật riêng, nhưng luật này chưa được ban hành. Không có quy định về tên gọi, trang phục, tiện ích tại nơi làm việc</w:t>
            </w:r>
          </w:p>
        </w:tc>
      </w:tr>
      <w:tr>
        <w:trPr>
          <w:cantSplit/>
        </w:trPr>
        <w:tc>
          <w:tcPr>
            <w:tcW w:w="2177" w:type="dxa"/>
          </w:tcPr>
          <w:p>
            <w:pPr>
              <w:pStyle w:val="Compact"/>
              <w:keepNext/>
              <w:spacing w:before="20" w:after="20" w:line="240" w:lineRule="auto"/>
              <w:ind w:firstLine="0" w:left="0"/>
              <w:jc w:val="left"/>
            </w:pPr>
            <w:r>
              <w:rPr>
                <w:rFonts w:ascii="Times New Roman" w:hAnsi="Times New Roman"/>
                <w:sz w:val="22"/>
              </w:rPr>
              <w:t xml:space="preserve">Chung cho mọi hình thức</w:t>
            </w:r>
          </w:p>
        </w:tc>
        <w:tc>
          <w:tcPr>
            <w:tcW w:w="3266" w:type="dxa"/>
          </w:tcPr>
          <w:p>
            <w:pPr>
              <w:pStyle w:val="Compact"/>
              <w:keepNext/>
              <w:spacing w:before="20" w:after="20" w:line="240" w:lineRule="auto"/>
              <w:ind w:firstLine="0" w:left="0"/>
              <w:jc w:val="left"/>
            </w:pPr>
            <w:r>
              <w:rPr>
                <w:rFonts w:ascii="Times New Roman" w:hAnsi="Times New Roman"/>
                <w:sz w:val="22"/>
              </w:rPr>
              <w:t xml:space="preserve">Hiến pháp 2013, Điều 16; Công văn 4132/BYT-PC</w:t>
            </w:r>
          </w:p>
        </w:tc>
        <w:tc>
          <w:tcPr>
            <w:tcW w:w="3629" w:type="dxa"/>
          </w:tcPr>
          <w:p>
            <w:pPr>
              <w:pStyle w:val="Compact"/>
              <w:keepNext/>
              <w:spacing w:before="20" w:after="20" w:line="240" w:lineRule="auto"/>
              <w:ind w:firstLine="0" w:left="0"/>
              <w:jc w:val="left"/>
            </w:pPr>
            <w:r>
              <w:rPr>
                <w:rFonts w:ascii="Times New Roman" w:hAnsi="Times New Roman"/>
                <w:sz w:val="22"/>
              </w:rPr>
              <w:t xml:space="preserve">Nguyên tắc không phân biệt đối xử; ngành y tế không coi đồng tính, song tính, chuyển giới là bệnh</w:t>
            </w:r>
          </w:p>
        </w:tc>
      </w:tr>
    </w:tbl>
    <w:p>
      <w:pPr>
        <w:pStyle w:val="TableSource"/>
      </w:pPr>
      <w:r>
        <w:rPr>
          <w:rFonts w:ascii="Times New Roman" w:hAnsi="Times New Roman" w:cs="Times New Roman" w:eastAsia="Times New Roman"/>
          <w:i/>
          <w:iCs/>
        </w:rPr>
        <w:t xml:space="preserve">Nguồn: Tổng hợp của nhóm tác giả từ các văn bản pháp luật được dẫn và số liệu ở Bảng 3.</w:t>
      </w:r>
    </w:p>
    <w:bookmarkEnd w:id="27"/>
    <w:bookmarkStart w:id="28" w:name="thảo-luận"/>
    <w:p>
      <w:pPr>
        <w:pStyle w:val="Heading2"/>
      </w:pPr>
      <w:r>
        <w:rPr>
          <w:rFonts w:ascii="Times New Roman" w:hAnsi="Times New Roman" w:cs="Times New Roman" w:eastAsia="Times New Roman"/>
        </w:rPr>
        <w:t xml:space="preserve">4.6. Thảo luận</w:t>
      </w:r>
    </w:p>
    <w:p>
      <w:pPr>
        <w:pStyle w:val="FirstParagraph"/>
      </w:pPr>
      <w:r>
        <w:rPr>
          <w:rFonts w:ascii="Times New Roman" w:hAnsi="Times New Roman" w:cs="Times New Roman" w:eastAsia="Times New Roman"/>
          <w:b/>
          <w:bCs/>
        </w:rPr>
        <w:t xml:space="preserve">Kỳ thị chủ yếu đến từ quan hệ ngang hàng.</w:t>
      </w:r>
      <w:r>
        <w:rPr>
          <w:rFonts w:ascii="Times New Roman" w:hAnsi="Times New Roman" w:cs="Times New Roman" w:eastAsia="Times New Roman"/>
        </w:rPr>
        <w:t xml:space="preserve"> </w:t>
      </w:r>
      <w:r>
        <w:rPr>
          <w:rFonts w:ascii="Times New Roman" w:hAnsi="Times New Roman" w:cs="Times New Roman" w:eastAsia="Times New Roman"/>
        </w:rPr>
        <w:t xml:space="preserve">Kết quả nổi bật nhất là kỳ thị mà người lao động LGBT gặp chủ yếu nằm trong giao tiếp thường ngày, và chủ yếu đến từ đồng nghiệp và khách hàng. Điều này phù hợp với bằng chứng rằng định kiến vẫn thể hiện qua giao tiếp ở nơi không có phân biệt đối xử chính thức (Hebl và cộng sự, 2002). Câu hỏi riêng tư về đời sống tình cảm là tình huống phổ biến nhất. Kết quả này gợi ý rằng chuẩn mực về hôn nhân và gia đình vẫn hiện diện mạnh tại nơi làm việc. Khi pháp luật không thừa nhận hôn nhân cùng giới (Quốc hội, 2014), những câu hỏi về chuyện lập gia đình liên tục đặt người lao động LGBT trước lựa chọn giữa che giấu và công khai. Áp lực theo khuôn mẫu giới, được 16,2% người trả lời báo cáo, cho thấy chuẩn mực giới cũng là một nguồn kỳ thị tại nơi làm việc. Tỷ lệ kỳ thị nghề nghiệp thấp hơn có thể một phần do người lao động khó biết đồng nghiệp được đối xử ra sao. Ngoài ra, ở nơi có kỳ thị cấu trúc cao, việc che giấu có thể giúp người thiểu số tránh một phần phân biệt đối xử (Pachankis và Bränström, 2018).</w:t>
      </w:r>
    </w:p>
    <w:p>
      <w:pPr>
        <w:pStyle w:val="BodyText"/>
      </w:pPr>
      <w:r>
        <w:rPr>
          <w:rFonts w:ascii="Times New Roman" w:hAnsi="Times New Roman" w:cs="Times New Roman" w:eastAsia="Times New Roman"/>
          <w:b/>
          <w:bCs/>
        </w:rPr>
        <w:t xml:space="preserve">Chính sách DEI hiếm và ít được biết đến.</w:t>
      </w:r>
      <w:r>
        <w:rPr>
          <w:rFonts w:ascii="Times New Roman" w:hAnsi="Times New Roman" w:cs="Times New Roman" w:eastAsia="Times New Roman"/>
        </w:rPr>
        <w:t xml:space="preserve"> </w:t>
      </w:r>
      <w:r>
        <w:rPr>
          <w:rFonts w:ascii="Times New Roman" w:hAnsi="Times New Roman" w:cs="Times New Roman" w:eastAsia="Times New Roman"/>
        </w:rPr>
        <w:t xml:space="preserve">Hơn một nửa người lao động LGBT làm việc trong một tổ chức không nêu được chính sách DEI nào, và khoảng một phần tư không biết nơi làm việc có từng chính sách hay không. Kết quả này phù hợp với bối cảnh pháp luật lao động chưa đặt ra nghĩa vụ về xu hướng tính dục và bản dạng giới. Doanh nghiệp FDI có nhiều chính sách hơn. Điều này có thể phản ánh việc các tổ chức áp dụng chuẩn mực từ công ty mẹ hoặc từ môi trường quốc tế mà họ hoạt động (DiMaggio và Powell, 1983). Tỷ lệ</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cao cho thấy hai khả năng. Hoặc chính sách không tồn tại nhưng người lao động không chắc chắn, hoặc chính sách tồn tại nhưng không được phổ biến. Trong cả hai trường hợp, một chính sách không được người lao động biết đến khó có thể bảo vệ họ.</w:t>
      </w:r>
    </w:p>
    <w:p>
      <w:pPr>
        <w:pStyle w:val="BodyText"/>
      </w:pPr>
      <w:r>
        <w:rPr>
          <w:rFonts w:ascii="Times New Roman" w:hAnsi="Times New Roman" w:cs="Times New Roman" w:eastAsia="Times New Roman"/>
          <w:b/>
          <w:bCs/>
        </w:rPr>
        <w:t xml:space="preserve">Chính sách trên giấy và thực thi.</w:t>
      </w:r>
      <w:r>
        <w:rPr>
          <w:rFonts w:ascii="Times New Roman" w:hAnsi="Times New Roman" w:cs="Times New Roman" w:eastAsia="Times New Roman"/>
        </w:rPr>
        <w:t xml:space="preserve"> </w:t>
      </w:r>
      <w:r>
        <w:rPr>
          <w:rFonts w:ascii="Times New Roman" w:hAnsi="Times New Roman" w:cs="Times New Roman" w:eastAsia="Times New Roman"/>
        </w:rPr>
        <w:t xml:space="preserve">Mức thực thi được cảm nhận gần như không khác nhau giữa người cho biết có và không có chính sách. Người cho biết có kênh khiếu nại bảo mật cũng không cảm thấy an toàn hơn khi phản ánh. Kết quả này phù hợp với quan điểm rằng chính sách có thể tách rời khỏi thực hành (Edelman, 1992; Meyer và Rowan, 1977). Nó cũng phù hợp với kết quả phân tích gộp rằng các quan hệ hỗ trợ và bầu không khí liên hệ mạnh hơn so với chính sách chính thức (Webster và cộng sự, 2018). Phát biểu có mức đồng ý thấp nhất là quản lý trực tiếp tôn trọng người LGBT (41,0%). Điều này cho thấy vai trò của người quản lý trong việc biến chính sách thành thực hành.</w:t>
      </w:r>
    </w:p>
    <w:p>
      <w:pPr>
        <w:pStyle w:val="BodyText"/>
      </w:pPr>
      <w:r>
        <w:rPr>
          <w:rFonts w:ascii="Times New Roman" w:hAnsi="Times New Roman" w:cs="Times New Roman" w:eastAsia="Times New Roman"/>
          <w:b/>
          <w:bCs/>
        </w:rPr>
        <w:t xml:space="preserve">Liên hệ giữa DEI, kỳ thị và triệu chứng chưa xác định.</w:t>
      </w:r>
      <w:r>
        <w:rPr>
          <w:rFonts w:ascii="Times New Roman" w:hAnsi="Times New Roman" w:cs="Times New Roman" w:eastAsia="Times New Roman"/>
        </w:rPr>
        <w:t xml:space="preserve"> </w:t>
      </w:r>
      <w:r>
        <w:rPr>
          <w:rFonts w:ascii="Times New Roman" w:hAnsi="Times New Roman" w:cs="Times New Roman" w:eastAsia="Times New Roman"/>
        </w:rPr>
        <w:t xml:space="preserve">Các phân tích thăm dò không cho thấy liên hệ rõ giữa chính sách DEI với mức kỳ thị hay với triệu chứng, và không cho thấy liên hệ giữa kỳ thị và triệu chứng yếu hơn ở nơi có nhiều chính sách hơn. Ba lý do khiến không thể coi đây là bằng chứng rằng chính sách DEI không có tác dụng. Thứ nhất, số người cho biết có từng chính sách rất nhỏ, nên các ước lượng thiếu chính xác. Thứ hai, chính sách được đo bằng hiểu biết của người lao động, không phải bằng hồ sơ của tổ chức. Thứ ba, thiết kế cắt ngang không cho biết chính sách có trước hay sau trải nghiệm kỳ thị. Kết quả vững hơn là liên hệ giữa kỳ thị và triệu chứng vẫn dương ở mọi mức chính sách được xem xét. Cùng với tỷ lệ các hình thức kỳ thị và nguồn gây kỳ thị, kết quả này gợi ý rằng chính sách cần nhắm vào chính các hành vi kỳ thị thường ngày, thay vì chỉ tồn tại trên giấy. Thiết kế hiện tại không kiểm định được nhận định này.</w:t>
      </w:r>
    </w:p>
    <w:bookmarkEnd w:id="28"/>
    <w:bookmarkStart w:id="29" w:name="hạn-chế"/>
    <w:p>
      <w:pPr>
        <w:pStyle w:val="Heading2"/>
      </w:pPr>
      <w:r>
        <w:rPr>
          <w:rFonts w:ascii="Times New Roman" w:hAnsi="Times New Roman" w:cs="Times New Roman" w:eastAsia="Times New Roman"/>
        </w:rPr>
        <w:t xml:space="preserve">4.7. Hạn chế</w:t>
      </w:r>
    </w:p>
    <w:p>
      <w:pPr>
        <w:pStyle w:val="FirstParagraph"/>
      </w:pPr>
      <w:r>
        <w:rPr>
          <w:rFonts w:ascii="Times New Roman" w:hAnsi="Times New Roman" w:cs="Times New Roman" w:eastAsia="Times New Roman"/>
        </w:rPr>
        <w:t xml:space="preserve">Nghiên cứu có một số hạn chế. Thứ nhất, thiết kế cắt ngang không cho phép xác định chiều của các liên hệ. Thứ hai, kỳ thị, chính sách và triệu chứng đều do cùng một người tự báo cáo trong một bảng hỏi. Phần kỳ thị nằm ngay trước thang PHQ-4, nên việc nhớ lại các sự kiện kỳ thị có thể làm tăng điểm triệu chứng tự đánh giá (Schwarz, 1999). Thứ ba, mẫu được tiếp cận bằng cách chọn mẫu thuận tiện và quả cầu tuyết, tập trung ở TP. Hồ Chí Minh, người có trình độ đại học và ngành giáo dục. Việc tham gia khảo sát có thể phụ thuộc cả vào trải nghiệm kỳ thị lẫn tình trạng tâm lý (Hernán và cộng sự, 2004). Không có thông tin về nơi làm việc để điều chỉnh việc nhiều người cùng một tổ chức, nên sai số chuẩn có thể bị đánh giá thấp. Thứ tư, chính sách DEI được đo bằng hiểu biết của người lao động, chỉ số thực thi có độ tin cậy vừa phải (α = 0,61), và các tình huống kỳ thị chưa được kiểm định chính thức. Thứ năm, Câu 20 chỉ cho biết người gây ảnh hưởng nghiêm trọng nhất, không cho biết tần suất kỳ thị từ từng nguồn. Thứ sáu, nhóm người chuyển giới và phi nhị nguyên quá nhỏ để phân tích riêng, trong khi các tình huống về thể hiện giới có thể ảnh hưởng đến họ nhiều nhất. Cuối cùng, toàn bộ phần DEI là phân tích thăm dò, được chốt sau khi một kết quả điều tiết đã được biết.</w:t>
      </w:r>
    </w:p>
    <w:bookmarkEnd w:id="29"/>
    <w:bookmarkEnd w:id="30"/>
    <w:bookmarkStart w:id="31" w:name="kết-luận-và-khuyến-nghị-chính-sách"/>
    <w:p>
      <w:pPr>
        <w:pStyle w:val="Heading1"/>
      </w:pPr>
      <w:r>
        <w:rPr>
          <w:rFonts w:ascii="Times New Roman" w:hAnsi="Times New Roman" w:cs="Times New Roman" w:eastAsia="Times New Roman"/>
        </w:rPr>
        <w:t xml:space="preserve">5. Kết luận và khuyến nghị chính sách</w:t>
      </w:r>
    </w:p>
    <w:p>
      <w:pPr>
        <w:pStyle w:val="FirstParagraph"/>
      </w:pPr>
      <w:r>
        <w:rPr>
          <w:rFonts w:ascii="Times New Roman" w:hAnsi="Times New Roman" w:cs="Times New Roman" w:eastAsia="Times New Roman"/>
        </w:rPr>
        <w:t xml:space="preserve">Nghiên cứu cho thấy hơn một nửa người lao động LGBT trong mẫu đã gặp kỳ thị tại nơi làm việc trong 12 tháng. Hình thức phổ biến nhất là câu hỏi riêng tư không mong muốn và lời đùa xúc phạm, và người gây ảnh hưởng nghiêm trọng nhất thường là đồng nghiệp và khách hàng. Chính sách DEI hiếm gặp, ít được biết đến và chưa đi cùng với cảm nhận rằng chính sách được thực thi. Liên hệ giữa chính sách DEI với mức kỳ thị và triệu chứng lo âu, trầm cảm chưa xác định, còn liên hệ giữa kỳ thị và triệu chứng vẫn dương ở mọi mức chính sách. Các hình thức kỳ thị phổ biến nhất nằm ngoài định nghĩa phân biệt đối xử của Bộ luật Lao động.</w:t>
      </w:r>
    </w:p>
    <w:p>
      <w:pPr>
        <w:pStyle w:val="BodyText"/>
      </w:pPr>
      <w:r>
        <w:rPr>
          <w:rFonts w:ascii="Times New Roman" w:hAnsi="Times New Roman" w:cs="Times New Roman" w:eastAsia="Times New Roman"/>
        </w:rPr>
        <w:t xml:space="preserve">Các khuyến nghị dưới đây dựa chủ yếu trên tần suất các hình thức kỳ thị, nguồn gây kỳ thị và khoảng trống pháp lý. Chúng không dựa trên bằng chứng rằng chính sách DEI làm giảm kỳ thị, vì nghiên cứu này không xác lập được điều đó.</w:t>
      </w:r>
    </w:p>
    <w:p>
      <w:pPr>
        <w:pStyle w:val="BodyText"/>
      </w:pPr>
      <w:r>
        <w:rPr>
          <w:rFonts w:ascii="Times New Roman" w:hAnsi="Times New Roman" w:cs="Times New Roman" w:eastAsia="Times New Roman"/>
          <w:b/>
          <w:bCs/>
        </w:rPr>
        <w:t xml:space="preserve">Thứ nhất, về pháp luật lao động.</w:t>
      </w:r>
      <w:r>
        <w:rPr>
          <w:rFonts w:ascii="Times New Roman" w:hAnsi="Times New Roman" w:cs="Times New Roman" w:eastAsia="Times New Roman"/>
        </w:rPr>
        <w:t xml:space="preserve"> </w:t>
      </w:r>
      <w:r>
        <w:rPr>
          <w:rFonts w:ascii="Times New Roman" w:hAnsi="Times New Roman" w:cs="Times New Roman" w:eastAsia="Times New Roman"/>
        </w:rPr>
        <w:t xml:space="preserve">Khi sửa đổi Bộ luật Lao động, cơ quan soạn thảo có thể cân nhắc bổ sung xu hướng tính dục và bản dạng giới vào danh mục căn cứ phân biệt đối xử tại khoản 8 Điều 3. Việc này cụ thể hóa nguyên tắc không ai bị phân biệt đối xử của Hiến pháp năm 2013 trong lĩnh vực lao động. Nó cũng giúp người lao động có căn cứ khiếu nại về các quyết định đào tạo, đánh giá, trả lương và phân công.</w:t>
      </w:r>
    </w:p>
    <w:p>
      <w:pPr>
        <w:pStyle w:val="BodyText"/>
      </w:pPr>
      <w:r>
        <w:rPr>
          <w:rFonts w:ascii="Times New Roman" w:hAnsi="Times New Roman" w:cs="Times New Roman" w:eastAsia="Times New Roman"/>
          <w:b/>
          <w:bCs/>
        </w:rPr>
        <w:t xml:space="preserve">Thứ hai, về nội quy lao động.</w:t>
      </w:r>
      <w:r>
        <w:rPr>
          <w:rFonts w:ascii="Times New Roman" w:hAnsi="Times New Roman" w:cs="Times New Roman" w:eastAsia="Times New Roman"/>
        </w:rPr>
        <w:t xml:space="preserve"> </w:t>
      </w:r>
      <w:r>
        <w:rPr>
          <w:rFonts w:ascii="Times New Roman" w:hAnsi="Times New Roman" w:cs="Times New Roman" w:eastAsia="Times New Roman"/>
        </w:rPr>
        <w:t xml:space="preserve">Pháp luật đã bắt buộc nội quy lao động có nội dung phòng, chống quấy rối tình dục, áp dụng với hành vi của bất kỳ người nào tại nơi làm việc. Cơ quan quản lý nhà nước về lao động có thể hướng dẫn mở rộng cơ chế này sang hành vi xúc phạm, quấy rối và xâm phạm đời tư dựa trên xu hướng tính dục, bản dạng giới. Cơ chế mở rộng nên áp dụng với cả đồng nghiệp và khách hàng, đối tác, vì đây là hai nguồn được nêu nhiều nhất. Nội quy nên nêu cụ thể các hành vi như hỏi về xu hướng tính dục hay chuyện hôn nhân khi người lao động không muốn chia sẻ, đùa cợt về xu hướng tính dục, và tiết lộ danh tính của người khác.</w:t>
      </w:r>
    </w:p>
    <w:p>
      <w:pPr>
        <w:pStyle w:val="BodyText"/>
      </w:pPr>
      <w:r>
        <w:rPr>
          <w:rFonts w:ascii="Times New Roman" w:hAnsi="Times New Roman" w:cs="Times New Roman" w:eastAsia="Times New Roman"/>
          <w:b/>
          <w:bCs/>
        </w:rPr>
        <w:t xml:space="preserve">Thứ ba, về bảo vệ thông tin.</w:t>
      </w:r>
      <w:r>
        <w:rPr>
          <w:rFonts w:ascii="Times New Roman" w:hAnsi="Times New Roman" w:cs="Times New Roman" w:eastAsia="Times New Roman"/>
        </w:rPr>
        <w:t xml:space="preserve"> </w:t>
      </w:r>
      <w:r>
        <w:rPr>
          <w:rFonts w:ascii="Times New Roman" w:hAnsi="Times New Roman" w:cs="Times New Roman" w:eastAsia="Times New Roman"/>
        </w:rPr>
        <w:t xml:space="preserve">Thông tin về xu hướng tính dục và bản dạng giới của người lao động cần được xử lý như dữ liệu cá nhân nhạy cảm theo Luật Bảo vệ dữ liệu cá nhân và Nghị định 356/2025/NĐ-CP. Các tổ chức nên có quy định nội bộ cấm tiết lộ thông tin này khi chưa được đồng ý. Kênh khiếu nại cần bảo mật danh tính người phản ánh, vì một phản ánh về kỳ thị thường buộc người lao động tiết lộ chính thông tin nhạy cảm đó.</w:t>
      </w:r>
    </w:p>
    <w:p>
      <w:pPr>
        <w:pStyle w:val="BodyText"/>
      </w:pPr>
      <w:r>
        <w:rPr>
          <w:rFonts w:ascii="Times New Roman" w:hAnsi="Times New Roman" w:cs="Times New Roman" w:eastAsia="Times New Roman"/>
          <w:b/>
          <w:bCs/>
        </w:rPr>
        <w:t xml:space="preserve">Thứ tư, đối với người sử dụng lao động.</w:t>
      </w:r>
      <w:r>
        <w:rPr>
          <w:rFonts w:ascii="Times New Roman" w:hAnsi="Times New Roman" w:cs="Times New Roman" w:eastAsia="Times New Roman"/>
        </w:rPr>
        <w:t xml:space="preserve"> </w:t>
      </w:r>
      <w:r>
        <w:rPr>
          <w:rFonts w:ascii="Times New Roman" w:hAnsi="Times New Roman" w:cs="Times New Roman" w:eastAsia="Times New Roman"/>
        </w:rPr>
        <w:t xml:space="preserve">Tổ chức không cần chờ pháp luật thay đổi để hành động. Trước hết, các chính sách hiện có cần được phổ biến rõ, vì khoảng một phần tư người lao động không biết nơi làm việc có từng chính sách hay không. Đào tạo nên hướng vào các hành vi giao tiếp thường ngày giữa đồng nghiệp, và vào vai trò của người quản lý trực tiếp, vì đây là phát biểu có mức đồng ý thấp nhất. Kinh nghiệm quốc tế cho thấy giao trách nhiệm cụ thể cho một người hoặc một bộ phận có hiệu quả hơn so với các chương trình đào tạo nhằm thay đổi thái độ (Kalev và cộng sự, 2006). Khu vực nhà nước, nơi có ít chính sách nhất trong mẫu, có thể lồng ghép các nội dung này vào quy tắc ứng xử hiện có. Khi triển khai, tổ chức nên đánh giá xem chính sách có làm giảm các hành vi kỳ thị hay không.</w:t>
      </w:r>
    </w:p>
    <w:p>
      <w:pPr>
        <w:pStyle w:val="BodyText"/>
      </w:pPr>
      <w:r>
        <w:rPr>
          <w:rFonts w:ascii="Times New Roman" w:hAnsi="Times New Roman" w:cs="Times New Roman" w:eastAsia="Times New Roman"/>
          <w:b/>
          <w:bCs/>
        </w:rPr>
        <w:t xml:space="preserve">Thứ năm, đối với ngành y tế và các chương trình sức khỏe tâm thần.</w:t>
      </w:r>
      <w:r>
        <w:rPr>
          <w:rFonts w:ascii="Times New Roman" w:hAnsi="Times New Roman" w:cs="Times New Roman" w:eastAsia="Times New Roman"/>
        </w:rPr>
        <w:t xml:space="preserve"> </w:t>
      </w:r>
      <w:r>
        <w:rPr>
          <w:rFonts w:ascii="Times New Roman" w:hAnsi="Times New Roman" w:cs="Times New Roman" w:eastAsia="Times New Roman"/>
        </w:rPr>
        <w:t xml:space="preserve">Kết quả phù hợp với quan điểm của Bộ Y tế (2022) rằng xu hướng tính dục và bản dạng giới không phải là bệnh. Các chương trình chăm sóc sức khỏe tâm thần tại nơi làm việc nên chú ý đến các tác nhân kỳ thị mà người lao động LGBT gặp phải, thay vì coi bản dạng LGBT là yếu tố nguy cơ.</w:t>
      </w:r>
    </w:p>
    <w:p>
      <w:pPr>
        <w:pStyle w:val="BodyText"/>
      </w:pPr>
      <w:r>
        <w:rPr>
          <w:rFonts w:ascii="Times New Roman" w:hAnsi="Times New Roman" w:cs="Times New Roman" w:eastAsia="Times New Roman"/>
          <w:b/>
          <w:bCs/>
        </w:rPr>
        <w:t xml:space="preserve">Hướng nghiên cứu tiếp theo.</w:t>
      </w:r>
      <w:r>
        <w:rPr>
          <w:rFonts w:ascii="Times New Roman" w:hAnsi="Times New Roman" w:cs="Times New Roman" w:eastAsia="Times New Roman"/>
        </w:rPr>
        <w:t xml:space="preserve"> </w:t>
      </w:r>
      <w:r>
        <w:rPr>
          <w:rFonts w:ascii="Times New Roman" w:hAnsi="Times New Roman" w:cs="Times New Roman" w:eastAsia="Times New Roman"/>
        </w:rPr>
        <w:t xml:space="preserve">Nghiên cứu sau cần dữ liệu lặp lại theo thời gian để xem xét trình tự giữa chính sách, kỳ thị và triệu chứng. Dữ liệu về chính sách nên lấy từ hồ sơ của tổ chức, kết hợp với khảo sát người lao động trong cùng tổ chức. Mẫu cần đủ lớn ở các nơi có chính sách, và cần tiếp cận có chủ đích người lao động chuyển giới và phi nhị nguyên. Các nghiên cứu định tính có thể làm rõ vì sao câu hỏi về đời sống riêng tư lại phổ biến đến vậy tại nơi làm việc, và người lao động LGBT ứng phó với chúng ra sao.</w:t>
      </w:r>
    </w:p>
    <w:bookmarkEnd w:id="31"/>
    <w:bookmarkStart w:id="32" w:name="phụ-lục"/>
    <w:p>
      <w:pPr>
        <w:pStyle w:val="Heading1"/>
      </w:pPr>
      <w:r>
        <w:rPr>
          <w:rFonts w:ascii="Times New Roman" w:hAnsi="Times New Roman" w:cs="Times New Roman" w:eastAsia="Times New Roman"/>
        </w:rPr>
        <w:t xml:space="preserve">Phụ lục</w:t>
      </w:r>
    </w:p>
    <w:p>
      <w:pPr>
        <w:pStyle w:val="TableCaption"/>
      </w:pPr>
      <w:r>
        <w:rPr>
          <w:rFonts w:ascii="Times New Roman" w:hAnsi="Times New Roman" w:cs="Times New Roman" w:eastAsia="Times New Roman"/>
          <w:b/>
          <w:bCs/>
        </w:rPr>
        <w:t xml:space="preserve">Bảng PL1. Phân tích độ nhạy của các mô hình về số chính sách và chỉ số thực thi</w:t>
      </w:r>
    </w:p>
    <w:tbl>
      <w:tblPr>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266"/>
        <w:gridCol w:w="635"/>
        <w:gridCol w:w="1724"/>
        <w:gridCol w:w="1724"/>
        <w:gridCol w:w="1724"/>
      </w:tblGrid>
      <w:tr>
        <w:trPr>
          <w:tblHeader w:val="on"/>
          <w:cantSplit/>
        </w:trPr>
        <w:tc>
          <w:tcPr>
            <w:tcW w:w="3266" w:type="dxa"/>
          </w:tcPr>
          <w:p>
            <w:pPr>
              <w:pStyle w:val="Compact"/>
              <w:keepNext w:val="0"/>
              <w:spacing w:before="20" w:after="20" w:line="240" w:lineRule="auto"/>
              <w:ind w:firstLine="0" w:left="0"/>
              <w:jc w:val="center"/>
            </w:pPr>
            <w:r>
              <w:rPr>
                <w:rFonts w:ascii="Times New Roman" w:hAnsi="Times New Roman"/>
                <w:b/>
                <w:sz w:val="22"/>
              </w:rPr>
              <w:t xml:space="preserve">Phân tích</w:t>
            </w:r>
          </w:p>
        </w:tc>
        <w:tc>
          <w:tcPr>
            <w:tcW w:w="635" w:type="dxa"/>
          </w:tcPr>
          <w:p>
            <w:pPr>
              <w:pStyle w:val="Compact"/>
              <w:keepNext w:val="0"/>
              <w:spacing w:before="20" w:after="20" w:line="240" w:lineRule="auto"/>
              <w:ind w:firstLine="0" w:left="0"/>
              <w:jc w:val="center"/>
            </w:pPr>
            <w:r>
              <w:rPr>
                <w:rFonts w:ascii="Times New Roman" w:hAnsi="Times New Roman"/>
                <w:b/>
                <w:sz w:val="22"/>
              </w:rPr>
              <w:t xml:space="preserve">n</w:t>
            </w:r>
          </w:p>
        </w:tc>
        <w:tc>
          <w:tcPr>
            <w:tcW w:w="1724" w:type="dxa"/>
          </w:tcPr>
          <w:p>
            <w:pPr>
              <w:pStyle w:val="Compact"/>
              <w:keepNext w:val="0"/>
              <w:spacing w:before="20" w:after="20" w:line="240" w:lineRule="auto"/>
              <w:ind w:firstLine="0" w:left="0"/>
              <w:jc w:val="center"/>
            </w:pPr>
            <w:r>
              <w:rPr>
                <w:rFonts w:ascii="Times New Roman" w:hAnsi="Times New Roman"/>
                <w:b/>
                <w:sz w:val="22"/>
              </w:rPr>
              <w:t xml:space="preserve">Họ A: S</w:t>
            </w:r>
          </w:p>
        </w:tc>
        <w:tc>
          <w:tcPr>
            <w:tcW w:w="1724" w:type="dxa"/>
          </w:tcPr>
          <w:p>
            <w:pPr>
              <w:pStyle w:val="Compact"/>
              <w:keepNext w:val="0"/>
              <w:spacing w:before="20" w:after="20" w:line="240" w:lineRule="auto"/>
              <w:ind w:firstLine="0" w:left="0"/>
              <w:jc w:val="center"/>
            </w:pPr>
            <w:r>
              <w:rPr>
                <w:rFonts w:ascii="Times New Roman" w:hAnsi="Times New Roman"/>
                <w:b/>
                <w:sz w:val="22"/>
              </w:rPr>
              <w:t xml:space="preserve">Họ B: PHQ-4</w:t>
            </w:r>
          </w:p>
        </w:tc>
        <w:tc>
          <w:tcPr>
            <w:tcW w:w="1724" w:type="dxa"/>
          </w:tcPr>
          <w:p>
            <w:pPr>
              <w:pStyle w:val="Compact"/>
              <w:keepNext w:val="0"/>
              <w:spacing w:before="20" w:after="20" w:line="240" w:lineRule="auto"/>
              <w:ind w:firstLine="0" w:left="0"/>
              <w:jc w:val="center"/>
            </w:pPr>
            <w:r>
              <w:rPr>
                <w:rFonts w:ascii="Times New Roman" w:hAnsi="Times New Roman"/>
                <w:b/>
                <w:sz w:val="22"/>
              </w:rPr>
              <w:t xml:space="preserve">Họ C: S × số chính sách</w:t>
            </w:r>
          </w:p>
        </w:tc>
      </w:tr>
      <w:tr>
        <w:trPr>
          <w:cantSplit/>
        </w:trPr>
        <w:tc>
          <w:tcPr>
            <w:tcW w:w="9073" w:type="dxa"/>
            <w:gridSpan w:val="5"/>
          </w:tcPr>
          <w:p>
            <w:pPr>
              <w:pStyle w:val="Compact"/>
              <w:spacing w:before="20" w:after="20" w:line="240" w:lineRule="auto"/>
              <w:ind w:firstLine="0"/>
              <w:jc w:val="left"/>
            </w:pPr>
            <w:r>
              <w:rPr>
                <w:rFonts w:ascii="Times New Roman" w:hAnsi="Times New Roman"/>
                <w:b/>
                <w:bCs/>
                <w:sz w:val="22"/>
              </w:rPr>
              <w:t xml:space="preserve">Số chính sách có</w:t>
            </w:r>
          </w:p>
        </w:tc>
      </w:tr>
      <w:tr>
        <w:trPr>
          <w:cantSplit/>
        </w:trPr>
        <w:tc>
          <w:tcPr>
            <w:tcW w:w="3266" w:type="dxa"/>
          </w:tcPr>
          <w:p>
            <w:pPr>
              <w:pStyle w:val="Compact"/>
              <w:keepNext w:val="0"/>
              <w:spacing w:before="20" w:after="20" w:line="240" w:lineRule="auto"/>
              <w:ind w:firstLine="0" w:left="0"/>
              <w:jc w:val="left"/>
            </w:pPr>
            <w:r>
              <w:rPr>
                <w:rFonts w:ascii="Times New Roman" w:hAnsi="Times New Roman"/>
                <w:sz w:val="22"/>
              </w:rPr>
              <w:t xml:space="preserve">Mô hình chính (điều chỉnh số câu</w:t>
            </w:r>
            <w:r>
              <w:rPr>
                <w:rFonts w:ascii="Times New Roman" w:hAnsi="Times New Roman"/>
                <w:sz w:val="22"/>
              </w:rPr>
              <w:t xml:space="preserve"> </w:t>
            </w:r>
            <w:r>
              <w:rPr>
                <w:rFonts w:ascii="Times New Roman" w:hAnsi="Times New Roman"/>
                <w:sz w:val="22"/>
              </w:rPr>
              <w:t xml:space="preserve">“không biết”</w:t>
            </w:r>
            <w:r>
              <w:rPr>
                <w:rFonts w:ascii="Times New Roman" w:hAnsi="Times New Roman"/>
                <w:sz w:val="22"/>
              </w:rPr>
              <w:t xml:space="preserve">)</w:t>
            </w:r>
          </w:p>
        </w:tc>
        <w:tc>
          <w:tcPr>
            <w:tcW w:w="635" w:type="dxa"/>
          </w:tcPr>
          <w:p>
            <w:pPr>
              <w:pStyle w:val="Compact"/>
              <w:keepNext w:val="0"/>
              <w:spacing w:before="20" w:after="20" w:line="240" w:lineRule="auto"/>
              <w:ind w:firstLine="0" w:left="0"/>
              <w:jc w:val="center"/>
            </w:pPr>
            <w:r>
              <w:rPr>
                <w:rFonts w:ascii="Times New Roman" w:hAnsi="Times New Roman"/>
                <w:sz w:val="22"/>
              </w:rPr>
              <w:t xml:space="preserve">176</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0,04 [−0,08; 0,16]</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0,02 [−0,73; 0,76]</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0,18 [−1,54; 1,90]</w:t>
            </w:r>
          </w:p>
        </w:tc>
      </w:tr>
      <w:tr>
        <w:trPr>
          <w:cantSplit/>
        </w:trPr>
        <w:tc>
          <w:tcPr>
            <w:tcW w:w="3266" w:type="dxa"/>
          </w:tcPr>
          <w:p>
            <w:pPr>
              <w:pStyle w:val="Compact"/>
              <w:keepNext w:val="0"/>
              <w:spacing w:before="20" w:after="20" w:line="240" w:lineRule="auto"/>
              <w:ind w:firstLine="0" w:left="0"/>
              <w:jc w:val="left"/>
            </w:pPr>
            <w:r>
              <w:rPr>
                <w:rFonts w:ascii="Times New Roman" w:hAnsi="Times New Roman"/>
                <w:sz w:val="22"/>
              </w:rPr>
              <w:t xml:space="preserve">Cận dưới (</w:t>
            </w:r>
            <w:r>
              <w:rPr>
                <w:rFonts w:ascii="Times New Roman" w:hAnsi="Times New Roman"/>
                <w:sz w:val="22"/>
              </w:rPr>
              <w:t xml:space="preserve">“không biết”</w:t>
            </w:r>
            <w:r>
              <w:rPr>
                <w:rFonts w:ascii="Times New Roman" w:hAnsi="Times New Roman"/>
                <w:sz w:val="22"/>
              </w:rPr>
              <w:t xml:space="preserve"> </w:t>
            </w:r>
            <w:r>
              <w:rPr>
                <w:rFonts w:ascii="Times New Roman" w:hAnsi="Times New Roman"/>
                <w:sz w:val="22"/>
              </w:rPr>
              <w:t xml:space="preserve">là không)</w:t>
            </w:r>
          </w:p>
        </w:tc>
        <w:tc>
          <w:tcPr>
            <w:tcW w:w="635" w:type="dxa"/>
          </w:tcPr>
          <w:p>
            <w:pPr>
              <w:pStyle w:val="Compact"/>
              <w:keepNext w:val="0"/>
              <w:spacing w:before="20" w:after="20" w:line="240" w:lineRule="auto"/>
              <w:ind w:firstLine="0" w:left="0"/>
              <w:jc w:val="center"/>
            </w:pPr>
            <w:r>
              <w:rPr>
                <w:rFonts w:ascii="Times New Roman" w:hAnsi="Times New Roman"/>
                <w:sz w:val="22"/>
              </w:rPr>
              <w:t xml:space="preserve">176</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0,08 [−0,04; 0,19]</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0,01 [−0,69; 0,70]</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0,28 [−1,47; 2,02]</w:t>
            </w:r>
          </w:p>
        </w:tc>
      </w:tr>
      <w:tr>
        <w:trPr>
          <w:cantSplit/>
        </w:trPr>
        <w:tc>
          <w:tcPr>
            <w:tcW w:w="3266" w:type="dxa"/>
          </w:tcPr>
          <w:p>
            <w:pPr>
              <w:pStyle w:val="Compact"/>
              <w:keepNext w:val="0"/>
              <w:spacing w:before="20" w:after="20" w:line="240" w:lineRule="auto"/>
              <w:ind w:firstLine="0" w:left="0"/>
              <w:jc w:val="left"/>
            </w:pPr>
            <w:r>
              <w:rPr>
                <w:rFonts w:ascii="Times New Roman" w:hAnsi="Times New Roman"/>
                <w:sz w:val="22"/>
              </w:rPr>
              <w:t xml:space="preserve">Cận trên (</w:t>
            </w:r>
            <w:r>
              <w:rPr>
                <w:rFonts w:ascii="Times New Roman" w:hAnsi="Times New Roman"/>
                <w:sz w:val="22"/>
              </w:rPr>
              <w:t xml:space="preserve">“không biết”</w:t>
            </w:r>
            <w:r>
              <w:rPr>
                <w:rFonts w:ascii="Times New Roman" w:hAnsi="Times New Roman"/>
                <w:sz w:val="22"/>
              </w:rPr>
              <w:t xml:space="preserve"> </w:t>
            </w:r>
            <w:r>
              <w:rPr>
                <w:rFonts w:ascii="Times New Roman" w:hAnsi="Times New Roman"/>
                <w:sz w:val="22"/>
              </w:rPr>
              <w:t xml:space="preserve">là có)</w:t>
            </w:r>
          </w:p>
        </w:tc>
        <w:tc>
          <w:tcPr>
            <w:tcW w:w="635" w:type="dxa"/>
          </w:tcPr>
          <w:p>
            <w:pPr>
              <w:pStyle w:val="Compact"/>
              <w:keepNext w:val="0"/>
              <w:spacing w:before="20" w:after="20" w:line="240" w:lineRule="auto"/>
              <w:ind w:firstLine="0" w:left="0"/>
              <w:jc w:val="center"/>
            </w:pPr>
            <w:r>
              <w:rPr>
                <w:rFonts w:ascii="Times New Roman" w:hAnsi="Times New Roman"/>
                <w:sz w:val="22"/>
              </w:rPr>
              <w:t xml:space="preserve">176</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−0,06 [−0,13; 0,02]</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0,02 [−0,53; 0,57]</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0,62 [−0,79; 2,03]</w:t>
            </w:r>
          </w:p>
        </w:tc>
      </w:tr>
      <w:tr>
        <w:trPr>
          <w:cantSplit/>
        </w:trPr>
        <w:tc>
          <w:tcPr>
            <w:tcW w:w="3266" w:type="dxa"/>
          </w:tcPr>
          <w:p>
            <w:pPr>
              <w:pStyle w:val="Compact"/>
              <w:keepNext w:val="0"/>
              <w:spacing w:before="20" w:after="20" w:line="240" w:lineRule="auto"/>
              <w:ind w:firstLine="0" w:left="0"/>
              <w:jc w:val="left"/>
            </w:pPr>
            <w:r>
              <w:rPr>
                <w:rFonts w:ascii="Times New Roman" w:hAnsi="Times New Roman"/>
                <w:sz w:val="22"/>
              </w:rPr>
              <w:t xml:space="preserve">Chỉ người không có câu</w:t>
            </w:r>
            <w:r>
              <w:rPr>
                <w:rFonts w:ascii="Times New Roman" w:hAnsi="Times New Roman"/>
                <w:sz w:val="22"/>
              </w:rPr>
              <w:t xml:space="preserve"> </w:t>
            </w:r>
            <w:r>
              <w:rPr>
                <w:rFonts w:ascii="Times New Roman" w:hAnsi="Times New Roman"/>
                <w:sz w:val="22"/>
              </w:rPr>
              <w:t xml:space="preserve">“không biết”</w:t>
            </w:r>
            <w:r>
              <w:rPr>
                <w:rFonts w:ascii="Times New Roman" w:hAnsi="Times New Roman"/>
                <w:sz w:val="22"/>
              </w:rPr>
              <w:t xml:space="preserve"> </w:t>
            </w:r>
            <w:r>
              <w:rPr>
                <w:rFonts w:ascii="Times New Roman" w:hAnsi="Times New Roman"/>
                <w:sz w:val="22"/>
              </w:rPr>
              <w:t xml:space="preserve">nào</w:t>
            </w:r>
          </w:p>
        </w:tc>
        <w:tc>
          <w:tcPr>
            <w:tcW w:w="635" w:type="dxa"/>
          </w:tcPr>
          <w:p>
            <w:pPr>
              <w:pStyle w:val="Compact"/>
              <w:keepNext w:val="0"/>
              <w:spacing w:before="20" w:after="20" w:line="240" w:lineRule="auto"/>
              <w:ind w:firstLine="0" w:left="0"/>
              <w:jc w:val="center"/>
            </w:pPr>
            <w:r>
              <w:rPr>
                <w:rFonts w:ascii="Times New Roman" w:hAnsi="Times New Roman"/>
                <w:sz w:val="22"/>
              </w:rPr>
              <w:t xml:space="preserve">43</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−0,06 [−0,86; 0,75]</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−0,83 [−6,09; 4,43]</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1,06 [−12,26; 14,38]</w:t>
            </w:r>
          </w:p>
        </w:tc>
      </w:tr>
      <w:tr>
        <w:trPr>
          <w:cantSplit/>
        </w:trPr>
        <w:tc>
          <w:tcPr>
            <w:tcW w:w="3266" w:type="dxa"/>
          </w:tcPr>
          <w:p>
            <w:pPr>
              <w:pStyle w:val="Compact"/>
              <w:keepNext w:val="0"/>
              <w:spacing w:before="20" w:after="20" w:line="240" w:lineRule="auto"/>
              <w:ind w:firstLine="0" w:left="0"/>
              <w:jc w:val="left"/>
            </w:pPr>
            <w:r>
              <w:rPr>
                <w:rFonts w:ascii="Times New Roman" w:hAnsi="Times New Roman"/>
                <w:sz w:val="22"/>
              </w:rPr>
              <w:t xml:space="preserve">Mẫu DEI toàn bộ (gồm tự doanh, freelancer)</w:t>
            </w:r>
          </w:p>
        </w:tc>
        <w:tc>
          <w:tcPr>
            <w:tcW w:w="635" w:type="dxa"/>
          </w:tcPr>
          <w:p>
            <w:pPr>
              <w:pStyle w:val="Compact"/>
              <w:keepNext w:val="0"/>
              <w:spacing w:before="20" w:after="20" w:line="240" w:lineRule="auto"/>
              <w:ind w:firstLine="0" w:left="0"/>
              <w:jc w:val="center"/>
            </w:pPr>
            <w:r>
              <w:rPr>
                <w:rFonts w:ascii="Times New Roman" w:hAnsi="Times New Roman"/>
                <w:sz w:val="22"/>
              </w:rPr>
              <w:t xml:space="preserve">218</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0,05 [−0,05; 0,15]</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−0,04 [−0,70; 0,62]</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0,14 [−1,48; 1,76]</w:t>
            </w:r>
          </w:p>
        </w:tc>
      </w:tr>
      <w:tr>
        <w:trPr>
          <w:cantSplit/>
        </w:trPr>
        <w:tc>
          <w:tcPr>
            <w:tcW w:w="9073" w:type="dxa"/>
            <w:gridSpan w:val="5"/>
          </w:tcPr>
          <w:p>
            <w:pPr>
              <w:pStyle w:val="Compact"/>
              <w:spacing w:before="20" w:after="20" w:line="240" w:lineRule="auto"/>
              <w:ind w:firstLine="0"/>
              <w:jc w:val="left"/>
            </w:pPr>
            <w:r>
              <w:rPr>
                <w:rFonts w:ascii="Times New Roman" w:hAnsi="Times New Roman"/>
                <w:b/>
                <w:bCs/>
                <w:sz w:val="22"/>
              </w:rPr>
              <w:t xml:space="preserve">Chỉ số thực thi Q</w:t>
            </w:r>
          </w:p>
        </w:tc>
      </w:tr>
      <w:tr>
        <w:trPr>
          <w:cantSplit/>
        </w:trPr>
        <w:tc>
          <w:tcPr>
            <w:tcW w:w="3266" w:type="dxa"/>
          </w:tcPr>
          <w:p>
            <w:pPr>
              <w:pStyle w:val="Compact"/>
              <w:keepNext w:val="0"/>
              <w:spacing w:before="20" w:after="20" w:line="240" w:lineRule="auto"/>
              <w:ind w:firstLine="0" w:left="0"/>
              <w:jc w:val="left"/>
            </w:pPr>
            <w:r>
              <w:rPr>
                <w:rFonts w:ascii="Times New Roman" w:hAnsi="Times New Roman"/>
                <w:sz w:val="22"/>
              </w:rPr>
              <w:t xml:space="preserve">Mô hình chính</w:t>
            </w:r>
          </w:p>
        </w:tc>
        <w:tc>
          <w:tcPr>
            <w:tcW w:w="635" w:type="dxa"/>
          </w:tcPr>
          <w:p>
            <w:pPr>
              <w:pStyle w:val="Compact"/>
              <w:keepNext w:val="0"/>
              <w:spacing w:before="20" w:after="20" w:line="240" w:lineRule="auto"/>
              <w:ind w:firstLine="0" w:left="0"/>
              <w:jc w:val="center"/>
            </w:pPr>
            <w:r>
              <w:rPr>
                <w:rFonts w:ascii="Times New Roman" w:hAnsi="Times New Roman"/>
                <w:sz w:val="22"/>
              </w:rPr>
              <w:t xml:space="preserve">176</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0,04 [−0,05; 0,13]</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−0,62 [−1,32; 0,09]</w:t>
            </w:r>
          </w:p>
        </w:tc>
        <w:tc>
          <w:tcPr>
            <w:tcW w:w="1724" w:type="dxa"/>
          </w:tcPr>
          <w:p>
            <w:pPr>
              <w:pStyle w:val="Compact"/>
              <w:keepNext w:val="0"/>
              <w:spacing w:before="20" w:after="20" w:line="240" w:lineRule="auto"/>
              <w:ind w:firstLine="0" w:left="0"/>
              <w:jc w:val="center"/>
            </w:pPr>
          </w:p>
        </w:tc>
      </w:tr>
      <w:tr>
        <w:trPr>
          <w:cantSplit/>
        </w:trPr>
        <w:tc>
          <w:tcPr>
            <w:tcW w:w="3266" w:type="dxa"/>
          </w:tcPr>
          <w:p>
            <w:pPr>
              <w:pStyle w:val="Compact"/>
              <w:keepNext w:val="0"/>
              <w:spacing w:before="20" w:after="20" w:line="240" w:lineRule="auto"/>
              <w:ind w:firstLine="0" w:left="0"/>
              <w:jc w:val="left"/>
            </w:pPr>
            <w:r>
              <w:rPr>
                <w:rFonts w:ascii="Times New Roman" w:hAnsi="Times New Roman"/>
                <w:sz w:val="22"/>
              </w:rPr>
              <w:t xml:space="preserve">Mẫu DEI toàn bộ</w:t>
            </w:r>
          </w:p>
        </w:tc>
        <w:tc>
          <w:tcPr>
            <w:tcW w:w="635" w:type="dxa"/>
          </w:tcPr>
          <w:p>
            <w:pPr>
              <w:pStyle w:val="Compact"/>
              <w:keepNext w:val="0"/>
              <w:spacing w:before="20" w:after="20" w:line="240" w:lineRule="auto"/>
              <w:ind w:firstLine="0" w:left="0"/>
              <w:jc w:val="center"/>
            </w:pPr>
            <w:r>
              <w:rPr>
                <w:rFonts w:ascii="Times New Roman" w:hAnsi="Times New Roman"/>
                <w:sz w:val="22"/>
              </w:rPr>
              <w:t xml:space="preserve">218</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0,04 [−0,04; 0,12]</w:t>
            </w:r>
          </w:p>
        </w:tc>
        <w:tc>
          <w:tcPr>
            <w:tcW w:w="1724" w:type="dxa"/>
          </w:tcPr>
          <w:p>
            <w:pPr>
              <w:pStyle w:val="Compact"/>
              <w:keepNext w:val="0"/>
              <w:spacing w:before="20" w:after="20" w:line="240" w:lineRule="auto"/>
              <w:ind w:firstLine="0" w:left="0"/>
              <w:jc w:val="center"/>
            </w:pPr>
            <w:r>
              <w:rPr>
                <w:rFonts w:ascii="Times New Roman" w:hAnsi="Times New Roman"/>
                <w:sz w:val="22"/>
              </w:rPr>
              <w:t xml:space="preserve">−0,38 [−0,99; 0,22]</w:t>
            </w:r>
          </w:p>
        </w:tc>
        <w:tc>
          <w:tcPr>
            <w:tcW w:w="1724" w:type="dxa"/>
          </w:tcPr>
          <w:p>
            <w:pPr>
              <w:pStyle w:val="Compact"/>
              <w:keepNext w:val="0"/>
              <w:spacing w:before="20" w:after="20" w:line="240" w:lineRule="auto"/>
              <w:ind w:firstLine="0" w:left="0"/>
              <w:jc w:val="center"/>
            </w:pPr>
          </w:p>
        </w:tc>
      </w:tr>
      <w:tr>
        <w:trPr>
          <w:cantSplit/>
        </w:trPr>
        <w:tc>
          <w:tcPr>
            <w:tcW w:w="3266" w:type="dxa"/>
          </w:tcPr>
          <w:p>
            <w:pPr>
              <w:pStyle w:val="Compact"/>
              <w:keepNext/>
              <w:spacing w:before="20" w:after="20" w:line="240" w:lineRule="auto"/>
              <w:ind w:firstLine="0" w:left="0"/>
              <w:jc w:val="left"/>
            </w:pPr>
            <w:r>
              <w:rPr>
                <w:rFonts w:ascii="Times New Roman" w:hAnsi="Times New Roman"/>
                <w:sz w:val="22"/>
              </w:rPr>
              <w:t xml:space="preserve">S × Q trên mẫu DEI, cùng biến kiểm soát của mô hình DEI</w:t>
            </w:r>
          </w:p>
        </w:tc>
        <w:tc>
          <w:tcPr>
            <w:tcW w:w="635" w:type="dxa"/>
          </w:tcPr>
          <w:p>
            <w:pPr>
              <w:pStyle w:val="Compact"/>
              <w:keepNext/>
              <w:spacing w:before="20" w:after="20" w:line="240" w:lineRule="auto"/>
              <w:ind w:firstLine="0" w:left="0"/>
              <w:jc w:val="center"/>
            </w:pPr>
            <w:r>
              <w:rPr>
                <w:rFonts w:ascii="Times New Roman" w:hAnsi="Times New Roman"/>
                <w:sz w:val="22"/>
              </w:rPr>
              <w:t xml:space="preserve">176</w:t>
            </w:r>
          </w:p>
        </w:tc>
        <w:tc>
          <w:tcPr>
            <w:tcW w:w="1724" w:type="dxa"/>
          </w:tcPr>
          <w:p>
            <w:pPr>
              <w:pStyle w:val="Compact"/>
              <w:keepNext/>
              <w:spacing w:before="20" w:after="20" w:line="240" w:lineRule="auto"/>
              <w:ind w:firstLine="0" w:left="0"/>
              <w:jc w:val="center"/>
            </w:pPr>
          </w:p>
        </w:tc>
        <w:tc>
          <w:tcPr>
            <w:tcW w:w="1724" w:type="dxa"/>
          </w:tcPr>
          <w:p>
            <w:pPr>
              <w:pStyle w:val="Compact"/>
              <w:keepNext/>
              <w:spacing w:before="20" w:after="20" w:line="240" w:lineRule="auto"/>
              <w:ind w:firstLine="0" w:left="0"/>
              <w:jc w:val="center"/>
            </w:pPr>
          </w:p>
        </w:tc>
        <w:tc>
          <w:tcPr>
            <w:tcW w:w="1724" w:type="dxa"/>
          </w:tcPr>
          <w:p>
            <w:pPr>
              <w:pStyle w:val="Compact"/>
              <w:keepNext/>
              <w:spacing w:before="20" w:after="20" w:line="240" w:lineRule="auto"/>
              <w:ind w:firstLine="0" w:left="0"/>
              <w:jc w:val="center"/>
            </w:pPr>
            <w:r>
              <w:rPr>
                <w:rFonts w:ascii="Times New Roman" w:hAnsi="Times New Roman"/>
                <w:sz w:val="22"/>
              </w:rPr>
              <w:t xml:space="preserve">−1,61 [−3,84; 0,61]</w:t>
            </w:r>
            <w:r>
              <w:rPr>
                <w:rFonts w:ascii="Times New Roman" w:hAnsi="Times New Roman"/>
                <w:sz w:val="22"/>
                <w:vertAlign w:val="superscript"/>
              </w:rPr>
              <w:t xml:space="preserve">a</w:t>
            </w:r>
          </w:p>
        </w:tc>
      </w:tr>
    </w:tbl>
    <w:p>
      <w:pPr>
        <w:pStyle w:val="TableNote"/>
      </w:pPr>
      <w:r>
        <w:rPr>
          <w:rFonts w:ascii="Times New Roman" w:hAnsi="Times New Roman" w:cs="Times New Roman" w:eastAsia="Times New Roman"/>
          <w:i/>
          <w:iCs/>
        </w:rPr>
        <w:t xml:space="preserve">Ghi chú:</w:t>
      </w:r>
      <w:r>
        <w:rPr>
          <w:rFonts w:ascii="Times New Roman" w:hAnsi="Times New Roman" w:cs="Times New Roman" w:eastAsia="Times New Roman"/>
        </w:rPr>
        <w:t xml:space="preserve"> </w:t>
      </w:r>
      <w:r>
        <w:rPr>
          <w:rFonts w:ascii="Times New Roman" w:hAnsi="Times New Roman" w:cs="Times New Roman" w:eastAsia="Times New Roman"/>
        </w:rPr>
        <w:t xml:space="preserve">Giá trị là hệ số [KTC 95%]. Hồi quy OLS với sai số chuẩn HC3, điều chỉnh Xᴰ, loại hình và quy mô nơi làm việc. Mẫu chỉ gồm người không có câu</w:t>
      </w:r>
      <w:r>
        <w:rPr>
          <w:rFonts w:ascii="Times New Roman" w:hAnsi="Times New Roman" w:cs="Times New Roman" w:eastAsia="Times New Roman"/>
        </w:rPr>
        <w:t xml:space="preserve"> </w:t>
      </w:r>
      <w:r>
        <w:rPr>
          <w:rFonts w:ascii="Times New Roman" w:hAnsi="Times New Roman" w:cs="Times New Roman" w:eastAsia="Times New Roman"/>
        </w:rPr>
        <w:t xml:space="preserve">“không biết”</w:t>
      </w:r>
      <w:r>
        <w:rPr>
          <w:rFonts w:ascii="Times New Roman" w:hAnsi="Times New Roman" w:cs="Times New Roman" w:eastAsia="Times New Roman"/>
        </w:rPr>
        <w:t xml:space="preserve"> </w:t>
      </w:r>
      <w:r>
        <w:rPr>
          <w:rFonts w:ascii="Times New Roman" w:hAnsi="Times New Roman" w:cs="Times New Roman" w:eastAsia="Times New Roman"/>
        </w:rPr>
        <w:t xml:space="preserve">nào dùng các nhóm biến kiểm soát đã gộp trong mẫu DEI.</w:t>
      </w:r>
      <w:r>
        <w:rPr>
          <w:rFonts w:ascii="Times New Roman" w:hAnsi="Times New Roman" w:cs="Times New Roman" w:eastAsia="Times New Roman"/>
        </w:rPr>
        <w:t xml:space="preserve"> </w:t>
      </w:r>
      <w:r>
        <w:rPr>
          <w:rFonts w:ascii="Times New Roman" w:hAnsi="Times New Roman" w:cs="Times New Roman" w:eastAsia="Times New Roman"/>
          <w:vertAlign w:val="superscript"/>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Hệ số của tích S × Q.</w:t>
      </w:r>
    </w:p>
    <w:p>
      <w:pPr>
        <w:pStyle w:val="TableSource"/>
      </w:pPr>
      <w:r>
        <w:rPr>
          <w:rFonts w:ascii="Times New Roman" w:hAnsi="Times New Roman" w:cs="Times New Roman" w:eastAsia="Times New Roman"/>
          <w:i/>
          <w:iCs/>
        </w:rPr>
        <w:t xml:space="preserve">Nguồn: Kết quả phân tích số liệu khảo sát của nhóm tác giả (2026).</w:t>
      </w:r>
    </w:p>
    <w:bookmarkEnd w:id="32"/>
    <w:bookmarkStart w:id="33" w:name="X4f23118a1d699e896372408b95d0768b60c70f6"/>
    <w:p>
      <w:pPr>
        <w:pStyle w:val="Heading1"/>
      </w:pPr>
      <w:r>
        <w:rPr>
          <w:rFonts w:ascii="Times New Roman" w:hAnsi="Times New Roman" w:cs="Times New Roman" w:eastAsia="Times New Roman"/>
        </w:rPr>
        <w:t xml:space="preserve">Tuyên bố về đóng góp khoa học và nguồn gốc bài viết</w:t>
      </w:r>
    </w:p>
    <w:p>
      <w:pPr>
        <w:pStyle w:val="FirstParagraph"/>
      </w:pPr>
      <w:r>
        <w:rPr>
          <w:rFonts w:ascii="Times New Roman" w:hAnsi="Times New Roman" w:cs="Times New Roman" w:eastAsia="Times New Roman"/>
        </w:rPr>
        <w:t xml:space="preserve">Bài viết là sản phẩm của đề tài nghiên cứu khoa học sinh viên [tên đề tài, mã số, năm] tại Học viện Ngân hàng. Bài viết dùng chung bộ dữ liệu với một bài viết khác của nhóm tác giả bằng tiếng Anh, đang được phản biện tại một tạp chí quốc tế. Bài viết đó tập trung vào liên hệ tổng thể giữa mức kỳ thị và triệu chứng lo âu, trầm cảm. Hai bài có chung phần mô tả các hình thức kỳ thị (Bảng 3) và kết quả liên hệ tổng thể được nhắc lại ở mục 4.4. Các phân tích về chính sách DEI, người gây ảnh hưởng nghiêm trọng nhất và đối chiếu pháp luật chỉ có trong bài viết này. Mỗi bài có mã phân tích riêng. Nhóm tác giả đã thông báo việc này cho ban biên tập của cả hai tạp chí. [Tác giả xác nhận sau khi đã thông báo.]</w:t>
      </w:r>
    </w:p>
    <w:p>
      <w:pPr>
        <w:pStyle w:val="BodyText"/>
      </w:pPr>
      <w:r>
        <w:rPr>
          <w:rFonts w:ascii="Times New Roman" w:hAnsi="Times New Roman" w:cs="Times New Roman" w:eastAsia="Times New Roman"/>
        </w:rPr>
        <w:t xml:space="preserve">[Tác giả nêu đóng góp của từng tác giả.]</w:t>
      </w:r>
    </w:p>
    <w:p>
      <w:pPr>
        <w:pStyle w:val="BodyText"/>
      </w:pPr>
      <w:r>
        <w:rPr>
          <w:rFonts w:ascii="Times New Roman" w:hAnsi="Times New Roman" w:cs="Times New Roman" w:eastAsia="Times New Roman"/>
          <w:b/>
          <w:bCs/>
        </w:rPr>
        <w:t xml:space="preserve">Sử dụng công cụ trí tuệ nhân tạo.</w:t>
      </w:r>
      <w:r>
        <w:rPr>
          <w:rFonts w:ascii="Times New Roman" w:hAnsi="Times New Roman" w:cs="Times New Roman" w:eastAsia="Times New Roman"/>
        </w:rPr>
        <w:t xml:space="preserve"> </w:t>
      </w:r>
      <w:r>
        <w:rPr>
          <w:rFonts w:ascii="Times New Roman" w:hAnsi="Times New Roman" w:cs="Times New Roman" w:eastAsia="Times New Roman"/>
        </w:rPr>
        <w:t xml:space="preserve">[Tác giả rà soát và hoàn thiện đoạn này cho đúng thực tế.] Nhóm tác giả sử dụng Claude (Anthropic) để hỗ trợ viết và kiểm tra mã phân tích bằng Stata và bản tái lập bằng Python, soạn bản nháp, dịch tóm tắt sang tiếng Anh và rà soát văn phong. Bản tái lập Python được chạy trên dữ liệu trong môi trường làm việc của công cụ; chỉ các kết quả tổng hợp, đã ẩn ô nhỏ, được xuất ra. Mọi số liệu trong bài lấy từ kết quả chạy mã phân tích. Nhóm tác giả đã kiểm tra nội dung, số liệu và tài liệu tham khảo, và chịu hoàn toàn trách nhiệm về bài viết. Công cụ trí tuệ nhân tạo không đứng tên tác giả.</w:t>
      </w:r>
    </w:p>
    <w:bookmarkEnd w:id="33"/>
    <w:bookmarkStart w:id="34" w:name="lời-cảm-ơn"/>
    <w:p>
      <w:pPr>
        <w:pStyle w:val="Heading1"/>
      </w:pPr>
      <w:r>
        <w:rPr>
          <w:rFonts w:ascii="Times New Roman" w:hAnsi="Times New Roman" w:cs="Times New Roman" w:eastAsia="Times New Roman"/>
        </w:rPr>
        <w:t xml:space="preserve">Lời cảm ơn</w:t>
      </w:r>
    </w:p>
    <w:p>
      <w:pPr>
        <w:pStyle w:val="FirstParagraph"/>
      </w:pPr>
      <w:r>
        <w:rPr>
          <w:rFonts w:ascii="Times New Roman" w:hAnsi="Times New Roman" w:cs="Times New Roman" w:eastAsia="Times New Roman"/>
        </w:rPr>
        <w:t xml:space="preserve">Nhóm tác giả cảm ơn những người lao động đã tham gia khảo sát và các tổ chức cộng đồng đã giúp phổ biến bảng hỏi. [Tác giả bổ sung lời cảm ơn Học viện Ngân hàng theo câu chữ đã thống nhất với đơn vị quản lý đề tài.]</w:t>
      </w:r>
    </w:p>
    <w:bookmarkEnd w:id="34"/>
    <w:bookmarkStart w:id="35" w:name="tài-liệu-tham-khảo"/>
    <w:p>
      <w:pPr>
        <w:pStyle w:val="Heading1"/>
      </w:pPr>
      <w:r>
        <w:rPr>
          <w:rFonts w:ascii="Times New Roman" w:hAnsi="Times New Roman" w:cs="Times New Roman" w:eastAsia="Times New Roman"/>
        </w:rPr>
        <w:t xml:space="preserve">Tài liệu tham khảo</w:t>
      </w:r>
    </w:p>
    <w:p>
      <w:pPr>
        <w:pStyle w:val="Reference"/>
      </w:pPr>
      <w:r>
        <w:rPr>
          <w:rFonts w:ascii="Times New Roman" w:hAnsi="Times New Roman" w:cs="Times New Roman" w:eastAsia="Times New Roman"/>
        </w:rPr>
        <w:t xml:space="preserve">1. Benjamini, Y., &amp; Hochberg, Y. (1995). Controlling the false discovery rate: A practical and powerful approach to multiple testing.</w:t>
      </w:r>
      <w:r>
        <w:rPr>
          <w:rFonts w:ascii="Times New Roman" w:hAnsi="Times New Roman" w:cs="Times New Roman" w:eastAsia="Times New Roman"/>
        </w:rPr>
        <w:t xml:space="preserve"> </w:t>
      </w:r>
      <w:r>
        <w:rPr>
          <w:rFonts w:ascii="Times New Roman" w:hAnsi="Times New Roman" w:cs="Times New Roman" w:eastAsia="Times New Roman"/>
          <w:i/>
          <w:iCs/>
        </w:rPr>
        <w:t xml:space="preserve">Journal of the Royal Statistical Society: Series B (Methodological)</w:t>
      </w:r>
      <w:r>
        <w:rPr>
          <w:rFonts w:ascii="Times New Roman" w:hAnsi="Times New Roman" w:cs="Times New Roman" w:eastAsia="Times New Roman"/>
        </w:rPr>
        <w:t xml:space="preserve">, 57(1): 289-300. https://doi.org/10.1111/j.2517-6161.1995.tb02031.x</w:t>
      </w:r>
    </w:p>
    <w:p>
      <w:pPr>
        <w:pStyle w:val="Reference"/>
      </w:pPr>
      <w:r>
        <w:rPr>
          <w:rFonts w:ascii="Times New Roman" w:hAnsi="Times New Roman" w:cs="Times New Roman" w:eastAsia="Times New Roman"/>
        </w:rPr>
        <w:t xml:space="preserve">2. Bộ Y tế. (2022).</w:t>
      </w:r>
      <w:r>
        <w:rPr>
          <w:rFonts w:ascii="Times New Roman" w:hAnsi="Times New Roman" w:cs="Times New Roman" w:eastAsia="Times New Roman"/>
        </w:rPr>
        <w:t xml:space="preserve"> </w:t>
      </w:r>
      <w:r>
        <w:rPr>
          <w:rFonts w:ascii="Times New Roman" w:hAnsi="Times New Roman" w:cs="Times New Roman" w:eastAsia="Times New Roman"/>
          <w:i/>
          <w:iCs/>
        </w:rPr>
        <w:t xml:space="preserve">Công văn số 4132/BYT-PC ngày 03/8/2022 về việc chấn chỉnh công tác khám bệnh, chữa bệnh đối với người đồng tính, song tính và chuyển giới</w:t>
      </w:r>
      <w:r>
        <w:rPr>
          <w:rFonts w:ascii="Times New Roman" w:hAnsi="Times New Roman" w:cs="Times New Roman" w:eastAsia="Times New Roman"/>
        </w:rPr>
        <w:t xml:space="preserve">.</w:t>
      </w:r>
    </w:p>
    <w:p>
      <w:pPr>
        <w:pStyle w:val="Reference"/>
      </w:pPr>
      <w:r>
        <w:rPr>
          <w:rFonts w:ascii="Times New Roman" w:hAnsi="Times New Roman" w:cs="Times New Roman" w:eastAsia="Times New Roman"/>
        </w:rPr>
        <w:t xml:space="preserve">3. Chính phủ. (2020).</w:t>
      </w:r>
      <w:r>
        <w:rPr>
          <w:rFonts w:ascii="Times New Roman" w:hAnsi="Times New Roman" w:cs="Times New Roman" w:eastAsia="Times New Roman"/>
        </w:rPr>
        <w:t xml:space="preserve"> </w:t>
      </w:r>
      <w:r>
        <w:rPr>
          <w:rFonts w:ascii="Times New Roman" w:hAnsi="Times New Roman" w:cs="Times New Roman" w:eastAsia="Times New Roman"/>
          <w:i/>
          <w:iCs/>
        </w:rPr>
        <w:t xml:space="preserve">Nghị định số 145/2020/NĐ-CP quy định chi tiết và hướng dẫn thi hành một số điều của Bộ luật Lao động về điều kiện lao động và quan hệ lao động</w:t>
      </w:r>
      <w:r>
        <w:rPr>
          <w:rFonts w:ascii="Times New Roman" w:hAnsi="Times New Roman" w:cs="Times New Roman" w:eastAsia="Times New Roman"/>
        </w:rPr>
        <w:t xml:space="preserve">.</w:t>
      </w:r>
    </w:p>
    <w:p>
      <w:pPr>
        <w:pStyle w:val="Reference"/>
      </w:pPr>
      <w:r>
        <w:rPr>
          <w:rFonts w:ascii="Times New Roman" w:hAnsi="Times New Roman" w:cs="Times New Roman" w:eastAsia="Times New Roman"/>
        </w:rPr>
        <w:t xml:space="preserve">4. Chính phủ. (2025).</w:t>
      </w:r>
      <w:r>
        <w:rPr>
          <w:rFonts w:ascii="Times New Roman" w:hAnsi="Times New Roman" w:cs="Times New Roman" w:eastAsia="Times New Roman"/>
        </w:rPr>
        <w:t xml:space="preserve"> </w:t>
      </w:r>
      <w:r>
        <w:rPr>
          <w:rFonts w:ascii="Times New Roman" w:hAnsi="Times New Roman" w:cs="Times New Roman" w:eastAsia="Times New Roman"/>
          <w:i/>
          <w:iCs/>
        </w:rPr>
        <w:t xml:space="preserve">Nghị định số 356/2025/NĐ-CP quy định chi tiết một số điều và biện pháp thi hành Luật Bảo vệ dữ liệu cá nhân</w:t>
      </w:r>
      <w:r>
        <w:rPr>
          <w:rFonts w:ascii="Times New Roman" w:hAnsi="Times New Roman" w:cs="Times New Roman" w:eastAsia="Times New Roman"/>
        </w:rPr>
        <w:t xml:space="preserve">.</w:t>
      </w:r>
    </w:p>
    <w:p>
      <w:pPr>
        <w:pStyle w:val="Reference"/>
      </w:pPr>
      <w:r>
        <w:rPr>
          <w:rFonts w:ascii="Times New Roman" w:hAnsi="Times New Roman" w:cs="Times New Roman" w:eastAsia="Times New Roman"/>
        </w:rPr>
        <w:t xml:space="preserve">5. DiMaggio, P. J., &amp; Powell, W. W. (1983). The iron cage revisited: Institutional isomorphism and collective rationality in organizational fields.</w:t>
      </w:r>
      <w:r>
        <w:rPr>
          <w:rFonts w:ascii="Times New Roman" w:hAnsi="Times New Roman" w:cs="Times New Roman" w:eastAsia="Times New Roman"/>
        </w:rPr>
        <w:t xml:space="preserve"> </w:t>
      </w:r>
      <w:r>
        <w:rPr>
          <w:rFonts w:ascii="Times New Roman" w:hAnsi="Times New Roman" w:cs="Times New Roman" w:eastAsia="Times New Roman"/>
          <w:i/>
          <w:iCs/>
        </w:rPr>
        <w:t xml:space="preserve">American Sociological Review</w:t>
      </w:r>
      <w:r>
        <w:rPr>
          <w:rFonts w:ascii="Times New Roman" w:hAnsi="Times New Roman" w:cs="Times New Roman" w:eastAsia="Times New Roman"/>
        </w:rPr>
        <w:t xml:space="preserve">, 48(2): 147-160. https://doi.org/10.2307/2095101</w:t>
      </w:r>
    </w:p>
    <w:p>
      <w:pPr>
        <w:pStyle w:val="Reference"/>
      </w:pPr>
      <w:r>
        <w:rPr>
          <w:rFonts w:ascii="Times New Roman" w:hAnsi="Times New Roman" w:cs="Times New Roman" w:eastAsia="Times New Roman"/>
        </w:rPr>
        <w:t xml:space="preserve">6. Edelman, L. B. (1992). Legal ambiguity and symbolic structures: Organizational mediation of civil rights law.</w:t>
      </w:r>
      <w:r>
        <w:rPr>
          <w:rFonts w:ascii="Times New Roman" w:hAnsi="Times New Roman" w:cs="Times New Roman" w:eastAsia="Times New Roman"/>
        </w:rPr>
        <w:t xml:space="preserve"> </w:t>
      </w:r>
      <w:r>
        <w:rPr>
          <w:rFonts w:ascii="Times New Roman" w:hAnsi="Times New Roman" w:cs="Times New Roman" w:eastAsia="Times New Roman"/>
          <w:i/>
          <w:iCs/>
        </w:rPr>
        <w:t xml:space="preserve">American Journal of Sociology</w:t>
      </w:r>
      <w:r>
        <w:rPr>
          <w:rFonts w:ascii="Times New Roman" w:hAnsi="Times New Roman" w:cs="Times New Roman" w:eastAsia="Times New Roman"/>
        </w:rPr>
        <w:t xml:space="preserve">, 97(6): 1531-1576. https://doi.org/10.1086/229939</w:t>
      </w:r>
    </w:p>
    <w:p>
      <w:pPr>
        <w:pStyle w:val="Reference"/>
      </w:pPr>
      <w:r>
        <w:rPr>
          <w:rFonts w:ascii="Times New Roman" w:hAnsi="Times New Roman" w:cs="Times New Roman" w:eastAsia="Times New Roman"/>
        </w:rPr>
        <w:t xml:space="preserve">7. Gelman, A., &amp; Stern, H. (2006). The difference between</w:t>
      </w:r>
      <w:r>
        <w:rPr>
          <w:rFonts w:ascii="Times New Roman" w:hAnsi="Times New Roman" w:cs="Times New Roman" w:eastAsia="Times New Roman"/>
        </w:rPr>
        <w:t xml:space="preserve"> </w:t>
      </w:r>
      <w:r>
        <w:rPr>
          <w:rFonts w:ascii="Times New Roman" w:hAnsi="Times New Roman" w:cs="Times New Roman" w:eastAsia="Times New Roman"/>
        </w:rPr>
        <w:t xml:space="preserve">“significant”</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“not significant”</w:t>
      </w:r>
      <w:r>
        <w:rPr>
          <w:rFonts w:ascii="Times New Roman" w:hAnsi="Times New Roman" w:cs="Times New Roman" w:eastAsia="Times New Roman"/>
        </w:rPr>
        <w:t xml:space="preserve"> </w:t>
      </w:r>
      <w:r>
        <w:rPr>
          <w:rFonts w:ascii="Times New Roman" w:hAnsi="Times New Roman" w:cs="Times New Roman" w:eastAsia="Times New Roman"/>
        </w:rPr>
        <w:t xml:space="preserve">is not itself statistically significant.</w:t>
      </w:r>
      <w:r>
        <w:rPr>
          <w:rFonts w:ascii="Times New Roman" w:hAnsi="Times New Roman" w:cs="Times New Roman" w:eastAsia="Times New Roman"/>
        </w:rPr>
        <w:t xml:space="preserve"> </w:t>
      </w:r>
      <w:r>
        <w:rPr>
          <w:rFonts w:ascii="Times New Roman" w:hAnsi="Times New Roman" w:cs="Times New Roman" w:eastAsia="Times New Roman"/>
          <w:i/>
          <w:iCs/>
        </w:rPr>
        <w:t xml:space="preserve">The American Statistician</w:t>
      </w:r>
      <w:r>
        <w:rPr>
          <w:rFonts w:ascii="Times New Roman" w:hAnsi="Times New Roman" w:cs="Times New Roman" w:eastAsia="Times New Roman"/>
        </w:rPr>
        <w:t xml:space="preserve">, 60(4): 328-331. https://doi.org/10.1198/000313006X152649</w:t>
      </w:r>
    </w:p>
    <w:p>
      <w:pPr>
        <w:pStyle w:val="Reference"/>
      </w:pPr>
      <w:r>
        <w:rPr>
          <w:rFonts w:ascii="Times New Roman" w:hAnsi="Times New Roman" w:cs="Times New Roman" w:eastAsia="Times New Roman"/>
        </w:rPr>
        <w:t xml:space="preserve">8. Hatzenbuehler, M. L. (2016). Structural stigma: Research evidence and implications for psychological science.</w:t>
      </w:r>
      <w:r>
        <w:rPr>
          <w:rFonts w:ascii="Times New Roman" w:hAnsi="Times New Roman" w:cs="Times New Roman" w:eastAsia="Times New Roman"/>
        </w:rPr>
        <w:t xml:space="preserve"> </w:t>
      </w:r>
      <w:r>
        <w:rPr>
          <w:rFonts w:ascii="Times New Roman" w:hAnsi="Times New Roman" w:cs="Times New Roman" w:eastAsia="Times New Roman"/>
          <w:i/>
          <w:iCs/>
        </w:rPr>
        <w:t xml:space="preserve">American Psychologist</w:t>
      </w:r>
      <w:r>
        <w:rPr>
          <w:rFonts w:ascii="Times New Roman" w:hAnsi="Times New Roman" w:cs="Times New Roman" w:eastAsia="Times New Roman"/>
        </w:rPr>
        <w:t xml:space="preserve">, 71(8): 742-751. https://doi.org/10.1037/amp0000068</w:t>
      </w:r>
    </w:p>
    <w:p>
      <w:pPr>
        <w:pStyle w:val="Reference"/>
      </w:pPr>
      <w:r>
        <w:rPr>
          <w:rFonts w:ascii="Times New Roman" w:hAnsi="Times New Roman" w:cs="Times New Roman" w:eastAsia="Times New Roman"/>
        </w:rPr>
        <w:t xml:space="preserve">9. Hebl, M. R., Foster, J. B., Mannix, L. M., &amp; Dovidio, J. F. (2002). Formal and interpersonal discrimination: A field study of bias toward homosexual applicants.</w:t>
      </w:r>
      <w:r>
        <w:rPr>
          <w:rFonts w:ascii="Times New Roman" w:hAnsi="Times New Roman" w:cs="Times New Roman" w:eastAsia="Times New Roman"/>
        </w:rPr>
        <w:t xml:space="preserve"> </w:t>
      </w:r>
      <w:r>
        <w:rPr>
          <w:rFonts w:ascii="Times New Roman" w:hAnsi="Times New Roman" w:cs="Times New Roman" w:eastAsia="Times New Roman"/>
          <w:i/>
          <w:iCs/>
        </w:rPr>
        <w:t xml:space="preserve">Personality and Social Psychology Bulletin</w:t>
      </w:r>
      <w:r>
        <w:rPr>
          <w:rFonts w:ascii="Times New Roman" w:hAnsi="Times New Roman" w:cs="Times New Roman" w:eastAsia="Times New Roman"/>
        </w:rPr>
        <w:t xml:space="preserve">, 28(6): 815-825. https://doi.org/10.1177/0146167202289010</w:t>
      </w:r>
    </w:p>
    <w:p>
      <w:pPr>
        <w:pStyle w:val="Reference"/>
      </w:pPr>
      <w:r>
        <w:rPr>
          <w:rFonts w:ascii="Times New Roman" w:hAnsi="Times New Roman" w:cs="Times New Roman" w:eastAsia="Times New Roman"/>
        </w:rPr>
        <w:t xml:space="preserve">10. Hernán, M. A., Hernández-Díaz, S., &amp; Robins, J. M. (2004). A structural approach to selection bias.</w:t>
      </w:r>
      <w:r>
        <w:rPr>
          <w:rFonts w:ascii="Times New Roman" w:hAnsi="Times New Roman" w:cs="Times New Roman" w:eastAsia="Times New Roman"/>
        </w:rPr>
        <w:t xml:space="preserve"> </w:t>
      </w:r>
      <w:r>
        <w:rPr>
          <w:rFonts w:ascii="Times New Roman" w:hAnsi="Times New Roman" w:cs="Times New Roman" w:eastAsia="Times New Roman"/>
          <w:i/>
          <w:iCs/>
        </w:rPr>
        <w:t xml:space="preserve">Epidemiology</w:t>
      </w:r>
      <w:r>
        <w:rPr>
          <w:rFonts w:ascii="Times New Roman" w:hAnsi="Times New Roman" w:cs="Times New Roman" w:eastAsia="Times New Roman"/>
        </w:rPr>
        <w:t xml:space="preserve">, 15(5): 615-625. https://doi.org/10.1097/01.ede.0000135174.63482.43</w:t>
      </w:r>
    </w:p>
    <w:p>
      <w:pPr>
        <w:pStyle w:val="Reference"/>
      </w:pPr>
      <w:r>
        <w:rPr>
          <w:rFonts w:ascii="Times New Roman" w:hAnsi="Times New Roman" w:cs="Times New Roman" w:eastAsia="Times New Roman"/>
        </w:rPr>
        <w:t xml:space="preserve">11. Huffman, A. H., Watrous-Rodriguez, K. M., &amp; King, E. B. (2008). Supporting a diverse workforce: What type of support is most meaningful for lesbian and gay employees?</w:t>
      </w:r>
      <w:r>
        <w:rPr>
          <w:rFonts w:ascii="Times New Roman" w:hAnsi="Times New Roman" w:cs="Times New Roman" w:eastAsia="Times New Roman"/>
        </w:rPr>
        <w:t xml:space="preserve"> </w:t>
      </w:r>
      <w:r>
        <w:rPr>
          <w:rFonts w:ascii="Times New Roman" w:hAnsi="Times New Roman" w:cs="Times New Roman" w:eastAsia="Times New Roman"/>
          <w:i/>
          <w:iCs/>
        </w:rPr>
        <w:t xml:space="preserve">Human Resource Management</w:t>
      </w:r>
      <w:r>
        <w:rPr>
          <w:rFonts w:ascii="Times New Roman" w:hAnsi="Times New Roman" w:cs="Times New Roman" w:eastAsia="Times New Roman"/>
        </w:rPr>
        <w:t xml:space="preserve">, 47(2): 237-253. https://doi.org/10.1002/hrm.20210</w:t>
      </w:r>
    </w:p>
    <w:p>
      <w:pPr>
        <w:pStyle w:val="Reference"/>
      </w:pPr>
      <w:r>
        <w:rPr>
          <w:rFonts w:ascii="Times New Roman" w:hAnsi="Times New Roman" w:cs="Times New Roman" w:eastAsia="Times New Roman"/>
        </w:rPr>
        <w:t xml:space="preserve">12. Human Rights Watch. (2020).</w:t>
      </w:r>
      <w:r>
        <w:rPr>
          <w:rFonts w:ascii="Times New Roman" w:hAnsi="Times New Roman" w:cs="Times New Roman" w:eastAsia="Times New Roman"/>
        </w:rPr>
        <w:t xml:space="preserve"> </w:t>
      </w:r>
      <w:r>
        <w:rPr>
          <w:rFonts w:ascii="Times New Roman" w:hAnsi="Times New Roman" w:cs="Times New Roman" w:eastAsia="Times New Roman"/>
          <w:i/>
          <w:iCs/>
        </w:rPr>
        <w:t xml:space="preserve">“My teacher said I had a disease”</w:t>
      </w:r>
      <w:r>
        <w:rPr>
          <w:rFonts w:ascii="Times New Roman" w:hAnsi="Times New Roman" w:cs="Times New Roman" w:eastAsia="Times New Roman"/>
          <w:i/>
          <w:iCs/>
        </w:rPr>
        <w:t xml:space="preserve">: Barriers to the right to education for LGBT youth in Vietnam</w:t>
      </w:r>
      <w:r>
        <w:rPr>
          <w:rFonts w:ascii="Times New Roman" w:hAnsi="Times New Roman" w:cs="Times New Roman" w:eastAsia="Times New Roman"/>
        </w:rPr>
        <w:t xml:space="preserve">. https://www.hrw.org/report/2020/02/12/my-teacher-said-i-had-disease/barriers-right-education-lgbt-youth-vietnam</w:t>
      </w:r>
    </w:p>
    <w:p>
      <w:pPr>
        <w:pStyle w:val="Reference"/>
      </w:pPr>
      <w:r>
        <w:rPr>
          <w:rFonts w:ascii="Times New Roman" w:hAnsi="Times New Roman" w:cs="Times New Roman" w:eastAsia="Times New Roman"/>
        </w:rPr>
        <w:t xml:space="preserve">13. Kalev, A., Dobbin, F., &amp; Kelly, E. (2006). Best practices or best guesses? Assessing the efficacy of corporate affirmative action and diversity policies.</w:t>
      </w:r>
      <w:r>
        <w:rPr>
          <w:rFonts w:ascii="Times New Roman" w:hAnsi="Times New Roman" w:cs="Times New Roman" w:eastAsia="Times New Roman"/>
        </w:rPr>
        <w:t xml:space="preserve"> </w:t>
      </w:r>
      <w:r>
        <w:rPr>
          <w:rFonts w:ascii="Times New Roman" w:hAnsi="Times New Roman" w:cs="Times New Roman" w:eastAsia="Times New Roman"/>
          <w:i/>
          <w:iCs/>
        </w:rPr>
        <w:t xml:space="preserve">American Sociological Review</w:t>
      </w:r>
      <w:r>
        <w:rPr>
          <w:rFonts w:ascii="Times New Roman" w:hAnsi="Times New Roman" w:cs="Times New Roman" w:eastAsia="Times New Roman"/>
        </w:rPr>
        <w:t xml:space="preserve">, 71(4): 589-617. https://doi.org/10.1177/000312240607100404</w:t>
      </w:r>
    </w:p>
    <w:p>
      <w:pPr>
        <w:pStyle w:val="Reference"/>
      </w:pPr>
      <w:r>
        <w:rPr>
          <w:rFonts w:ascii="Times New Roman" w:hAnsi="Times New Roman" w:cs="Times New Roman" w:eastAsia="Times New Roman"/>
        </w:rPr>
        <w:t xml:space="preserve">14. Kroenke, K., Spitzer, R. L., Williams, J. B. W., &amp; Löwe, B. (2009). An ultra-brief screening scale for anxiety and depression: The PHQ-4.</w:t>
      </w:r>
      <w:r>
        <w:rPr>
          <w:rFonts w:ascii="Times New Roman" w:hAnsi="Times New Roman" w:cs="Times New Roman" w:eastAsia="Times New Roman"/>
        </w:rPr>
        <w:t xml:space="preserve"> </w:t>
      </w:r>
      <w:r>
        <w:rPr>
          <w:rFonts w:ascii="Times New Roman" w:hAnsi="Times New Roman" w:cs="Times New Roman" w:eastAsia="Times New Roman"/>
          <w:i/>
          <w:iCs/>
        </w:rPr>
        <w:t xml:space="preserve">Psychosomatics</w:t>
      </w:r>
      <w:r>
        <w:rPr>
          <w:rFonts w:ascii="Times New Roman" w:hAnsi="Times New Roman" w:cs="Times New Roman" w:eastAsia="Times New Roman"/>
        </w:rPr>
        <w:t xml:space="preserve">, 50(6): 613-621. https://doi.org/10.1176/appi.psy.50.6.613</w:t>
      </w:r>
    </w:p>
    <w:p>
      <w:pPr>
        <w:pStyle w:val="Reference"/>
      </w:pPr>
      <w:r>
        <w:rPr>
          <w:rFonts w:ascii="Times New Roman" w:hAnsi="Times New Roman" w:cs="Times New Roman" w:eastAsia="Times New Roman"/>
        </w:rPr>
        <w:t xml:space="preserve">15. Lewis, T. T., Cogburn, C. D., &amp; Williams, D. R. (2015). Self-reported experiences of discrimination and health: Scientific advances, ongoing controversies, and emerging issues.</w:t>
      </w:r>
      <w:r>
        <w:rPr>
          <w:rFonts w:ascii="Times New Roman" w:hAnsi="Times New Roman" w:cs="Times New Roman" w:eastAsia="Times New Roman"/>
        </w:rPr>
        <w:t xml:space="preserve"> </w:t>
      </w:r>
      <w:r>
        <w:rPr>
          <w:rFonts w:ascii="Times New Roman" w:hAnsi="Times New Roman" w:cs="Times New Roman" w:eastAsia="Times New Roman"/>
          <w:i/>
          <w:iCs/>
        </w:rPr>
        <w:t xml:space="preserve">Annual Review of Clinical Psychology</w:t>
      </w:r>
      <w:r>
        <w:rPr>
          <w:rFonts w:ascii="Times New Roman" w:hAnsi="Times New Roman" w:cs="Times New Roman" w:eastAsia="Times New Roman"/>
        </w:rPr>
        <w:t xml:space="preserve">, 11: 407-440. https://doi.org/10.1146/annurev-clinpsy-032814-112728</w:t>
      </w:r>
    </w:p>
    <w:p>
      <w:pPr>
        <w:pStyle w:val="Reference"/>
      </w:pPr>
      <w:r>
        <w:rPr>
          <w:rFonts w:ascii="Times New Roman" w:hAnsi="Times New Roman" w:cs="Times New Roman" w:eastAsia="Times New Roman"/>
        </w:rPr>
        <w:t xml:space="preserve">16. Link, B. G., &amp; Phelan, J. C. (2001). Conceptualizing stigma.</w:t>
      </w:r>
      <w:r>
        <w:rPr>
          <w:rFonts w:ascii="Times New Roman" w:hAnsi="Times New Roman" w:cs="Times New Roman" w:eastAsia="Times New Roman"/>
        </w:rPr>
        <w:t xml:space="preserve"> </w:t>
      </w:r>
      <w:r>
        <w:rPr>
          <w:rFonts w:ascii="Times New Roman" w:hAnsi="Times New Roman" w:cs="Times New Roman" w:eastAsia="Times New Roman"/>
          <w:i/>
          <w:iCs/>
        </w:rPr>
        <w:t xml:space="preserve">Annual Review of Sociology</w:t>
      </w:r>
      <w:r>
        <w:rPr>
          <w:rFonts w:ascii="Times New Roman" w:hAnsi="Times New Roman" w:cs="Times New Roman" w:eastAsia="Times New Roman"/>
        </w:rPr>
        <w:t xml:space="preserve">, 27: 363-385. https://doi.org/10.1146/annurev.soc.27.1.363</w:t>
      </w:r>
    </w:p>
    <w:p>
      <w:pPr>
        <w:pStyle w:val="Reference"/>
      </w:pPr>
      <w:r>
        <w:rPr>
          <w:rFonts w:ascii="Times New Roman" w:hAnsi="Times New Roman" w:cs="Times New Roman" w:eastAsia="Times New Roman"/>
        </w:rPr>
        <w:t xml:space="preserve">17. Lo, I. P. Y., Kim, Y. K., Liu, E. H., &amp; Yan, E. (2025). Typologies of minority stressors and depressive symptoms among LGBTQ employees in the workplace: A moderated mediation model of workplace climate and resilience.</w:t>
      </w:r>
      <w:r>
        <w:rPr>
          <w:rFonts w:ascii="Times New Roman" w:hAnsi="Times New Roman" w:cs="Times New Roman" w:eastAsia="Times New Roman"/>
        </w:rPr>
        <w:t xml:space="preserve"> </w:t>
      </w:r>
      <w:r>
        <w:rPr>
          <w:rFonts w:ascii="Times New Roman" w:hAnsi="Times New Roman" w:cs="Times New Roman" w:eastAsia="Times New Roman"/>
          <w:i/>
          <w:iCs/>
        </w:rPr>
        <w:t xml:space="preserve">Sexuality Research and Social Policy</w:t>
      </w:r>
      <w:r>
        <w:rPr>
          <w:rFonts w:ascii="Times New Roman" w:hAnsi="Times New Roman" w:cs="Times New Roman" w:eastAsia="Times New Roman"/>
        </w:rPr>
        <w:t xml:space="preserve">, 22: 1043-1057. https://doi.org/10.1007/s13178-024-01027-x</w:t>
      </w:r>
    </w:p>
    <w:p>
      <w:pPr>
        <w:pStyle w:val="Reference"/>
      </w:pPr>
      <w:r>
        <w:rPr>
          <w:rFonts w:ascii="Times New Roman" w:hAnsi="Times New Roman" w:cs="Times New Roman" w:eastAsia="Times New Roman"/>
        </w:rPr>
        <w:t xml:space="preserve">18. Long, J. S., &amp; Ervin, L. H. (2000). Using heteroscedasticity consistent standard errors in the linear regression model.</w:t>
      </w:r>
      <w:r>
        <w:rPr>
          <w:rFonts w:ascii="Times New Roman" w:hAnsi="Times New Roman" w:cs="Times New Roman" w:eastAsia="Times New Roman"/>
        </w:rPr>
        <w:t xml:space="preserve"> </w:t>
      </w:r>
      <w:r>
        <w:rPr>
          <w:rFonts w:ascii="Times New Roman" w:hAnsi="Times New Roman" w:cs="Times New Roman" w:eastAsia="Times New Roman"/>
          <w:i/>
          <w:iCs/>
        </w:rPr>
        <w:t xml:space="preserve">The American Statistician</w:t>
      </w:r>
      <w:r>
        <w:rPr>
          <w:rFonts w:ascii="Times New Roman" w:hAnsi="Times New Roman" w:cs="Times New Roman" w:eastAsia="Times New Roman"/>
        </w:rPr>
        <w:t xml:space="preserve">, 54(3): 217-224. https://doi.org/10.1080/00031305.2000.10474549</w:t>
      </w:r>
    </w:p>
    <w:p>
      <w:pPr>
        <w:pStyle w:val="Reference"/>
      </w:pPr>
      <w:r>
        <w:rPr>
          <w:rFonts w:ascii="Times New Roman" w:hAnsi="Times New Roman" w:cs="Times New Roman" w:eastAsia="Times New Roman"/>
        </w:rPr>
        <w:t xml:space="preserve">19. Lương Thế Huy và Phạm Quỳnh Phương. (2015).</w:t>
      </w:r>
      <w:r>
        <w:rPr>
          <w:rFonts w:ascii="Times New Roman" w:hAnsi="Times New Roman" w:cs="Times New Roman" w:eastAsia="Times New Roman"/>
        </w:rPr>
        <w:t xml:space="preserve"> </w:t>
      </w:r>
      <w:r>
        <w:rPr>
          <w:rFonts w:ascii="Times New Roman" w:hAnsi="Times New Roman" w:cs="Times New Roman" w:eastAsia="Times New Roman"/>
          <w:i/>
          <w:iCs/>
        </w:rPr>
        <w:t xml:space="preserve">Is it because I am LGBT? Discrimination based on sexual orientation and gender identity in Viet Nam</w:t>
      </w:r>
      <w:r>
        <w:rPr>
          <w:rFonts w:ascii="Times New Roman" w:hAnsi="Times New Roman" w:cs="Times New Roman" w:eastAsia="Times New Roman"/>
        </w:rPr>
        <w:t xml:space="preserve">. Viện Nghiên cứu Xã hội, Kinh tế và Môi trường (iSEE). Hà Nội.</w:t>
      </w:r>
    </w:p>
    <w:p>
      <w:pPr>
        <w:pStyle w:val="Reference"/>
      </w:pPr>
      <w:r>
        <w:rPr>
          <w:rFonts w:ascii="Times New Roman" w:hAnsi="Times New Roman" w:cs="Times New Roman" w:eastAsia="Times New Roman"/>
        </w:rPr>
        <w:t xml:space="preserve">20. Meyer, I. H. (2003). Prejudice, social stress, and mental health in lesbian, gay, and bisexual populations: Conceptual issues and research evidence.</w:t>
      </w:r>
      <w:r>
        <w:rPr>
          <w:rFonts w:ascii="Times New Roman" w:hAnsi="Times New Roman" w:cs="Times New Roman" w:eastAsia="Times New Roman"/>
        </w:rPr>
        <w:t xml:space="preserve"> </w:t>
      </w:r>
      <w:r>
        <w:rPr>
          <w:rFonts w:ascii="Times New Roman" w:hAnsi="Times New Roman" w:cs="Times New Roman" w:eastAsia="Times New Roman"/>
          <w:i/>
          <w:iCs/>
        </w:rPr>
        <w:t xml:space="preserve">Psychological Bulletin</w:t>
      </w:r>
      <w:r>
        <w:rPr>
          <w:rFonts w:ascii="Times New Roman" w:hAnsi="Times New Roman" w:cs="Times New Roman" w:eastAsia="Times New Roman"/>
        </w:rPr>
        <w:t xml:space="preserve">, 129(5): 674-697. https://doi.org/10.1037/0033-2909.129.5.674</w:t>
      </w:r>
    </w:p>
    <w:p>
      <w:pPr>
        <w:pStyle w:val="Reference"/>
      </w:pPr>
      <w:r>
        <w:rPr>
          <w:rFonts w:ascii="Times New Roman" w:hAnsi="Times New Roman" w:cs="Times New Roman" w:eastAsia="Times New Roman"/>
        </w:rPr>
        <w:t xml:space="preserve">21. Meyer, J. W., &amp; Rowan, B. (1977). Institutionalized organizations: Formal structure as myth and ceremony.</w:t>
      </w:r>
      <w:r>
        <w:rPr>
          <w:rFonts w:ascii="Times New Roman" w:hAnsi="Times New Roman" w:cs="Times New Roman" w:eastAsia="Times New Roman"/>
        </w:rPr>
        <w:t xml:space="preserve"> </w:t>
      </w:r>
      <w:r>
        <w:rPr>
          <w:rFonts w:ascii="Times New Roman" w:hAnsi="Times New Roman" w:cs="Times New Roman" w:eastAsia="Times New Roman"/>
          <w:i/>
          <w:iCs/>
        </w:rPr>
        <w:t xml:space="preserve">American Journal of Sociology</w:t>
      </w:r>
      <w:r>
        <w:rPr>
          <w:rFonts w:ascii="Times New Roman" w:hAnsi="Times New Roman" w:cs="Times New Roman" w:eastAsia="Times New Roman"/>
        </w:rPr>
        <w:t xml:space="preserve">, 83(2): 340-363. https://doi.org/10.1086/226550</w:t>
      </w:r>
    </w:p>
    <w:p>
      <w:pPr>
        <w:pStyle w:val="Reference"/>
      </w:pPr>
      <w:r>
        <w:rPr>
          <w:rFonts w:ascii="Times New Roman" w:hAnsi="Times New Roman" w:cs="Times New Roman" w:eastAsia="Times New Roman"/>
        </w:rPr>
        <w:t xml:space="preserve">22. Nadal, K. L., Whitman, C. N., Davis, L. S., Erazo, T., &amp; Davidoff, K. C. (2016). Microaggressions toward lesbian, gay, bisexual, transgender, queer, and genderqueer people: A review of the literature.</w:t>
      </w:r>
      <w:r>
        <w:rPr>
          <w:rFonts w:ascii="Times New Roman" w:hAnsi="Times New Roman" w:cs="Times New Roman" w:eastAsia="Times New Roman"/>
        </w:rPr>
        <w:t xml:space="preserve"> </w:t>
      </w:r>
      <w:r>
        <w:rPr>
          <w:rFonts w:ascii="Times New Roman" w:hAnsi="Times New Roman" w:cs="Times New Roman" w:eastAsia="Times New Roman"/>
          <w:i/>
          <w:iCs/>
        </w:rPr>
        <w:t xml:space="preserve">The Journal of Sex Research</w:t>
      </w:r>
      <w:r>
        <w:rPr>
          <w:rFonts w:ascii="Times New Roman" w:hAnsi="Times New Roman" w:cs="Times New Roman" w:eastAsia="Times New Roman"/>
        </w:rPr>
        <w:t xml:space="preserve">, 53(4-5): 488-508. https://doi.org/10.1080/00224499.2016.1142495</w:t>
      </w:r>
    </w:p>
    <w:p>
      <w:pPr>
        <w:pStyle w:val="Reference"/>
      </w:pPr>
      <w:r>
        <w:rPr>
          <w:rFonts w:ascii="Times New Roman" w:hAnsi="Times New Roman" w:cs="Times New Roman" w:eastAsia="Times New Roman"/>
        </w:rPr>
        <w:t xml:space="preserve">23. Nguyen, T. Q., Bandeen-Roche, K., Bass, J. K., German, D., Nguyen, N. T. T., &amp; Knowlton, A. R. (2016). A tool for sexual minority mental health research: The Patient Health Questionnaire (PHQ-9) as a depressive symptom severity measure for sexual minority women in Viet Nam.</w:t>
      </w:r>
      <w:r>
        <w:rPr>
          <w:rFonts w:ascii="Times New Roman" w:hAnsi="Times New Roman" w:cs="Times New Roman" w:eastAsia="Times New Roman"/>
        </w:rPr>
        <w:t xml:space="preserve"> </w:t>
      </w:r>
      <w:r>
        <w:rPr>
          <w:rFonts w:ascii="Times New Roman" w:hAnsi="Times New Roman" w:cs="Times New Roman" w:eastAsia="Times New Roman"/>
          <w:i/>
          <w:iCs/>
        </w:rPr>
        <w:t xml:space="preserve">Journal of Gay &amp; Lesbian Mental Health</w:t>
      </w:r>
      <w:r>
        <w:rPr>
          <w:rFonts w:ascii="Times New Roman" w:hAnsi="Times New Roman" w:cs="Times New Roman" w:eastAsia="Times New Roman"/>
        </w:rPr>
        <w:t xml:space="preserve">, 20(2): 173-191. https://doi.org/10.1080/19359705.2015.1080204</w:t>
      </w:r>
    </w:p>
    <w:p>
      <w:pPr>
        <w:pStyle w:val="Reference"/>
      </w:pPr>
      <w:r>
        <w:rPr>
          <w:rFonts w:ascii="Times New Roman" w:hAnsi="Times New Roman" w:cs="Times New Roman" w:eastAsia="Times New Roman"/>
        </w:rPr>
        <w:t xml:space="preserve">24. Owens, B., Mills, S., Lewis, N., &amp; Guta, A. (2022). Work-related stressors and mental health among LGBTQ workers: Results from a cross-sectional survey.</w:t>
      </w:r>
      <w:r>
        <w:rPr>
          <w:rFonts w:ascii="Times New Roman" w:hAnsi="Times New Roman" w:cs="Times New Roman" w:eastAsia="Times New Roman"/>
        </w:rPr>
        <w:t xml:space="preserve"> </w:t>
      </w:r>
      <w:r>
        <w:rPr>
          <w:rFonts w:ascii="Times New Roman" w:hAnsi="Times New Roman" w:cs="Times New Roman" w:eastAsia="Times New Roman"/>
          <w:i/>
          <w:iCs/>
        </w:rPr>
        <w:t xml:space="preserve">PLOS ONE</w:t>
      </w:r>
      <w:r>
        <w:rPr>
          <w:rFonts w:ascii="Times New Roman" w:hAnsi="Times New Roman" w:cs="Times New Roman" w:eastAsia="Times New Roman"/>
        </w:rPr>
        <w:t xml:space="preserve">, 17(10): e0275771. https://doi.org/10.1371/journal.pone.0275771</w:t>
      </w:r>
    </w:p>
    <w:p>
      <w:pPr>
        <w:pStyle w:val="Reference"/>
      </w:pPr>
      <w:r>
        <w:rPr>
          <w:rFonts w:ascii="Times New Roman" w:hAnsi="Times New Roman" w:cs="Times New Roman" w:eastAsia="Times New Roman"/>
        </w:rPr>
        <w:t xml:space="preserve">25. Pachankis, J. E., &amp; Bränström, R. (2018). Hidden from happiness: Structural stigma, sexual orientation concealment, and life satisfaction across 28 countries.</w:t>
      </w:r>
      <w:r>
        <w:rPr>
          <w:rFonts w:ascii="Times New Roman" w:hAnsi="Times New Roman" w:cs="Times New Roman" w:eastAsia="Times New Roman"/>
        </w:rPr>
        <w:t xml:space="preserve"> </w:t>
      </w:r>
      <w:r>
        <w:rPr>
          <w:rFonts w:ascii="Times New Roman" w:hAnsi="Times New Roman" w:cs="Times New Roman" w:eastAsia="Times New Roman"/>
          <w:i/>
          <w:iCs/>
        </w:rPr>
        <w:t xml:space="preserve">Journal of Consulting and Clinical Psychology</w:t>
      </w:r>
      <w:r>
        <w:rPr>
          <w:rFonts w:ascii="Times New Roman" w:hAnsi="Times New Roman" w:cs="Times New Roman" w:eastAsia="Times New Roman"/>
        </w:rPr>
        <w:t xml:space="preserve">, 86(5): 403-415. https://doi.org/10.1037/ccp0000299</w:t>
      </w:r>
    </w:p>
    <w:p>
      <w:pPr>
        <w:pStyle w:val="Reference"/>
      </w:pPr>
      <w:r>
        <w:rPr>
          <w:rFonts w:ascii="Times New Roman" w:hAnsi="Times New Roman" w:cs="Times New Roman" w:eastAsia="Times New Roman"/>
        </w:rPr>
        <w:t xml:space="preserve">26. Phạm Thu Hoa và Đồng Thị Yến. (2015). Định kiến, kỳ thị và phân biệt đối xử đối với người đồng tính và chuyển giới ở Việt Nam.</w:t>
      </w:r>
      <w:r>
        <w:rPr>
          <w:rFonts w:ascii="Times New Roman" w:hAnsi="Times New Roman" w:cs="Times New Roman" w:eastAsia="Times New Roman"/>
        </w:rPr>
        <w:t xml:space="preserve"> </w:t>
      </w:r>
      <w:r>
        <w:rPr>
          <w:rFonts w:ascii="Times New Roman" w:hAnsi="Times New Roman" w:cs="Times New Roman" w:eastAsia="Times New Roman"/>
          <w:i/>
          <w:iCs/>
        </w:rPr>
        <w:t xml:space="preserve">Tạp chí Khoa học ĐHQGHN: Khoa học Xã hội và Nhân văn</w:t>
      </w:r>
      <w:r>
        <w:rPr>
          <w:rFonts w:ascii="Times New Roman" w:hAnsi="Times New Roman" w:cs="Times New Roman" w:eastAsia="Times New Roman"/>
        </w:rPr>
        <w:t xml:space="preserve">, 31(5): 70-79.</w:t>
      </w:r>
    </w:p>
    <w:p>
      <w:pPr>
        <w:pStyle w:val="Reference"/>
      </w:pPr>
      <w:r>
        <w:rPr>
          <w:rFonts w:ascii="Times New Roman" w:hAnsi="Times New Roman" w:cs="Times New Roman" w:eastAsia="Times New Roman"/>
        </w:rPr>
        <w:t xml:space="preserve">27. Quốc hội. (2013).</w:t>
      </w:r>
      <w:r>
        <w:rPr>
          <w:rFonts w:ascii="Times New Roman" w:hAnsi="Times New Roman" w:cs="Times New Roman" w:eastAsia="Times New Roman"/>
        </w:rPr>
        <w:t xml:space="preserve"> </w:t>
      </w:r>
      <w:r>
        <w:rPr>
          <w:rFonts w:ascii="Times New Roman" w:hAnsi="Times New Roman" w:cs="Times New Roman" w:eastAsia="Times New Roman"/>
          <w:i/>
          <w:iCs/>
        </w:rPr>
        <w:t xml:space="preserve">Hiến pháp nước Cộng hòa xã hội chủ nghĩa Việt Nam</w:t>
      </w:r>
      <w:r>
        <w:rPr>
          <w:rFonts w:ascii="Times New Roman" w:hAnsi="Times New Roman" w:cs="Times New Roman" w:eastAsia="Times New Roman"/>
        </w:rPr>
        <w:t xml:space="preserve">.</w:t>
      </w:r>
    </w:p>
    <w:p>
      <w:pPr>
        <w:pStyle w:val="Reference"/>
      </w:pPr>
      <w:r>
        <w:rPr>
          <w:rFonts w:ascii="Times New Roman" w:hAnsi="Times New Roman" w:cs="Times New Roman" w:eastAsia="Times New Roman"/>
        </w:rPr>
        <w:t xml:space="preserve">28. Quốc hội. (2014).</w:t>
      </w:r>
      <w:r>
        <w:rPr>
          <w:rFonts w:ascii="Times New Roman" w:hAnsi="Times New Roman" w:cs="Times New Roman" w:eastAsia="Times New Roman"/>
        </w:rPr>
        <w:t xml:space="preserve"> </w:t>
      </w:r>
      <w:r>
        <w:rPr>
          <w:rFonts w:ascii="Times New Roman" w:hAnsi="Times New Roman" w:cs="Times New Roman" w:eastAsia="Times New Roman"/>
          <w:i/>
          <w:iCs/>
        </w:rPr>
        <w:t xml:space="preserve">Luật Hôn nhân và gia đình</w:t>
      </w:r>
      <w:r>
        <w:rPr>
          <w:rFonts w:ascii="Times New Roman" w:hAnsi="Times New Roman" w:cs="Times New Roman" w:eastAsia="Times New Roman"/>
        </w:rPr>
        <w:t xml:space="preserve"> </w:t>
      </w:r>
      <w:r>
        <w:rPr>
          <w:rFonts w:ascii="Times New Roman" w:hAnsi="Times New Roman" w:cs="Times New Roman" w:eastAsia="Times New Roman"/>
        </w:rPr>
        <w:t xml:space="preserve">(Luật số 52/2014/QH13).</w:t>
      </w:r>
    </w:p>
    <w:p>
      <w:pPr>
        <w:pStyle w:val="Reference"/>
      </w:pPr>
      <w:r>
        <w:rPr>
          <w:rFonts w:ascii="Times New Roman" w:hAnsi="Times New Roman" w:cs="Times New Roman" w:eastAsia="Times New Roman"/>
        </w:rPr>
        <w:t xml:space="preserve">29. Quốc hội. (2015).</w:t>
      </w:r>
      <w:r>
        <w:rPr>
          <w:rFonts w:ascii="Times New Roman" w:hAnsi="Times New Roman" w:cs="Times New Roman" w:eastAsia="Times New Roman"/>
        </w:rPr>
        <w:t xml:space="preserve"> </w:t>
      </w:r>
      <w:r>
        <w:rPr>
          <w:rFonts w:ascii="Times New Roman" w:hAnsi="Times New Roman" w:cs="Times New Roman" w:eastAsia="Times New Roman"/>
          <w:i/>
          <w:iCs/>
        </w:rPr>
        <w:t xml:space="preserve">Bộ luật Dân sự</w:t>
      </w:r>
      <w:r>
        <w:rPr>
          <w:rFonts w:ascii="Times New Roman" w:hAnsi="Times New Roman" w:cs="Times New Roman" w:eastAsia="Times New Roman"/>
        </w:rPr>
        <w:t xml:space="preserve"> </w:t>
      </w:r>
      <w:r>
        <w:rPr>
          <w:rFonts w:ascii="Times New Roman" w:hAnsi="Times New Roman" w:cs="Times New Roman" w:eastAsia="Times New Roman"/>
        </w:rPr>
        <w:t xml:space="preserve">(Luật số 91/2015/QH13).</w:t>
      </w:r>
    </w:p>
    <w:p>
      <w:pPr>
        <w:pStyle w:val="Reference"/>
      </w:pPr>
      <w:r>
        <w:rPr>
          <w:rFonts w:ascii="Times New Roman" w:hAnsi="Times New Roman" w:cs="Times New Roman" w:eastAsia="Times New Roman"/>
        </w:rPr>
        <w:t xml:space="preserve">30. Quốc hội. (2019).</w:t>
      </w:r>
      <w:r>
        <w:rPr>
          <w:rFonts w:ascii="Times New Roman" w:hAnsi="Times New Roman" w:cs="Times New Roman" w:eastAsia="Times New Roman"/>
        </w:rPr>
        <w:t xml:space="preserve"> </w:t>
      </w:r>
      <w:r>
        <w:rPr>
          <w:rFonts w:ascii="Times New Roman" w:hAnsi="Times New Roman" w:cs="Times New Roman" w:eastAsia="Times New Roman"/>
          <w:i/>
          <w:iCs/>
        </w:rPr>
        <w:t xml:space="preserve">Bộ luật Lao động</w:t>
      </w:r>
      <w:r>
        <w:rPr>
          <w:rFonts w:ascii="Times New Roman" w:hAnsi="Times New Roman" w:cs="Times New Roman" w:eastAsia="Times New Roman"/>
        </w:rPr>
        <w:t xml:space="preserve"> </w:t>
      </w:r>
      <w:r>
        <w:rPr>
          <w:rFonts w:ascii="Times New Roman" w:hAnsi="Times New Roman" w:cs="Times New Roman" w:eastAsia="Times New Roman"/>
        </w:rPr>
        <w:t xml:space="preserve">(Luật số 45/2019/QH14).</w:t>
      </w:r>
    </w:p>
    <w:p>
      <w:pPr>
        <w:pStyle w:val="Reference"/>
      </w:pPr>
      <w:r>
        <w:rPr>
          <w:rFonts w:ascii="Times New Roman" w:hAnsi="Times New Roman" w:cs="Times New Roman" w:eastAsia="Times New Roman"/>
        </w:rPr>
        <w:t xml:space="preserve">31. Quốc hội. (2025).</w:t>
      </w:r>
      <w:r>
        <w:rPr>
          <w:rFonts w:ascii="Times New Roman" w:hAnsi="Times New Roman" w:cs="Times New Roman" w:eastAsia="Times New Roman"/>
        </w:rPr>
        <w:t xml:space="preserve"> </w:t>
      </w:r>
      <w:r>
        <w:rPr>
          <w:rFonts w:ascii="Times New Roman" w:hAnsi="Times New Roman" w:cs="Times New Roman" w:eastAsia="Times New Roman"/>
          <w:i/>
          <w:iCs/>
        </w:rPr>
        <w:t xml:space="preserve">Luật Bảo vệ dữ liệu cá nhân</w:t>
      </w:r>
      <w:r>
        <w:rPr>
          <w:rFonts w:ascii="Times New Roman" w:hAnsi="Times New Roman" w:cs="Times New Roman" w:eastAsia="Times New Roman"/>
        </w:rPr>
        <w:t xml:space="preserve"> </w:t>
      </w:r>
      <w:r>
        <w:rPr>
          <w:rFonts w:ascii="Times New Roman" w:hAnsi="Times New Roman" w:cs="Times New Roman" w:eastAsia="Times New Roman"/>
        </w:rPr>
        <w:t xml:space="preserve">(Luật số 91/2025/QH15).</w:t>
      </w:r>
    </w:p>
    <w:p>
      <w:pPr>
        <w:pStyle w:val="Reference"/>
      </w:pPr>
      <w:r>
        <w:rPr>
          <w:rFonts w:ascii="Times New Roman" w:hAnsi="Times New Roman" w:cs="Times New Roman" w:eastAsia="Times New Roman"/>
        </w:rPr>
        <w:t xml:space="preserve">32. Ragins, B. R., &amp; Cornwell, J. M. (2001). Pink triangles: Antecedents and consequences of perceived workplace discrimination against gay and lesbian employees.</w:t>
      </w:r>
      <w:r>
        <w:rPr>
          <w:rFonts w:ascii="Times New Roman" w:hAnsi="Times New Roman" w:cs="Times New Roman" w:eastAsia="Times New Roman"/>
        </w:rPr>
        <w:t xml:space="preserve"> </w:t>
      </w:r>
      <w:r>
        <w:rPr>
          <w:rFonts w:ascii="Times New Roman" w:hAnsi="Times New Roman" w:cs="Times New Roman" w:eastAsia="Times New Roman"/>
          <w:i/>
          <w:iCs/>
        </w:rPr>
        <w:t xml:space="preserve">Journal of Applied Psychology</w:t>
      </w:r>
      <w:r>
        <w:rPr>
          <w:rFonts w:ascii="Times New Roman" w:hAnsi="Times New Roman" w:cs="Times New Roman" w:eastAsia="Times New Roman"/>
        </w:rPr>
        <w:t xml:space="preserve">, 86(6): 1244-1261. https://doi.org/10.1037/0021-9010.86.6.1244</w:t>
      </w:r>
    </w:p>
    <w:p>
      <w:pPr>
        <w:pStyle w:val="Reference"/>
      </w:pPr>
      <w:r>
        <w:rPr>
          <w:rFonts w:ascii="Times New Roman" w:hAnsi="Times New Roman" w:cs="Times New Roman" w:eastAsia="Times New Roman"/>
        </w:rPr>
        <w:t xml:space="preserve">33. Schmitt, M. T., Branscombe, N. R., Postmes, T., &amp; Garcia, A. (2014). The consequences of perceived discrimination for psychological well-being: A meta-analytic review.</w:t>
      </w:r>
      <w:r>
        <w:rPr>
          <w:rFonts w:ascii="Times New Roman" w:hAnsi="Times New Roman" w:cs="Times New Roman" w:eastAsia="Times New Roman"/>
        </w:rPr>
        <w:t xml:space="preserve"> </w:t>
      </w:r>
      <w:r>
        <w:rPr>
          <w:rFonts w:ascii="Times New Roman" w:hAnsi="Times New Roman" w:cs="Times New Roman" w:eastAsia="Times New Roman"/>
          <w:i/>
          <w:iCs/>
        </w:rPr>
        <w:t xml:space="preserve">Psychological Bulletin</w:t>
      </w:r>
      <w:r>
        <w:rPr>
          <w:rFonts w:ascii="Times New Roman" w:hAnsi="Times New Roman" w:cs="Times New Roman" w:eastAsia="Times New Roman"/>
        </w:rPr>
        <w:t xml:space="preserve">, 140(4): 921-948. https://doi.org/10.1037/a0035754</w:t>
      </w:r>
    </w:p>
    <w:p>
      <w:pPr>
        <w:pStyle w:val="Reference"/>
      </w:pPr>
      <w:r>
        <w:rPr>
          <w:rFonts w:ascii="Times New Roman" w:hAnsi="Times New Roman" w:cs="Times New Roman" w:eastAsia="Times New Roman"/>
        </w:rPr>
        <w:t xml:space="preserve">34. Schwarz, N. (1999). Self-reports: How the questions shape the answers.</w:t>
      </w:r>
      <w:r>
        <w:rPr>
          <w:rFonts w:ascii="Times New Roman" w:hAnsi="Times New Roman" w:cs="Times New Roman" w:eastAsia="Times New Roman"/>
        </w:rPr>
        <w:t xml:space="preserve"> </w:t>
      </w:r>
      <w:r>
        <w:rPr>
          <w:rFonts w:ascii="Times New Roman" w:hAnsi="Times New Roman" w:cs="Times New Roman" w:eastAsia="Times New Roman"/>
          <w:i/>
          <w:iCs/>
        </w:rPr>
        <w:t xml:space="preserve">American Psychologist</w:t>
      </w:r>
      <w:r>
        <w:rPr>
          <w:rFonts w:ascii="Times New Roman" w:hAnsi="Times New Roman" w:cs="Times New Roman" w:eastAsia="Times New Roman"/>
        </w:rPr>
        <w:t xml:space="preserve">, 54(2): 93-105. https://doi.org/10.1037/0003-066X.54.2.93</w:t>
      </w:r>
    </w:p>
    <w:p>
      <w:pPr>
        <w:pStyle w:val="Reference"/>
      </w:pPr>
      <w:r>
        <w:rPr>
          <w:rFonts w:ascii="Times New Roman" w:hAnsi="Times New Roman" w:cs="Times New Roman" w:eastAsia="Times New Roman"/>
        </w:rPr>
        <w:t xml:space="preserve">35. Tomic, D., O’Dwyer, M., Keegel, T., &amp; Walker-Bone, K. (2025). Mental health of LGBTQ+ workers: A systematic review.</w:t>
      </w:r>
      <w:r>
        <w:rPr>
          <w:rFonts w:ascii="Times New Roman" w:hAnsi="Times New Roman" w:cs="Times New Roman" w:eastAsia="Times New Roman"/>
        </w:rPr>
        <w:t xml:space="preserve"> </w:t>
      </w:r>
      <w:r>
        <w:rPr>
          <w:rFonts w:ascii="Times New Roman" w:hAnsi="Times New Roman" w:cs="Times New Roman" w:eastAsia="Times New Roman"/>
          <w:i/>
          <w:iCs/>
        </w:rPr>
        <w:t xml:space="preserve">BMC Psychiatry</w:t>
      </w:r>
      <w:r>
        <w:rPr>
          <w:rFonts w:ascii="Times New Roman" w:hAnsi="Times New Roman" w:cs="Times New Roman" w:eastAsia="Times New Roman"/>
        </w:rPr>
        <w:t xml:space="preserve">, 25: 114. https://doi.org/10.1186/s12888-025-06556-2</w:t>
      </w:r>
    </w:p>
    <w:p>
      <w:pPr>
        <w:pStyle w:val="Reference"/>
      </w:pPr>
      <w:r>
        <w:rPr>
          <w:rFonts w:ascii="Times New Roman" w:hAnsi="Times New Roman" w:cs="Times New Roman" w:eastAsia="Times New Roman"/>
        </w:rPr>
        <w:t xml:space="preserve">36. United Nations Development Programme, &amp; United States Agency for International Development. (2014).</w:t>
      </w:r>
      <w:r>
        <w:rPr>
          <w:rFonts w:ascii="Times New Roman" w:hAnsi="Times New Roman" w:cs="Times New Roman" w:eastAsia="Times New Roman"/>
        </w:rPr>
        <w:t xml:space="preserve"> </w:t>
      </w:r>
      <w:r>
        <w:rPr>
          <w:rFonts w:ascii="Times New Roman" w:hAnsi="Times New Roman" w:cs="Times New Roman" w:eastAsia="Times New Roman"/>
          <w:i/>
          <w:iCs/>
        </w:rPr>
        <w:t xml:space="preserve">Being LGBT in Asia: Viet Nam country report</w:t>
      </w:r>
      <w:r>
        <w:rPr>
          <w:rFonts w:ascii="Times New Roman" w:hAnsi="Times New Roman" w:cs="Times New Roman" w:eastAsia="Times New Roman"/>
        </w:rPr>
        <w:t xml:space="preserve">. United Nations Development Programme. Bangkok.</w:t>
      </w:r>
    </w:p>
    <w:p>
      <w:pPr>
        <w:pStyle w:val="Reference"/>
      </w:pPr>
      <w:r>
        <w:rPr>
          <w:rFonts w:ascii="Times New Roman" w:hAnsi="Times New Roman" w:cs="Times New Roman" w:eastAsia="Times New Roman"/>
        </w:rPr>
        <w:t xml:space="preserve">37. Velez, B. L., Moradi, B., &amp; Brewster, M. E. (2013). Testing the tenets of minority stress theory in workplace contexts.</w:t>
      </w:r>
      <w:r>
        <w:rPr>
          <w:rFonts w:ascii="Times New Roman" w:hAnsi="Times New Roman" w:cs="Times New Roman" w:eastAsia="Times New Roman"/>
        </w:rPr>
        <w:t xml:space="preserve"> </w:t>
      </w:r>
      <w:r>
        <w:rPr>
          <w:rFonts w:ascii="Times New Roman" w:hAnsi="Times New Roman" w:cs="Times New Roman" w:eastAsia="Times New Roman"/>
          <w:i/>
          <w:iCs/>
        </w:rPr>
        <w:t xml:space="preserve">Journal of Counseling Psychology</w:t>
      </w:r>
      <w:r>
        <w:rPr>
          <w:rFonts w:ascii="Times New Roman" w:hAnsi="Times New Roman" w:cs="Times New Roman" w:eastAsia="Times New Roman"/>
        </w:rPr>
        <w:t xml:space="preserve">, 60(4): 532-542. https://doi.org/10.1037/a0033346</w:t>
      </w:r>
    </w:p>
    <w:p>
      <w:pPr>
        <w:pStyle w:val="Reference"/>
      </w:pPr>
      <w:r>
        <w:rPr>
          <w:rFonts w:ascii="Times New Roman" w:hAnsi="Times New Roman" w:cs="Times New Roman" w:eastAsia="Times New Roman"/>
        </w:rPr>
        <w:t xml:space="preserve">38. Waldo, C. R. (1999). Working in a majority context: A structural model of heterosexism as minority stress in the workplace.</w:t>
      </w:r>
      <w:r>
        <w:rPr>
          <w:rFonts w:ascii="Times New Roman" w:hAnsi="Times New Roman" w:cs="Times New Roman" w:eastAsia="Times New Roman"/>
        </w:rPr>
        <w:t xml:space="preserve"> </w:t>
      </w:r>
      <w:r>
        <w:rPr>
          <w:rFonts w:ascii="Times New Roman" w:hAnsi="Times New Roman" w:cs="Times New Roman" w:eastAsia="Times New Roman"/>
          <w:i/>
          <w:iCs/>
        </w:rPr>
        <w:t xml:space="preserve">Journal of Counseling Psychology</w:t>
      </w:r>
      <w:r>
        <w:rPr>
          <w:rFonts w:ascii="Times New Roman" w:hAnsi="Times New Roman" w:cs="Times New Roman" w:eastAsia="Times New Roman"/>
        </w:rPr>
        <w:t xml:space="preserve">, 46(2): 218-232. https://doi.org/10.1037/0022-0167.46.2.218</w:t>
      </w:r>
    </w:p>
    <w:p>
      <w:pPr>
        <w:pStyle w:val="Reference"/>
      </w:pPr>
      <w:r>
        <w:rPr>
          <w:rFonts w:ascii="Times New Roman" w:hAnsi="Times New Roman" w:cs="Times New Roman" w:eastAsia="Times New Roman"/>
        </w:rPr>
        <w:t xml:space="preserve">39. Webster, J. R., Adams, G. A., Maranto, C. L., Sawyer, K., &amp; Thoroughgood, C. (2018). Workplace contextual supports for LGBT employees: A review, meta-analysis, and agenda for future research.</w:t>
      </w:r>
      <w:r>
        <w:rPr>
          <w:rFonts w:ascii="Times New Roman" w:hAnsi="Times New Roman" w:cs="Times New Roman" w:eastAsia="Times New Roman"/>
        </w:rPr>
        <w:t xml:space="preserve"> </w:t>
      </w:r>
      <w:r>
        <w:rPr>
          <w:rFonts w:ascii="Times New Roman" w:hAnsi="Times New Roman" w:cs="Times New Roman" w:eastAsia="Times New Roman"/>
          <w:i/>
          <w:iCs/>
        </w:rPr>
        <w:t xml:space="preserve">Human Resource Management</w:t>
      </w:r>
      <w:r>
        <w:rPr>
          <w:rFonts w:ascii="Times New Roman" w:hAnsi="Times New Roman" w:cs="Times New Roman" w:eastAsia="Times New Roman"/>
        </w:rPr>
        <w:t xml:space="preserve">, 57(1): 193-210. https://doi.org/10.1002/hrm.21873</w:t>
      </w:r>
    </w:p>
    <w:p>
      <w:pPr>
        <w:pStyle w:val="Reference"/>
      </w:pPr>
      <w:r>
        <w:rPr>
          <w:rFonts w:ascii="Times New Roman" w:hAnsi="Times New Roman" w:cs="Times New Roman" w:eastAsia="Times New Roman"/>
        </w:rPr>
        <w:t xml:space="preserve">40. World Health Organization. (2019).</w:t>
      </w:r>
      <w:r>
        <w:rPr>
          <w:rFonts w:ascii="Times New Roman" w:hAnsi="Times New Roman" w:cs="Times New Roman" w:eastAsia="Times New Roman"/>
        </w:rPr>
        <w:t xml:space="preserve"> </w:t>
      </w:r>
      <w:r>
        <w:rPr>
          <w:rFonts w:ascii="Times New Roman" w:hAnsi="Times New Roman" w:cs="Times New Roman" w:eastAsia="Times New Roman"/>
          <w:i/>
          <w:iCs/>
        </w:rPr>
        <w:t xml:space="preserve">International statistical classification of diseases and related health problems</w:t>
      </w:r>
      <w:r>
        <w:rPr>
          <w:rFonts w:ascii="Times New Roman" w:hAnsi="Times New Roman" w:cs="Times New Roman" w:eastAsia="Times New Roman"/>
        </w:rPr>
        <w:t xml:space="preserve"> </w:t>
      </w:r>
      <w:r>
        <w:rPr>
          <w:rFonts w:ascii="Times New Roman" w:hAnsi="Times New Roman" w:cs="Times New Roman" w:eastAsia="Times New Roman"/>
        </w:rPr>
        <w:t xml:space="preserve">(11th ed.). https://icd.who.int/</w:t>
      </w:r>
    </w:p>
    <w:bookmarkEnd w:id="35"/>
    <w:sectPr>
      <w:footerReference w:type="default" r:id="rId9"/>
      <w:footnotePr>
        <w:numRestart w:val="eachSect"/>
      </w:footnotePr>
      <w:pgSz w:w="11906" w:h="16838"/>
      <w:pgMar w:top="1417" w:bottom="1417" w:left="1701"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before="0" w:after="120" w:lineRule="auto" w:line="288"/>
      <w:ind w:left="0" w:firstLine="0"/>
      <w:jc w:val="both"/>
    </w:pPr>
    <w:rPr>
      <w:rFonts w:ascii="Times New Roman" w:hAnsi="Times New Roman"/>
      <w:sz w:val="24"/>
    </w:rPr>
  </w:style>
  <w:style w:styleId="BodyText" w:type="paragraph">
    <w:name w:val="Body Text"/>
    <w:basedOn w:val="Normal"/>
    <w:link w:val="BodyTextChar"/>
    <w:qFormat/>
    <w:pPr>
      <w:keepNext w:val="0"/>
      <w:spacing w:after="120" w:before="0" w:lineRule="auto" w:line="288"/>
      <w:ind w:left="0" w:firstLine="567"/>
      <w:jc w:val="both"/>
    </w:pPr>
    <w:rPr>
      <w:rFonts w:ascii="Times New Roman" w:hAnsi="Times New Roman"/>
      <w:sz w:val="24"/>
    </w:rPr>
  </w:style>
  <w:style w:customStyle="1" w:styleId="FirstParagraph" w:type="paragraph">
    <w:name w:val="First Paragraph"/>
    <w:basedOn w:val="BodyText"/>
    <w:next w:val="BodyText"/>
    <w:qFormat/>
    <w:pPr>
      <w:keepNext w:val="0"/>
      <w:spacing w:before="0" w:after="120" w:lineRule="auto" w:line="288"/>
      <w:ind w:left="0" w:firstLine="567"/>
      <w:jc w:val="both"/>
    </w:pPr>
    <w:rPr>
      <w:rFonts w:ascii="Times New Roman" w:hAnsi="Times New Roman"/>
      <w:sz w:val="24"/>
    </w:rPr>
  </w:style>
  <w:style w:customStyle="1" w:styleId="Compact" w:type="paragraph">
    <w:name w:val="Compact"/>
    <w:basedOn w:val="BodyText"/>
    <w:qFormat/>
    <w:pPr>
      <w:keepNext w:val="0"/>
      <w:spacing w:after="0" w:before="0" w:lineRule="auto" w:line="240"/>
      <w:ind w:left="0" w:firstLine="0"/>
      <w:jc w:val="left"/>
    </w:pPr>
    <w:rPr>
      <w:rFonts w:ascii="Times New Roman" w:hAnsi="Times New Roman"/>
      <w:sz w:val="24"/>
    </w:rPr>
  </w:style>
  <w:style w:styleId="Title" w:type="paragraph">
    <w:name w:val="Title"/>
    <w:basedOn w:val="Normal"/>
    <w:next w:val="BodyText"/>
    <w:link w:val="TitleChar"/>
    <w:uiPriority w:val="10"/>
    <w:qFormat/>
    <w:rsid w:val="00A10FD9"/>
    <w:pPr>
      <w:keepNext w:val="0"/>
      <w:spacing w:after="120" w:line="288" w:lineRule="auto" w:before="0"/>
      <w:ind w:left="0" w:firstLine="0"/>
      <w:contextualSpacing/>
      <w:jc w:val="center"/>
    </w:pPr>
    <w:rPr>
      <w:rFonts w:asciiTheme="majorHAnsi" w:cstheme="majorBidi" w:eastAsiaTheme="majorEastAsia" w:hAnsiTheme="majorHAnsi" w:ascii="Times New Roman" w:hAnsi="Times New Roman"/>
      <w:b/>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val="0"/>
      <w:numPr>
        <w:ilvl w:val="1"/>
      </w:numPr>
      <w:spacing w:before="0" w:after="240" w:lineRule="auto" w:line="288"/>
      <w:ind w:left="0" w:firstLine="0"/>
      <w:jc w:val="center"/>
    </w:pPr>
    <w:rPr>
      <w:rFonts w:cstheme="majorBidi" w:eastAsiaTheme="majorEastAsia" w:ascii="Times New Roman" w:hAnsi="Times New Roman"/>
      <w:i/>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Rule="auto" w:line="288"/>
      <w:ind w:left="0" w:firstLine="0"/>
      <w:jc w:val="left"/>
      <w:outlineLvl w:val="0"/>
    </w:pPr>
    <w:rPr>
      <w:rFonts w:asciiTheme="majorHAnsi" w:cstheme="majorBidi" w:eastAsiaTheme="majorEastAsia" w:hAnsiTheme="majorHAnsi" w:ascii="Times New Roman" w:hAnsi="Times New Roman"/>
      <w:b/>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00" w:lineRule="auto" w:line="288"/>
      <w:ind w:left="0" w:firstLine="0"/>
      <w:jc w:val="left"/>
      <w:outlineLvl w:val="1"/>
    </w:pPr>
    <w:rPr>
      <w:rFonts w:asciiTheme="majorHAnsi" w:cstheme="majorBidi" w:eastAsiaTheme="majorEastAsia" w:hAnsiTheme="majorHAnsi" w:ascii="Times New Roman" w:hAnsi="Times New Roman"/>
      <w:b/>
      <w:i/>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20" w:lineRule="auto" w:line="288"/>
      <w:ind w:left="0" w:firstLine="0"/>
      <w:jc w:val="left"/>
      <w:outlineLvl w:val="2"/>
    </w:pPr>
    <w:rPr>
      <w:rFonts w:cstheme="majorBidi" w:eastAsiaTheme="majorEastAsia" w:ascii="Times New Roman" w:hAnsi="Times New Roman"/>
      <w:b/>
      <w:i/>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40" w:after="120" w:lineRule="auto" w:line="288"/>
      <w:ind w:left="0" w:firstLine="0"/>
      <w:jc w:val="center"/>
    </w:pPr>
    <w:rPr>
      <w:rFonts w:ascii="Times New Roman" w:hAnsi="Times New Roman"/>
      <w:b/>
      <w:i w:val="0"/>
      <w:sz w:val="24"/>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uthorBlock">
    <w:name w:val="Author Block"/>
    <w:basedOn w:val="BodyText"/>
    <w:qFormat/>
    <w:pPr>
      <w:keepNext w:val="0"/>
      <w:spacing w:before="0" w:after="80" w:lineRule="auto" w:line="288"/>
      <w:ind w:left="0" w:firstLine="0"/>
      <w:jc w:val="center"/>
    </w:pPr>
    <w:rPr>
      <w:rFonts w:ascii="Times New Roman" w:hAnsi="Times New Roman"/>
      <w:sz w:val="24"/>
    </w:rPr>
  </w:style>
  <w:style w:type="paragraph" w:customStyle="1" w:styleId="Keywords">
    <w:name w:val="Keywords"/>
    <w:basedOn w:val="BodyText"/>
    <w:qFormat/>
    <w:pPr>
      <w:keepNext w:val="0"/>
      <w:spacing w:before="0" w:after="240" w:lineRule="auto" w:line="288"/>
      <w:ind w:left="0" w:firstLine="0"/>
      <w:jc w:val="both"/>
    </w:pPr>
    <w:rPr>
      <w:rFonts w:ascii="Times New Roman" w:hAnsi="Times New Roman"/>
      <w:sz w:val="24"/>
    </w:rPr>
  </w:style>
  <w:style w:type="paragraph" w:customStyle="1" w:styleId="Reference">
    <w:name w:val="Reference"/>
    <w:basedOn w:val="BodyText"/>
    <w:qFormat/>
    <w:pPr>
      <w:keepNext w:val="0"/>
      <w:spacing w:before="0" w:after="80" w:lineRule="auto" w:line="288"/>
      <w:ind w:left="567" w:hanging="567"/>
      <w:jc w:val="both"/>
    </w:pPr>
    <w:rPr>
      <w:rFonts w:ascii="Times New Roman" w:hAnsi="Times New Roman"/>
      <w:sz w:val="24"/>
    </w:rPr>
  </w:style>
  <w:style w:type="paragraph" w:customStyle="1" w:styleId="TableNote">
    <w:name w:val="Table Note"/>
    <w:basedOn w:val="BodyText"/>
    <w:qFormat/>
    <w:pPr>
      <w:keepNext/>
      <w:spacing w:before="80" w:after="40" w:lineRule="auto" w:line="240"/>
      <w:ind w:left="0" w:firstLine="0"/>
      <w:jc w:val="both"/>
    </w:pPr>
    <w:rPr>
      <w:rFonts w:ascii="Times New Roman" w:hAnsi="Times New Roman"/>
      <w:sz w:val="22"/>
    </w:rPr>
  </w:style>
  <w:style w:type="paragraph" w:customStyle="1" w:styleId="TableSource">
    <w:name w:val="Table Source"/>
    <w:basedOn w:val="BodyText"/>
    <w:qFormat/>
    <w:pPr>
      <w:keepNext w:val="0"/>
      <w:spacing w:before="40" w:after="240" w:lineRule="auto" w:line="240"/>
      <w:ind w:left="0" w:firstLine="0"/>
      <w:jc w:val="center"/>
    </w:pPr>
    <w:rPr>
      <w:rFonts w:ascii="Times New Roman" w:hAnsi="Times New Roman"/>
      <w:i/>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DEI TẠI NƠI LÀM VIỆC, KỲ THỊ VÀ SỨC KHỎE TÂM THẦN CỦA NGƯỜI LAO ĐỘNG LGBT Ở VIỆT NAM: PHÂN TÍCH THĂM DÒ VÀ HÀM Ý CHÍNH SÁCH</dc:title>
  <dc:creator/>
  <cp:keywords/>
  <dcterms:created xsi:type="dcterms:W3CDTF">2026-10-21T14:33:25Z</dcterms:created>
  <dcterms:modified xsi:type="dcterms:W3CDTF">2026-10-21T14:33:25Z</dcterms:modified>
  <cp:lastModifiedBy/>
</cp:coreProperties>
</file>

<file path=docProps/custom.xml><?xml version="1.0" encoding="utf-8"?>
<Properties xmlns="http://schemas.openxmlformats.org/officeDocument/2006/custom-properties" xmlns:vt="http://schemas.openxmlformats.org/officeDocument/2006/docPropsVTypes"/>
</file>