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Bệnh lý hay định kiến? Kỳ thị nơi làm việc và sức khỏe tâm thần của người lao động LGBT tại Việt Nam</w:t>
      </w:r>
    </w:p>
    <w:p>
      <w:pPr>
        <w:pStyle w:val="FirstParagraph"/>
      </w:pPr>
      <w:r>
        <w:rPr>
          <w:i/>
          <w:iCs/>
        </w:rPr>
        <w:t xml:space="preserve">Bản dịch tiếng Việt để đọc hiểu, không dùng để nộp. Bản chính thức là bản tiếng Anh trong</w:t>
      </w:r>
      <w:r>
        <w:rPr>
          <w:i/>
          <w:iCs/>
        </w:rPr>
        <w:t xml:space="preserve"> </w:t>
      </w:r>
      <w:r>
        <w:rPr>
          <w:rStyle w:val="VerbatimChar"/>
          <w:i/>
          <w:iCs/>
        </w:rPr>
        <w:t xml:space="preserve">docs/bai_nckh/srsp/Manuscript.docx</w:t>
      </w:r>
      <w:r>
        <w:rPr>
          <w:i/>
          <w:iCs/>
        </w:rPr>
        <w:t xml:space="preserve">. Bản dịch theo sát câu chữ của bản tiếng Anh; số thập phân viết theo kiểu Việt Nam (1,85). Danh mục tài liệu tham khảo giữ nguyên tiếng Anh, xem bản gốc.</w:t>
      </w:r>
    </w:p>
    <w:bookmarkStart w:id="18" w:name="tóm-tắt"/>
    <w:p>
      <w:pPr>
        <w:pStyle w:val="Heading1"/>
      </w:pPr>
      <w:r>
        <w:t xml:space="preserve">Tóm tắt</w:t>
      </w:r>
    </w:p>
    <w:p>
      <w:pPr>
        <w:pStyle w:val="FirstParagraph"/>
      </w:pPr>
      <w:r>
        <w:rPr>
          <w:b/>
          <w:bCs/>
        </w:rPr>
        <w:t xml:space="preserve">Đặt vấn đề.</w:t>
      </w:r>
      <w:r>
        <w:t xml:space="preserve"> </w:t>
      </w:r>
      <w:r>
        <w:t xml:space="preserve">Người trưởng thành thuộc nhóm thiểu số về tính dục và giới báo cáo lo âu và trầm cảm nhiều hơn những người trưởng thành khác, nhưng các chênh lệch như vậy không cho biết sự đau khổ tâm lý bắt nguồn từ bản dạng hay từ định kiến. Lý thuyết căng thẳng thiểu số dự báo rằng những thành viên nhóm thiểu số trải qua nhiều kỳ thị hơn sẽ báo cáo nhiều triệu chứng hơn. Chúng tôi xem xét người lao động LGBT tại Việt Nam trải nghiệm những hình thức kỳ thị nào tại nơi làm việc và các hình thức đó liên hệ thế nào với triệu chứng.</w:t>
      </w:r>
    </w:p>
    <w:p>
      <w:pPr>
        <w:pStyle w:val="BodyText"/>
      </w:pPr>
      <w:r>
        <w:rPr>
          <w:b/>
          <w:bCs/>
        </w:rPr>
        <w:t xml:space="preserve">Phương pháp.</w:t>
      </w:r>
      <w:r>
        <w:t xml:space="preserve"> </w:t>
      </w:r>
      <w:r>
        <w:t xml:space="preserve">Trong một khảo sát cắt ngang thực hiện năm 2026, 235 người lao động LGBT cho biết tần suất họ đã gặp tám tình huống kỳ thị tại nơi làm việc trong 12 tháng qua và trả lời thang PHQ-4. Các mô hình điều chỉnh theo các đặc điểm có trước phơi nhiễm.</w:t>
      </w:r>
    </w:p>
    <w:p>
      <w:pPr>
        <w:pStyle w:val="BodyText"/>
      </w:pPr>
      <w:r>
        <w:rPr>
          <w:b/>
          <w:bCs/>
        </w:rPr>
        <w:t xml:space="preserve">Kết quả.</w:t>
      </w:r>
      <w:r>
        <w:t xml:space="preserve"> </w:t>
      </w:r>
      <w:r>
        <w:t xml:space="preserve">Hơn một nửa số người tham gia (57,0%) cho biết đã gặp ít nhất một tình huống. Kỳ thị trong giao tiếp là hình thức phổ biến nhất (47,2%), nhất là các câu hỏi riêng tư không mong muốn (33,9%) và lời đùa xúc phạm (26,8%), trong khi kỳ thị liên quan đến nghề nghiệp (17,4%) và kỳ thị về thể hiện giới (18,0%) ít gặp hơn. Chênh lệch một đơn vị của chỉ số kỳ thị đi kèm điểm PHQ-4 cao hơn 1,85 điểm (KTC 95% [0,71; 2,99]), và ước lượng mang dấu dương trong cả 32 đặc tả. Mối liên hệ rõ ràng với kỳ thị trong giao tiếp và chưa xác định với các hình thức còn lại.</w:t>
      </w:r>
    </w:p>
    <w:p>
      <w:pPr>
        <w:pStyle w:val="BodyText"/>
      </w:pPr>
      <w:r>
        <w:rPr>
          <w:b/>
          <w:bCs/>
        </w:rPr>
        <w:t xml:space="preserve">Kết luận.</w:t>
      </w:r>
      <w:r>
        <w:t xml:space="preserve"> </w:t>
      </w:r>
      <w:r>
        <w:t xml:space="preserve">Triệu chứng thay đổi theo mức phơi nhiễm kỳ thị bên trong nhóm. Đây là một gradient mà lý thuyết căng thẳng thiểu số dự báo nhưng cách giải thích dựa trên bản dạng không dự báo, dù thiết kế cắt ngang không xác lập được chiều của mối liên hệ.</w:t>
      </w:r>
    </w:p>
    <w:p>
      <w:pPr>
        <w:pStyle w:val="BodyText"/>
      </w:pPr>
      <w:r>
        <w:rPr>
          <w:b/>
          <w:bCs/>
        </w:rPr>
        <w:t xml:space="preserve">Hàm ý chính sách.</w:t>
      </w:r>
      <w:r>
        <w:t xml:space="preserve"> </w:t>
      </w:r>
      <w:r>
        <w:t xml:space="preserve">Mức triệu chứng cao hơn ở người lao động LGBT không nên được hiểu là bằng chứng của bệnh lý. Việc bổ sung xu hướng tính dục và bản dạng giới vào Bộ luật Lao động, cùng với các quy định nơi làm việc chống lời đùa miệt thị và câu hỏi xâm phạm đời tư, sẽ nhắm vào những hình thức kỳ thị được báo cáo nhiều nhất.</w:t>
      </w:r>
    </w:p>
    <w:p>
      <w:pPr>
        <w:pStyle w:val="BodyText"/>
      </w:pPr>
      <w:r>
        <w:rPr>
          <w:b/>
          <w:bCs/>
        </w:rPr>
        <w:t xml:space="preserve">Từ khóa:</w:t>
      </w:r>
      <w:r>
        <w:t xml:space="preserve"> </w:t>
      </w:r>
      <w:r>
        <w:t xml:space="preserve">Căng thẳng thiểu số · Kỳ thị nơi làm việc · Kỳ thị thể hiện · Người lao động LGBT · Lo âu · Trầm cảm · Việt Nam</w:t>
      </w:r>
    </w:p>
    <w:bookmarkEnd w:id="18"/>
    <w:bookmarkStart w:id="24" w:name="đặt-vấn-đề-introduction"/>
    <w:p>
      <w:pPr>
        <w:pStyle w:val="Heading1"/>
      </w:pPr>
      <w:r>
        <w:t xml:space="preserve">Đặt vấn đề (Introduction)</w:t>
      </w:r>
    </w:p>
    <w:p>
      <w:pPr>
        <w:pStyle w:val="FirstParagraph"/>
      </w:pPr>
      <w:r>
        <w:t xml:space="preserve">Người trưởng thành thuộc nhóm thiểu số về tính dục có tỷ lệ trầm cảm và rối loạn lo âu cao hơn người trưởng thành dị tính (King và cộng sự, 2008; Plöderl &amp; Tremblay, 2015), và người song tính có tỷ lệ cao hơn cả người dị tính lẫn người đồng tính nam hoặc đồng tính nữ (Ross và cộng sự, 2018). Tuy vậy, một chênh lệch về tỷ lệ không cho biết nguồn gốc của nó. Một cách diễn giải coi bản dạng thiểu số về tính dục hoặc giới là nguồn gốc của đau khổ tâm lý, còn cách diễn giải kia coi đau khổ là hệ quả của cách xã hội đối xử với những người mang các bản dạng này (I. H. Meyer, 2003).</w:t>
      </w:r>
    </w:p>
    <w:p>
      <w:pPr>
        <w:pStyle w:val="BodyText"/>
      </w:pPr>
      <w:r>
        <w:t xml:space="preserve">Cách diễn giải thứ nhất đã mất chỗ đứng khoa học. Đồng tính luyến ái được đưa ra khỏi sổ tay chẩn đoán của Hiệp hội Tâm thần học Hoa Kỳ năm 1973 (Drescher, 2015), và bản sửa đổi lần thứ mười một của Phân loại Bệnh tật Quốc tế đã chuyển tình trạng không phù hợp giới ra khỏi chương rối loạn tâm thần (World Health Organization, 2019). Dù vậy, quan điểm bệnh lý hóa vẫn tồn tại trong đời sống xã hội, kể cả ở Việt Nam. Tại đây, đã có ghi nhận về các bài giảng ở trường học trình bày hấp dẫn đồng giới như một rối loạn tâm thần có thể chữa khỏi (Human Rights Watch, 2020), và năm 2022 Bộ Y tế đã yêu cầu các cơ sở khám chữa bệnh không coi đồng tính, song tính hay chuyển giới là bệnh (Ministry of Health of Vietnam, 2022). Trong bối cảnh đó, bằng chứng rằng người LGBT báo cáo nhiều đau khổ tâm lý hơn rất dễ bị dùng để củng cố chính định kiến có thể góp phần tạo ra đau khổ ấy.</w:t>
      </w:r>
    </w:p>
    <w:p>
      <w:pPr>
        <w:pStyle w:val="BodyText"/>
      </w:pPr>
      <w:r>
        <w:t xml:space="preserve">Nơi làm việc là bối cảnh đặc biệt giàu thông tin để xem xét câu hỏi này. Người trưởng thành dành phần lớn thời gian thức ở nơi làm việc, tiếp xúc lặp đi lặp lại với cùng đồng nghiệp và cấp trên, và khó tránh mặt họ. Nơi làm việc cũng chuyển định kiến thành quyết định về phân công, đánh giá và tiền lương. Ở Việt Nam, Bộ luật Lao động cấm phân biệt đối xử trong lao động dựa trên một danh sách căn cứ không có xu hướng tính dục và bản dạng giới (National Assembly of Vietnam, 2019), nên sự bảo vệ dành cho người lao động LGBT chủ yếu phụ thuộc vào người sử dụng lao động. Tuy nhiên, hiện chưa rõ người lao động LGBT ở Việt Nam gặp những hình thức kỳ thị nào tại nơi làm việc và các trải nghiệm này liên hệ thế nào với sức khỏe tâm thần của họ. Vì vậy cần có nghiên cứu mô tả những trải nghiệm này và xem xét mối liên hệ của chúng với triệu chứng lo âu và trầm cảm.</w:t>
      </w:r>
    </w:p>
    <w:bookmarkStart w:id="19" w:name="Xcfbbaeab9e378aeca51d1d6badd39480de68b8c"/>
    <w:p>
      <w:pPr>
        <w:pStyle w:val="Heading2"/>
      </w:pPr>
      <w:r>
        <w:t xml:space="preserve">Kỳ thị nơi làm việc và căng thẳng thiểu số</w:t>
      </w:r>
    </w:p>
    <w:p>
      <w:pPr>
        <w:pStyle w:val="FirstParagraph"/>
      </w:pPr>
      <w:r>
        <w:t xml:space="preserve">Link và Phelan (2001) định nghĩa kỳ thị là sự cùng xuất hiện của việc dán nhãn, rập khuôn, tách biệt, mất vị thế và phân biệt đối xử trong một tình huống có thực thi quyền lực, nên phân biệt đối xử chỉ là một thành phần của một quá trình rộng hơn. Nghiên cứu này dùng khái niệm kỳ thị thể hiện (enacted stigma), được chúng tôi định nghĩa là những hành vi và điều kiện tại nơi làm việc nhắm vào, hoặc dựa trên, xu hướng tính dục, bản dạng giới hay thể hiện giới của người lao động, và làm người lao động bị hạ thấp, bị xâm phạm hoặc bị thiệt thòi. Mô hình căng thẳng thiểu số (I. H. Meyer, 1995, 2003) cho rằng các trải nghiệm như vậy góp phần làm sức khỏe tâm thần của người thiểu số về tính dục kém hơn, vì họ sống trong một xã hội kỳ thị bản dạng của họ. Mô hình phân biệt tác nhân xa (distal stressors), như phân biệt đối xử và quấy rối, với tác nhân gần (proximal stressors), như dự đoán bị từ chối, che giấu danh tính và kỳ thị nội tâm hóa, đồng thời gán cho cách ứng phó và hỗ trợ xã hội vai trò làm thay đổi mối liên hệ giữa căng thẳng và sức khỏe. Hatzenbuehler (2009) bổ sung rằng căng thẳng liên quan đến kỳ thị có thể làm suy giảm khả năng điều hòa cảm xúc, chức năng liên cá nhân và nhận thức, và các suy giảm này có thể dẫn đến bệnh lý tâm thần. Các nghiên cứu sau đó mở rộng mô hình sang kỳ thị cấu trúc (Hatzenbuehler, 2016; Hatzenbuehler và cộng sự, 2010; Pachankis &amp; Bränström, 2018) và sang người chuyển giới, người không tuân theo chuẩn giới (Hendricks &amp; Testa, 2012), đồng thời nhấn mạnh rằng các quá trình căng thẳng thiểu số cần được xem xét trong những bối cảnh xã hội và chính sách khác nhau (Frost &amp; Meyer, 2023).</w:t>
      </w:r>
    </w:p>
    <w:p>
      <w:pPr>
        <w:pStyle w:val="BodyText"/>
      </w:pPr>
      <w:r>
        <w:t xml:space="preserve">Mô hình đưa ra ba loại dự báo. Ở cấp quần thể, nhóm thiểu số sẽ báo cáo nhiều triệu chứng hơn nhóm đa số. Bên trong một nhóm thiểu số, những thành viên phơi nhiễm nhiều tác nhân xa hơn sẽ báo cáo nhiều triệu chứng hơn những thành viên khác. Cuối cùng, tác nhân gần sẽ nằm trên con đường từ tác nhân xa đến triệu chứng. Kiểm định dự báo thứ nhất đòi hỏi một nhóm so sánh được tuyển chọn tương đương, còn kiểm định dự báo thứ ba đòi hỏi dữ liệu có thứ tự thời gian, vì ước lượng trung gian từ dữ liệu cắt ngang có thể bị chệch đáng kể (Maxwell &amp; Cole, 2007). Kiểm định dự báo thứ hai chỉ cần sự khác biệt về mức phơi nhiễm bên trong nhóm. Dự báo này cũng là dự báo phân biệt được hai cách diễn giải nêu trên: cả hai cách diễn giải đều dự báo có chênh lệch giữa các nhóm, nhưng chỉ cách diễn giải định kiến dự báo rằng triệu chứng thay đổi theo mức phơi nhiễm kỳ thị giữa những người cùng mang bản dạng LGBT. Cách giải thích dựa trên bản dạng, vốn đặt nguồn gốc đau khổ vào một đặc điểm mà mọi thành viên của nhóm đều có, không cho lý do nào để kỳ vọng có gradient như vậy. Tuy nhiên, một gradient không loại trừ các cách giải thích cạnh tranh, chẳng hạn người có nhiều triệu chứng hơn nhớ lại nhiều sự kiện tiêu cực hơn, hoặc có một yếu tố thứ ba chi phối cả hai.</w:t>
      </w:r>
    </w:p>
    <w:p>
      <w:pPr>
        <w:pStyle w:val="BodyText"/>
      </w:pPr>
      <w:r>
        <w:t xml:space="preserve">Bằng chứng về gradient bên trong nhóm thiểu số mạnh hơn đối với mối liên hệ đồng thời so với mối liên hệ theo thời gian. Ở nhiều nhóm bị kỳ thị, người báo cáo nhiều phân biệt đối xử hơn cũng báo cáo trạng thái tinh thần kém hơn (Lewis và cộng sự, 2015), với hệ số tương quan trung bình</w:t>
      </w:r>
      <w:r>
        <w:t xml:space="preserve"> </w:t>
      </w:r>
      <w:r>
        <w:rPr>
          <w:i/>
          <w:iCs/>
        </w:rPr>
        <w:t xml:space="preserve">r</w:t>
      </w:r>
      <w:r>
        <w:t xml:space="preserve"> </w:t>
      </w:r>
      <w:r>
        <w:t xml:space="preserve">= −0,23 trong phân tích tổng hợp của Schmitt và cộng sự (2014). Trong cùng phân tích tổng hợp đó, mối liên hệ vẫn mang dấu âm trong các nghiên cứu theo dõi có kiểm soát trạng thái tinh thần trước đó (</w:t>
      </w:r>
      <w:r>
        <w:rPr>
          <w:i/>
          <w:iCs/>
        </w:rPr>
        <w:t xml:space="preserve">r</w:t>
      </w:r>
      <w:r>
        <w:t xml:space="preserve"> </w:t>
      </w:r>
      <w:r>
        <w:t xml:space="preserve">= −0,15). Các nghiên cứu theo thời gian ở người thiểu số về tính dục và giới cho kết quả không thống nhất. Trải nghiệm phân biệt đối xử vì xu hướng tính dục dự báo được sự gia tăng triệu chứng trầm cảm và lo âu sáu tháng sau (Dyar và cộng sự, 2020, trích theo Herry &amp; Dyar, 2025), trong khi một nghiên cứu kéo dài tám năm ở người thiểu số về tính dục có giới tính khi sinh là nam cho thấy tác nhân xa đi kèm triệu chứng đồng thời nhưng không dự báo thay đổi về sau (Pachankis và cộng sự, 2018, trích theo Herry &amp; Dyar, 2025). Vì vậy, một gradient cắt ngang có thể cho thấy kỳ thị và triệu chứng cùng xuất hiện, nhưng không xác lập được thứ tự thời gian giữa chúng.</w:t>
      </w:r>
    </w:p>
    <w:p>
      <w:pPr>
        <w:pStyle w:val="BodyText"/>
      </w:pPr>
      <w:r>
        <w:t xml:space="preserve">Nghiên cứu về căng thẳng thiểu số tại nơi làm việc nhất quán về chiều hướng nhưng hạn chế về thiết kế và bối cảnh. Định kiến dị tính và phân biệt đối xử tại nơi làm việc đi kèm mức đau khổ tâm lý cao hơn ở người lao động đồng tính và song tính tại Hoa Kỳ (Velez và cộng sự, 2013; Waldo, 1999). Một tổng quan hệ thống gần đây xác định 32 nghiên cứu trên 8.369 người lao động LGBTQ+, trong đó 30 nghiên cứu là cắt ngang. Phần lớn các nghiên cứu này so sánh người lao động LGBTQ+ với người lao động khác, và kỳ thị nội tâm hóa, định kiến dị tính, căng thẳng công việc và thu nhập thấp đi kèm sức khỏe tâm thần kém hơn ở một số nhóm (Tomic và cộng sự, 2025). Các nghiên cứu về sự khác biệt bên trong lực lượng lao động LGBTQ+ ít hơn. Ví dụ, một khảo sát ở Canada trên 531 người lao động LGBTQ đã xem xét việc làm bấp bênh, ngành nghề và mức hỗ trợ dành cho người LGBTQ được cảm nhận tại nơi làm việc liên hệ thế nào với sức khỏe tâm thần tự đánh giá (Owens và cộng sự, 2022). Trong một trong số ít nghiên cứu ở châu Á, phân biệt đối xử và các tác nhân căng thẳng thiểu số khác ở 706 nhân viên LGBTQ Trung Quốc đi kèm cảm nhận kém thuận lợi hơn về bầu không khí nơi làm việc, và cảm nhận này lại đi kèm nhiều triệu chứng trầm cảm hơn, tuy nghiên cứu không xem xét lo âu (Lo và cộng sự, 2025).</w:t>
      </w:r>
    </w:p>
    <w:bookmarkEnd w:id="19"/>
    <w:bookmarkStart w:id="20" w:name="các-hình-thức-kỳ-thị-nơi-làm-việc"/>
    <w:p>
      <w:pPr>
        <w:pStyle w:val="Heading2"/>
      </w:pPr>
      <w:r>
        <w:t xml:space="preserve">Các hình thức kỳ thị nơi làm việc</w:t>
      </w:r>
    </w:p>
    <w:p>
      <w:pPr>
        <w:pStyle w:val="FirstParagraph"/>
      </w:pPr>
      <w:r>
        <w:t xml:space="preserve">Một số đặc điểm của nơi làm việc có thể làm thay đổi cách các tác nhân xa vận hành. Tương tác ở nơi làm việc lặp lại và khó tránh, và rời bỏ một nơi làm việc có kỳ thị đồng nghĩa với mất thu nhập. Tổ chức phân bổ nguồn lực theo thứ bậc, nên định kiến của người ra quyết định có thể trở thành thiệt thòi chính thức. Tổ chức cũng có thể xử phạt hoặc dung thứ kỳ thị, và nhân viên đồng tính đã báo cáo ít phân biệt đối xử hơn ở những tổ chức có chính sách và thực hành hỗ trợ (Ragins &amp; Cornwell, 2001). Tuy vậy, kỳ thị ở nơi làm việc không nhất thiết mang hình thức chính thức. Trong một nghiên cứu thực địa, người xin việc được giới thiệu là đồng tính không bị đối xử khác về mặt chính thức, nhưng nhận được nhiều phản ứng tiêu cực hơn trong giao tiếp (Hebl và cộng sự, 2002).</w:t>
      </w:r>
    </w:p>
    <w:p>
      <w:pPr>
        <w:pStyle w:val="BodyText"/>
      </w:pPr>
      <w:r>
        <w:t xml:space="preserve">Dựa trên các nghiên cứu này, nghiên cứu hiện tại phân biệt ba hình thức kỳ thị thể hiện. Kỳ thị trong giao tiếp gồm sự miệt thị, như lời đùa và bình luận xúc phạm, phần nào trùng với các vi hành vi gây hấn (microaggressions) được Nadal và cộng sự (2016) tổng quan, và sự xâm phạm đời tư, gồm câu hỏi riêng tư không mong muốn và việc tiết lộ bản dạng của người lao động khi chưa được đồng ý. Kỳ thị liên quan đến nghề nghiệp gồm phân biệt đối xử chính thức trong đào tạo, đánh giá, tiền lương và phân công công việc. Kỳ thị về thể hiện giới gồm áp lực phải tuân theo khuôn mẫu giới và các rào cản đối với việc thể hiện bản dạng giới, như khó khăn khi dùng tên gọi, đại từ nhân xưng, trang phục hoặc nhà vệ sinh của mình. Trong ba hình thức này, chỉ kỳ thị liên quan đến nghề nghiệp tương ứng với khái niệm phân biệt đối xử theo định nghĩa của Bộ luật Lao động Việt Nam (National Assembly of Vietnam, 2019).</w:t>
      </w:r>
    </w:p>
    <w:p>
      <w:pPr>
        <w:pStyle w:val="BodyText"/>
      </w:pPr>
      <w:r>
        <w:t xml:space="preserve">Ba hình thức này khác nhau theo những cách có ý nghĩa cho cả đo lường lẫn chính sách. Sự kiện trong giao tiếp nhận ra được ngay khi xảy ra, vì một lời đùa xúc phạm tự mang nội dung kỳ thị. Ngược lại, một quyết định về đào tạo hay tiền lương chỉ được tính là kỳ thị nếu người lao động quy nó cho xu hướng tính dục hoặc bản dạng giới của mình, và tự báo cáo kiểu này có thể dễ chịu ảnh hưởng của tâm trạng và kỳ vọng hơn (Lewis và cộng sự, 2015). Các hình thức cũng có thể khác nhau về mức liên hệ với đau khổ tâm lý. Trong các nghiên cứu thực nghiệm được Schmitt và cộng sự (2014) tổng quan, việc tác động vào cảm nhận chung về phân biệt đối xử làm giảm trạng thái tinh thần, còn việc quy một sự kiện tiêu cực đơn lẻ cho phân biệt đối xử thì không, gợi ý rằng các sự kiện thường ngày, thường xuyên có thể quan trọng hơn các quyết định hiếm gặp. Một điểm tổng cộng không cho biết người lao động gặp hình thức nào nhiều nhất hay hình thức nào đi kèm triệu chứng, trong khi luật và quy định nơi làm việc nhắm vào những hành vi cụ thể chứ không nhắm vào một điểm tổng.</w:t>
      </w:r>
    </w:p>
    <w:bookmarkEnd w:id="20"/>
    <w:bookmarkStart w:id="21" w:name="X0bcd8ca965881698f6b2a441755c578b4928f71"/>
    <w:p>
      <w:pPr>
        <w:pStyle w:val="Heading2"/>
      </w:pPr>
      <w:r>
        <w:t xml:space="preserve">Kỳ thị nơi làm việc trong bối cảnh Việt Nam</w:t>
      </w:r>
    </w:p>
    <w:p>
      <w:pPr>
        <w:pStyle w:val="FirstParagraph"/>
      </w:pPr>
      <w:r>
        <w:t xml:space="preserve">Cách pháp luật Việt Nam đối xử với người LGBT gồm những yếu tố theo các hướng khác nhau. Ngành y tế đã bác bỏ quan điểm bệnh lý hóa (Ministry of Health of Vietnam, 2022), và Bộ luật Dân sự công nhận việc chuyển đổi giới tính nhưng để một luật riêng điều chỉnh (National Assembly of Vietnam, 2015, Điều 37). Đồng thời, Luật Hôn nhân và gia đình không thừa nhận hôn nhân giữa những người cùng giới tính (National Assembly of Vietnam, 2014, Điều 8 khoản 2), và khoản 8 Điều 3 Bộ luật Lao động định nghĩa phân biệt đối xử trong lao động qua một danh sách căn cứ không có xu hướng tính dục và bản dạng giới (National Assembly of Vietnam, 2019). Hệ quả là người lao động LGBT có ít căn cứ để khiếu nại, người sử dụng lao động không có nghĩa vụ pháp lý cụ thể phải xử lý, và lời đùa xúc phạm hay câu hỏi xâm phạm đời tư dễ bị coi là chuyện riêng giữa đồng nghiệp. Vì luật lao động áp dụng thống nhất trên cả nước, mức bảo vệ khác nhau chủ yếu giữa các tổ chức, trong khi nghiên cứu ở Hoa Kỳ có thể dựa vào sự khác biệt về luật giữa các bang (Herry &amp; Dyar, 2025; Ragins &amp; Cornwell, 2001).</w:t>
      </w:r>
    </w:p>
    <w:p>
      <w:pPr>
        <w:pStyle w:val="BodyText"/>
      </w:pPr>
      <w:r>
        <w:t xml:space="preserve">Báo cáo của các tổ chức quốc tế và tổ chức xã hội dân sự ghi nhận mức độ phổ biến của kỳ thị ở Việt Nam. Trong một khảo sát toàn quốc trên 2.363 người LGBT, khoảng một phần ba cho biết đã bị phân biệt đối xử vì xu hướng tính dục hoặc bản dạng giới trong 12 tháng trước đó, thường gặp nhất trong gia đình, ở trường học và tại nơi làm việc (Luong &amp; Pham, 2015; xem thêm United Nations Development Programme &amp; United States Agency for International Development, 2014). Tuy nhiên, các báo cáo này không phân biệt các hình thức kỳ thị trong một lĩnh vực, cũng không ước lượng mối liên hệ với sức khỏe tâm thần. Các nghiên cứu định lượng có bình duyệt ở Việt Nam đã xây dựng công cụ đo cho phụ nữ thiểu số về tính dục (T. Q. Nguyen, Bandeen-Roche, và cộng sự, 2016; T. Q. Nguyen, Poteat, và cộng sự, 2016) và chủ yếu xem xét các quá trình gần trong từng nhóm riêng, như kỳ thị đồng tính nội tâm hóa, việc công khai và triệu chứng trầm cảm ở phụ nữ thiểu số về tính dục (Tran và cộng sự, 2020), và tình trạng phiền muộn giới với đau khổ tâm lý ở người chuyển giới (L. V. Nguyen và cộng sự, 2026). Ở nam quan hệ tình dục đồng giới tại Hà Nội, kỳ thị được cảm nhận và kỳ thị nội tâm hóa liên hệ gián tiếp với hành vi tình dục nguy cơ thông qua trầm cảm và sử dụng chất (Ha và cộng sự, 2015). Theo hiểu biết của chúng tôi, các tác nhân xa trong một lĩnh vực cụ thể của đời sống, như nơi làm việc, chưa được đo lường một cách hệ thống ở Việt Nam.</w:t>
      </w:r>
    </w:p>
    <w:bookmarkEnd w:id="21"/>
    <w:bookmarkStart w:id="22" w:name="nghiên-cứu-hiện-tại"/>
    <w:p>
      <w:pPr>
        <w:pStyle w:val="Heading2"/>
      </w:pPr>
      <w:r>
        <w:t xml:space="preserve">Nghiên cứu hiện tại</w:t>
      </w:r>
    </w:p>
    <w:p>
      <w:pPr>
        <w:pStyle w:val="FirstParagraph"/>
      </w:pPr>
      <w:r>
        <w:t xml:space="preserve">Ba khoảng trống trong tài liệu là lý do thực hiện nghiên cứu này. Thứ nhất, bằng chứng về sức khỏe tâm thần của người lao động LGBT chủ yếu được báo cáo dưới dạng chênh lệch so với người lao động khác (Tomic và cộng sự, 2025), và các so sánh như vậy không phân biệt được cách diễn giải bệnh lý với cách diễn giải định kiến. Thứ hai, các nghiên cứu nền tảng về căng thẳng thiểu số ở nơi làm việc được thực hiện tại Hoa Kỳ, còn bằng chứng từ những nơi luật lao động không nêu xu hướng tính dục hay bản dạng giới và quan điểm bệnh lý hóa vẫn tồn tại thì còn ít. Theo hiểu biết của chúng tôi, chưa có nghiên cứu có bình duyệt nào ở Việt Nam mô tả các hình thức kỳ thị thể hiện mà người lao động LGBT gặp tại nơi làm việc hay ước lượng mối liên hệ của chúng với triệu chứng lo âu và trầm cảm. Thứ ba, khi kỳ thị nơi làm việc được cộng thành một điểm duy nhất hoặc gộp với kỳ thị trong các lĩnh vực khác (ví dụ, Herry &amp; Dyar, 2025), không thể xác định người lao động gặp những hình thức hành vi nào hay hình thức nào đi kèm triệu chứng, và một số nghiên cứu chỉ đo triệu chứng trầm cảm (Lo và cộng sự, 2025; Tran và cộng sự, 2020).</w:t>
      </w:r>
    </w:p>
    <w:p>
      <w:pPr>
        <w:pStyle w:val="BodyText"/>
      </w:pPr>
      <w:r>
        <w:t xml:space="preserve">Nghiên cứu này lấp các khoảng trống đó bằng cách xem xét hai câu hỏi ở người lao động LGBT tại Việt Nam. Câu hỏi thứ nhất là người lao động LGBT gặp những hình thức kỳ thị thể hiện nào tại nơi làm việc và gặp thường xuyên đến mức nào. Câu hỏi thứ hai là các hình thức này liên hệ thế nào với mức độ triệu chứng lo âu và trầm cảm sau khi điều chỉnh các đặc điểm có trước phơi nhiễm. Chúng tôi dùng LGBT như một thuật ngữ chung cho người thiểu số về tính dục và người thiểu số về giới, đồng thời ghi nhận rằng giới tính khi sinh, bản dạng giới và xu hướng tính dục là những khía cạnh khác nhau (National Academies of Sciences, Engineering, and Medicine, 2022). Chúng tôi xem xét mức độ triệu chứng chứ không phải rối loạn đã được chẩn đoán, nên điểm cao hơn không có nghĩa là có rối loạn, cũng không có nghĩa là một bản dạng là bệnh lý. Mọi phân tích đều so sánh người lao động LGBT với nhau.</w:t>
      </w:r>
    </w:p>
    <w:bookmarkEnd w:id="22"/>
    <w:bookmarkStart w:id="23" w:name="giả-thuyết"/>
    <w:p>
      <w:pPr>
        <w:pStyle w:val="Heading2"/>
      </w:pPr>
      <w:r>
        <w:t xml:space="preserve">Giả thuyết</w:t>
      </w:r>
    </w:p>
    <w:p>
      <w:pPr>
        <w:pStyle w:val="FirstParagraph"/>
      </w:pPr>
      <w:r>
        <w:t xml:space="preserve">Câu hỏi thứ nhất mang tính mô tả và được xem xét mà không dùng kiểm định giả thuyết. Với câu hỏi thứ hai, chúng tôi đặt giả thuyết rằng, ở người lao động LGBT, kỳ thị thể hiện tại nơi làm việc càng thường xuyên thì càng đi kèm triệu chứng lo âu và trầm cảm nặng hơn, đo bằng tổng điểm PHQ-4 (H1). Theo những gì chúng tôi biết, chưa có nghiên cứu nào so sánh mối liên hệ của các hình thức kỳ thị nơi làm việc khác nhau với sức khỏe tâm thần ở người lao động LGBT tại Việt Nam. Vì vậy, chúng tôi xem xét, như một câu hỏi nghiên cứu thăm dò, kỳ thị trong giao tiếp, kỳ thị liên quan đến nghề nghiệp và kỳ thị về thể hiện giới liên hệ thế nào với điểm PHQ-4 và các mối liên hệ này có khác nhau hay không (RQ1). Các phân tích thăm dò bổ sung xem xét riêng từng tình huống kỳ thị và ba mức phơi nhiễm. Các phân tích thăm dò này nhằm mô tả dữ liệu và gợi hướng cho nghiên cứu sau, và không được dùng để thay thế hay củng cố kiểm định H1.</w:t>
      </w:r>
    </w:p>
    <w:bookmarkEnd w:id="23"/>
    <w:bookmarkEnd w:id="24"/>
    <w:bookmarkStart w:id="35" w:name="phương-pháp-methods"/>
    <w:p>
      <w:pPr>
        <w:pStyle w:val="Heading1"/>
      </w:pPr>
      <w:r>
        <w:t xml:space="preserve">Phương pháp (Methods)</w:t>
      </w:r>
    </w:p>
    <w:bookmarkStart w:id="25" w:name="người-tham-gia-và-quy-trình"/>
    <w:p>
      <w:pPr>
        <w:pStyle w:val="Heading2"/>
      </w:pPr>
      <w:r>
        <w:t xml:space="preserve">Người tham gia và quy trình</w:t>
      </w:r>
    </w:p>
    <w:p>
      <w:pPr>
        <w:pStyle w:val="FirstParagraph"/>
      </w:pPr>
      <w:r>
        <w:t xml:space="preserve">Nghiên cứu sử dụng dữ liệu từ một khảo sát cắt ngang người lao động tại Việt Nam thực hiện năm 2026. Khảo sát mở cho người lao động thuộc mọi xu hướng tính dục và bản dạng giới, và các phân tích ở đây tập trung vào những người tự nhận là LGBT. Để đủ điều kiện, người tham gia phải từ 18 tuổi trở lên và có một công việc chính tạo thu nhập tại Việt Nam, được xác minh qua hai câu hỏi sàng lọc. Vì không có khung chọn mẫu cho người LGBT ở Việt Nam, người tham gia được tuyển theo phương pháp thuận tiện và quả cầu tuyết trong các mạng lưới cộng đồng. Trước khi trả lời, người tham gia đọc một trang thông tin mô tả mục đích nghiên cứu, cảnh báo rằng bảng hỏi có câu hỏi nhạy cảm, và giải thích rằng họ có thể bỏ qua bất kỳ câu nào hoặc dừng bất cứ lúc nào. Người tham gia thể hiện sự đồng ý bằng cách tiếp tục trả lời bảng hỏi; bảng hỏi không thu thập tên, thông tin liên lạc, nơi cư trú hay tên cơ quan. [Tác giả: chèn câu về phê duyệt hoặc miễn xét duyệt đạo đức. Trong bản ẩn danh, tên hội đồng ghi</w:t>
      </w:r>
      <w:r>
        <w:t xml:space="preserve"> </w:t>
      </w:r>
      <w:r>
        <w:t xml:space="preserve">“masked for review”</w:t>
      </w:r>
      <w:r>
        <w:t xml:space="preserve">.]</w:t>
      </w:r>
    </w:p>
    <w:p>
      <w:pPr>
        <w:pStyle w:val="BodyText"/>
      </w:pPr>
      <w:r>
        <w:t xml:space="preserve">Bảng 1 cho thấy cách hình thành các mẫu. Trong 850 phiếu nhận được, 734 phiếu cho biết có công việc chính tạo thu nhập, và 719 phiếu trong số này trả lời ít nhất một câu sau các câu sàng lọc. Mọi người tham gia có dữ liệu như vậy đều đã qua câu sàng lọc về tuổi, nên tuổi không cần một bước loại riêng. Trong 719 người này, 300 người tự nhận là LGBT. Mẫu phân tích gồm 272 người LGBT có đủ câu trả lời PHQ-4 và chỉ số kỳ thị hợp lệ. Mẫu chính gồm 235 người trong số đó có đủ dữ liệu về các biến kiểm soát có trước phơi nhiễm khi</w:t>
      </w:r>
      <w:r>
        <w:t xml:space="preserve"> </w:t>
      </w:r>
      <w:r>
        <w:t xml:space="preserve">“không muốn trả lời”</w:t>
      </w:r>
      <w:r>
        <w:t xml:space="preserve"> </w:t>
      </w:r>
      <w:r>
        <w:t xml:space="preserve">được mã hóa thành một nhóm riêng (quy tắc chính). Khi</w:t>
      </w:r>
      <w:r>
        <w:t xml:space="preserve"> </w:t>
      </w:r>
      <w:r>
        <w:t xml:space="preserve">“không muốn trả lời”</w:t>
      </w:r>
      <w:r>
        <w:t xml:space="preserve"> </w:t>
      </w:r>
      <w:r>
        <w:t xml:space="preserve">được coi là giá trị thiếu (quy tắc thay thế), 226 người có đủ dữ liệu biến kiểm soát. Mỗi mô hình dùng những người có đủ dữ liệu về các biến trong mô hình đó.</w:t>
      </w:r>
    </w:p>
    <w:p>
      <w:pPr>
        <w:pStyle w:val="BodyText"/>
      </w:pPr>
      <w:r>
        <w:rPr>
          <w:b/>
          <w:bCs/>
        </w:rPr>
        <w:t xml:space="preserve">Bảng 1</w:t>
      </w:r>
      <w:r>
        <w:t xml:space="preserve"> </w:t>
      </w:r>
      <w:r>
        <w:rPr>
          <w:i/>
          <w:iCs/>
        </w:rPr>
        <w:t xml:space="preserve">Hình thành các mẫu</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7488"/>
        <w:gridCol w:w="1872"/>
      </w:tblGrid>
      <w:tr>
        <w:trPr>
          <w:cantSplit/>
          <w:tblHeader/>
        </w:trPr>
        <w:tc>
          <w:tcPr>
            <w:tcW w:w="7488"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Bước</w:t>
            </w:r>
          </w:p>
        </w:tc>
        <w:tc>
          <w:tcPr>
            <w:tcW w:w="1872"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p>
        </w:tc>
      </w:tr>
      <w:tr>
        <w:trPr>
          <w:cantSplit/>
        </w:trPr>
        <w:tc>
          <w:tcPr>
            <w:tcW w:w="7488" w:type="dxa"/>
          </w:tcPr>
          <w:p>
            <w:pPr>
              <w:pStyle w:val="Compact"/>
              <w:spacing w:before="0" w:after="0" w:line="240" w:lineRule="auto"/>
              <w:ind w:firstLine="0" w:left="0"/>
              <w:jc w:val="left"/>
            </w:pPr>
            <w:r>
              <w:rPr>
                <w:rFonts w:ascii="Times New Roman" w:hAnsi="Times New Roman"/>
                <w:sz w:val="20"/>
              </w:rPr>
              <w:t xml:space="preserve">Phiếu nhận được</w:t>
            </w:r>
          </w:p>
        </w:tc>
        <w:tc>
          <w:tcPr>
            <w:tcW w:w="1872" w:type="dxa"/>
          </w:tcPr>
          <w:p>
            <w:pPr>
              <w:pStyle w:val="Compact"/>
              <w:spacing w:before="0" w:after="0" w:line="240" w:lineRule="auto"/>
              <w:ind w:firstLine="0" w:left="0"/>
              <w:jc w:val="center"/>
            </w:pPr>
            <w:r>
              <w:rPr>
                <w:rFonts w:ascii="Times New Roman" w:hAnsi="Times New Roman"/>
                <w:sz w:val="20"/>
              </w:rPr>
              <w:t xml:space="preserve">850</w:t>
            </w:r>
          </w:p>
        </w:tc>
      </w:tr>
      <w:tr>
        <w:trPr>
          <w:cantSplit/>
        </w:trPr>
        <w:tc>
          <w:tcPr>
            <w:tcW w:w="7488" w:type="dxa"/>
          </w:tcPr>
          <w:p>
            <w:pPr>
              <w:pStyle w:val="Compact"/>
              <w:spacing w:before="0" w:after="0" w:line="240" w:lineRule="auto"/>
              <w:ind w:firstLine="0" w:left="0"/>
              <w:jc w:val="left"/>
            </w:pPr>
            <w:r>
              <w:rPr>
                <w:rFonts w:ascii="Times New Roman" w:hAnsi="Times New Roman"/>
                <w:sz w:val="20"/>
              </w:rPr>
              <w:t xml:space="preserve">Có công việc chính tạo thu nhập tại Việt Nam</w:t>
            </w:r>
          </w:p>
        </w:tc>
        <w:tc>
          <w:tcPr>
            <w:tcW w:w="1872" w:type="dxa"/>
          </w:tcPr>
          <w:p>
            <w:pPr>
              <w:pStyle w:val="Compact"/>
              <w:spacing w:before="0" w:after="0" w:line="240" w:lineRule="auto"/>
              <w:ind w:firstLine="0" w:left="0"/>
              <w:jc w:val="center"/>
            </w:pPr>
            <w:r>
              <w:rPr>
                <w:rFonts w:ascii="Times New Roman" w:hAnsi="Times New Roman"/>
                <w:sz w:val="20"/>
              </w:rPr>
              <w:t xml:space="preserve">734</w:t>
            </w:r>
          </w:p>
        </w:tc>
      </w:tr>
      <w:tr>
        <w:trPr>
          <w:cantSplit/>
        </w:trPr>
        <w:tc>
          <w:tcPr>
            <w:tcW w:w="7488" w:type="dxa"/>
          </w:tcPr>
          <w:p>
            <w:pPr>
              <w:pStyle w:val="Compact"/>
              <w:spacing w:before="0" w:after="0" w:line="240" w:lineRule="auto"/>
              <w:ind w:firstLine="0" w:left="0"/>
              <w:jc w:val="left"/>
            </w:pPr>
            <w:r>
              <w:rPr>
                <w:rFonts w:ascii="Times New Roman" w:hAnsi="Times New Roman"/>
                <w:sz w:val="20"/>
              </w:rPr>
              <w:t xml:space="preserve">Trả lời ít nhất một câu sau các câu sàng lọc</w:t>
            </w:r>
          </w:p>
        </w:tc>
        <w:tc>
          <w:tcPr>
            <w:tcW w:w="1872" w:type="dxa"/>
          </w:tcPr>
          <w:p>
            <w:pPr>
              <w:pStyle w:val="Compact"/>
              <w:spacing w:before="0" w:after="0" w:line="240" w:lineRule="auto"/>
              <w:ind w:firstLine="0" w:left="0"/>
              <w:jc w:val="center"/>
            </w:pPr>
            <w:r>
              <w:rPr>
                <w:rFonts w:ascii="Times New Roman" w:hAnsi="Times New Roman"/>
                <w:sz w:val="20"/>
              </w:rPr>
              <w:t xml:space="preserve">719</w:t>
            </w:r>
          </w:p>
        </w:tc>
      </w:tr>
      <w:tr>
        <w:trPr>
          <w:cantSplit/>
        </w:trPr>
        <w:tc>
          <w:tcPr>
            <w:tcW w:w="7488" w:type="dxa"/>
          </w:tcPr>
          <w:p>
            <w:pPr>
              <w:pStyle w:val="Compact"/>
              <w:spacing w:before="0" w:after="0" w:line="240" w:lineRule="auto"/>
              <w:ind w:firstLine="0" w:left="0"/>
              <w:jc w:val="left"/>
            </w:pPr>
            <w:r>
              <w:rPr>
                <w:rFonts w:ascii="Times New Roman" w:hAnsi="Times New Roman"/>
                <w:sz w:val="20"/>
              </w:rPr>
              <w:t xml:space="preserve">Tự nhận là LGBT</w:t>
            </w:r>
          </w:p>
        </w:tc>
        <w:tc>
          <w:tcPr>
            <w:tcW w:w="1872" w:type="dxa"/>
          </w:tcPr>
          <w:p>
            <w:pPr>
              <w:pStyle w:val="Compact"/>
              <w:spacing w:before="0" w:after="0" w:line="240" w:lineRule="auto"/>
              <w:ind w:firstLine="0" w:left="0"/>
              <w:jc w:val="center"/>
            </w:pPr>
            <w:r>
              <w:rPr>
                <w:rFonts w:ascii="Times New Roman" w:hAnsi="Times New Roman"/>
                <w:sz w:val="20"/>
              </w:rPr>
              <w:t xml:space="preserve">300</w:t>
            </w:r>
          </w:p>
        </w:tc>
      </w:tr>
      <w:tr>
        <w:trPr>
          <w:cantSplit/>
        </w:trPr>
        <w:tc>
          <w:tcPr>
            <w:tcW w:w="7488" w:type="dxa"/>
          </w:tcPr>
          <w:p>
            <w:pPr>
              <w:pStyle w:val="Compact"/>
              <w:spacing w:before="0" w:after="0" w:line="240" w:lineRule="auto"/>
              <w:ind w:firstLine="0" w:left="0"/>
              <w:jc w:val="left"/>
            </w:pPr>
            <w:r>
              <w:rPr>
                <w:rFonts w:ascii="Times New Roman" w:hAnsi="Times New Roman"/>
                <w:sz w:val="20"/>
              </w:rPr>
              <w:t xml:space="preserve">Đủ PHQ-4 và chỉ số kỳ thị hợp lệ (mẫu phân tích)</w:t>
            </w:r>
            <w:r>
              <w:rPr>
                <w:rFonts w:ascii="Times New Roman" w:hAnsi="Times New Roman"/>
                <w:sz w:val="20"/>
                <w:vertAlign w:val="superscript"/>
              </w:rPr>
              <w:t xml:space="preserve">a</w:t>
            </w:r>
          </w:p>
        </w:tc>
        <w:tc>
          <w:tcPr>
            <w:tcW w:w="1872" w:type="dxa"/>
          </w:tcPr>
          <w:p>
            <w:pPr>
              <w:pStyle w:val="Compact"/>
              <w:spacing w:before="0" w:after="0" w:line="240" w:lineRule="auto"/>
              <w:ind w:firstLine="0" w:left="0"/>
              <w:jc w:val="center"/>
            </w:pPr>
            <w:r>
              <w:rPr>
                <w:rFonts w:ascii="Times New Roman" w:hAnsi="Times New Roman"/>
                <w:sz w:val="20"/>
              </w:rPr>
              <w:t xml:space="preserve">272</w:t>
            </w:r>
          </w:p>
        </w:tc>
      </w:tr>
      <w:tr>
        <w:trPr>
          <w:cantSplit/>
        </w:trPr>
        <w:tc>
          <w:tcPr>
            <w:tcW w:w="7488" w:type="dxa"/>
          </w:tcPr>
          <w:p>
            <w:pPr>
              <w:pStyle w:val="Compact"/>
              <w:spacing w:before="0" w:after="0" w:line="240" w:lineRule="auto"/>
              <w:ind w:firstLine="0" w:left="0"/>
              <w:jc w:val="left"/>
            </w:pPr>
            <w:r>
              <w:rPr>
                <w:rFonts w:ascii="Times New Roman" w:hAnsi="Times New Roman"/>
                <w:sz w:val="20"/>
              </w:rPr>
              <w:t xml:space="preserve">Đủ biến kiểm soát có trước phơi nhiễm, quy tắc chính (mẫu chính)</w:t>
            </w:r>
            <w:r>
              <w:rPr>
                <w:rFonts w:ascii="Times New Roman" w:hAnsi="Times New Roman"/>
                <w:sz w:val="20"/>
                <w:vertAlign w:val="superscript"/>
              </w:rPr>
              <w:t xml:space="preserve">b</w:t>
            </w:r>
          </w:p>
        </w:tc>
        <w:tc>
          <w:tcPr>
            <w:tcW w:w="1872" w:type="dxa"/>
          </w:tcPr>
          <w:p>
            <w:pPr>
              <w:pStyle w:val="Compact"/>
              <w:spacing w:before="0" w:after="0" w:line="240" w:lineRule="auto"/>
              <w:ind w:firstLine="0" w:left="0"/>
              <w:jc w:val="center"/>
            </w:pPr>
            <w:r>
              <w:rPr>
                <w:rFonts w:ascii="Times New Roman" w:hAnsi="Times New Roman"/>
                <w:sz w:val="20"/>
              </w:rPr>
              <w:t xml:space="preserve">235</w:t>
            </w:r>
          </w:p>
        </w:tc>
      </w:tr>
      <w:tr>
        <w:trPr>
          <w:cantSplit/>
        </w:trPr>
        <w:tc>
          <w:tcPr>
            <w:tcW w:w="7488" w:type="dxa"/>
          </w:tcPr>
          <w:p>
            <w:pPr>
              <w:pStyle w:val="Compact"/>
              <w:spacing w:before="0" w:after="0" w:line="240" w:lineRule="auto"/>
              <w:ind w:firstLine="0" w:left="0"/>
              <w:jc w:val="left"/>
            </w:pPr>
            <w:r>
              <w:rPr>
                <w:rFonts w:ascii="Times New Roman" w:hAnsi="Times New Roman"/>
                <w:sz w:val="20"/>
              </w:rPr>
              <w:t xml:space="preserve">Đủ biến kiểm soát có trước phơi nhiễm, quy tắc thay thế</w:t>
            </w:r>
            <w:r>
              <w:rPr>
                <w:rFonts w:ascii="Times New Roman" w:hAnsi="Times New Roman"/>
                <w:sz w:val="20"/>
                <w:vertAlign w:val="superscript"/>
              </w:rPr>
              <w:t xml:space="preserve">c</w:t>
            </w:r>
          </w:p>
        </w:tc>
        <w:tc>
          <w:tcPr>
            <w:tcW w:w="1872" w:type="dxa"/>
          </w:tcPr>
          <w:p>
            <w:pPr>
              <w:pStyle w:val="Compact"/>
              <w:spacing w:before="0" w:after="0" w:line="240" w:lineRule="auto"/>
              <w:ind w:firstLine="0" w:left="0"/>
              <w:jc w:val="center"/>
            </w:pPr>
            <w:r>
              <w:rPr>
                <w:rFonts w:ascii="Times New Roman" w:hAnsi="Times New Roman"/>
                <w:sz w:val="20"/>
              </w:rPr>
              <w:t xml:space="preserve">226</w:t>
            </w:r>
          </w:p>
        </w:tc>
      </w:tr>
      <w:tr>
        <w:trPr>
          <w:cantSplit/>
        </w:trPr>
        <w:tc>
          <w:tcPr>
            <w:tcW w:w="7488" w:type="dxa"/>
          </w:tcPr>
          <w:p>
            <w:pPr>
              <w:pStyle w:val="Compact"/>
              <w:spacing w:before="0" w:after="0" w:line="240" w:lineRule="auto"/>
              <w:ind w:firstLine="0" w:left="0"/>
              <w:jc w:val="left"/>
            </w:pPr>
            <w:r>
              <w:rPr>
                <w:rFonts w:ascii="Times New Roman" w:hAnsi="Times New Roman"/>
                <w:sz w:val="20"/>
              </w:rPr>
              <w:t xml:space="preserve">Mẫu chính có đủ ba chỉ số thành phần (RQ1)</w:t>
            </w:r>
          </w:p>
        </w:tc>
        <w:tc>
          <w:tcPr>
            <w:tcW w:w="1872" w:type="dxa"/>
          </w:tcPr>
          <w:p>
            <w:pPr>
              <w:pStyle w:val="Compact"/>
              <w:spacing w:before="0" w:after="0" w:line="240" w:lineRule="auto"/>
              <w:ind w:firstLine="0" w:left="0"/>
              <w:jc w:val="center"/>
            </w:pPr>
            <w:r>
              <w:rPr>
                <w:rFonts w:ascii="Times New Roman" w:hAnsi="Times New Roman"/>
                <w:sz w:val="20"/>
              </w:rPr>
              <w:t xml:space="preserve">233</w:t>
            </w:r>
          </w:p>
        </w:tc>
      </w:tr>
    </w:tbl>
    <w:p>
      <w:pPr>
        <w:pStyle w:val="BodyText"/>
      </w:pPr>
      <w:r>
        <w:rPr>
          <w:vertAlign w:val="superscript"/>
        </w:rPr>
        <w:t xml:space="preserve">a</w:t>
      </w:r>
      <w:r>
        <w:t xml:space="preserve"> </w:t>
      </w:r>
      <w:r>
        <w:t xml:space="preserve">Chỉ số kỳ thị hợp lệ khi có ít nhất sáu trong tám tình huống được trả lời.</w:t>
      </w:r>
    </w:p>
    <w:p>
      <w:pPr>
        <w:pStyle w:val="BodyText"/>
      </w:pPr>
      <w:r>
        <w:rPr>
          <w:vertAlign w:val="superscript"/>
        </w:rPr>
        <w:t xml:space="preserve">b</w:t>
      </w:r>
      <w:r>
        <w:t xml:space="preserve"> </w:t>
      </w:r>
      <w:r>
        <w:t xml:space="preserve">Theo quy tắc chính,</w:t>
      </w:r>
      <w:r>
        <w:t xml:space="preserve"> </w:t>
      </w:r>
      <w:r>
        <w:t xml:space="preserve">“không muốn trả lời”</w:t>
      </w:r>
      <w:r>
        <w:t xml:space="preserve"> </w:t>
      </w:r>
      <w:r>
        <w:t xml:space="preserve">ở một biến kiểm soát được mã hóa thành một nhóm riêng.</w:t>
      </w:r>
    </w:p>
    <w:p>
      <w:pPr>
        <w:pStyle w:val="BodyText"/>
      </w:pPr>
      <w:r>
        <w:rPr>
          <w:vertAlign w:val="superscript"/>
        </w:rPr>
        <w:t xml:space="preserve">c</w:t>
      </w:r>
      <w:r>
        <w:t xml:space="preserve"> </w:t>
      </w:r>
      <w:r>
        <w:t xml:space="preserve">Theo quy tắc thay thế,</w:t>
      </w:r>
      <w:r>
        <w:t xml:space="preserve"> </w:t>
      </w:r>
      <w:r>
        <w:t xml:space="preserve">“không muốn trả lời”</w:t>
      </w:r>
      <w:r>
        <w:t xml:space="preserve"> </w:t>
      </w:r>
      <w:r>
        <w:t xml:space="preserve">ở một biến kiểm soát được coi là giá trị thiếu.</w:t>
      </w:r>
    </w:p>
    <w:p>
      <w:pPr>
        <w:pStyle w:val="BodyText"/>
      </w:pPr>
      <w:r>
        <w:t xml:space="preserve">Bảng 2 mô tả mẫu chính. Các nhóm đông nhất là người 25–34 tuổi (41,7%), người có giới tính khi sinh là nữ (61,7%), người có bằng đại học (64,7%) và người làm việc tại Thành phố Hồ Chí Minh (51,9%); giáo dục (27,7%) và truyền thông, tiếp thị (15,3%) là hai ngành phổ biến nhất. Theo câu hỏi về xu hướng tính dục, mẫu chính có 78 người song tính, 62 người đồng tính nam, 62 người đồng tính nữ và 21 người toàn tính, và 10 người cho biết bản dạng giới là chuyển giới, phi nhị nguyên hoặc bản dạng khác. Kết quả không được báo cáo riêng cho người chuyển giới và phi nhị nguyên, vì nhóm này quá nhỏ để cho ước lượng vừa ổn định vừa an toàn trước nguy cơ bị nhận diện lại.</w:t>
      </w:r>
    </w:p>
    <w:p>
      <w:pPr>
        <w:pStyle w:val="BodyText"/>
      </w:pPr>
      <w:r>
        <w:rPr>
          <w:b/>
          <w:bCs/>
        </w:rPr>
        <w:t xml:space="preserve">Bảng 2</w:t>
      </w:r>
      <w:r>
        <w:t xml:space="preserve"> </w:t>
      </w:r>
      <w:r>
        <w:rPr>
          <w:i/>
          <w:iCs/>
        </w:rPr>
        <w:t xml:space="preserve">Đặc điểm của mẫu chính (n = 235)</w:t>
      </w:r>
      <w:r>
        <w:rPr>
          <w:vertAlign w:val="superscript"/>
        </w:rPr>
        <w:t xml:space="preserve">a</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6552"/>
        <w:gridCol w:w="2808"/>
      </w:tblGrid>
      <w:tr>
        <w:trPr>
          <w:cantSplit/>
          <w:tblHeader/>
        </w:trPr>
        <w:tc>
          <w:tcPr>
            <w:tcW w:w="6552"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Đặc điểm</w:t>
            </w:r>
          </w:p>
        </w:tc>
        <w:tc>
          <w:tcPr>
            <w:tcW w:w="2808"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vertAlign w:val="superscript"/>
              </w:rPr>
              <w:t xml:space="preserve">b</w:t>
            </w:r>
          </w:p>
        </w:tc>
      </w:tr>
      <w:tr>
        <w:trPr>
          <w:cantSplit/>
        </w:trPr>
        <w:tc>
          <w:tcPr>
            <w:tcW w:w="6552" w:type="dxa"/>
          </w:tcPr>
          <w:p>
            <w:pPr>
              <w:pStyle w:val="Compact"/>
              <w:spacing w:before="0" w:after="0" w:line="240" w:lineRule="auto"/>
              <w:ind w:firstLine="0" w:left="0"/>
              <w:jc w:val="left"/>
            </w:pPr>
            <w:r>
              <w:rPr>
                <w:rFonts w:ascii="Times New Roman" w:hAnsi="Times New Roman"/>
                <w:b/>
                <w:bCs/>
                <w:sz w:val="20"/>
              </w:rPr>
              <w:t xml:space="preserve">Nhóm tuổi</w:t>
            </w:r>
          </w:p>
        </w:tc>
        <w:tc>
          <w:tcPr>
            <w:tcW w:w="2808" w:type="dxa"/>
          </w:tcPr>
          <w:p>
            <w:pPr>
              <w:pStyle w:val="Compact"/>
              <w:spacing w:before="0" w:after="0" w:line="240" w:lineRule="auto"/>
              <w:ind w:firstLine="0" w:left="0"/>
              <w:jc w:val="center"/>
            </w:pP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18–24</w:t>
            </w:r>
          </w:p>
        </w:tc>
        <w:tc>
          <w:tcPr>
            <w:tcW w:w="2808" w:type="dxa"/>
          </w:tcPr>
          <w:p>
            <w:pPr>
              <w:pStyle w:val="Compact"/>
              <w:spacing w:before="0" w:after="0" w:line="240" w:lineRule="auto"/>
              <w:ind w:firstLine="0" w:left="0"/>
              <w:jc w:val="center"/>
            </w:pPr>
            <w:r>
              <w:rPr>
                <w:rFonts w:ascii="Times New Roman" w:hAnsi="Times New Roman"/>
                <w:sz w:val="20"/>
              </w:rPr>
              <w:t xml:space="preserve">56 (23,8)</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25–34</w:t>
            </w:r>
          </w:p>
        </w:tc>
        <w:tc>
          <w:tcPr>
            <w:tcW w:w="2808" w:type="dxa"/>
          </w:tcPr>
          <w:p>
            <w:pPr>
              <w:pStyle w:val="Compact"/>
              <w:spacing w:before="0" w:after="0" w:line="240" w:lineRule="auto"/>
              <w:ind w:firstLine="0" w:left="0"/>
              <w:jc w:val="center"/>
            </w:pPr>
            <w:r>
              <w:rPr>
                <w:rFonts w:ascii="Times New Roman" w:hAnsi="Times New Roman"/>
                <w:sz w:val="20"/>
              </w:rPr>
              <w:t xml:space="preserve">98 (41,7)</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35–44</w:t>
            </w:r>
          </w:p>
        </w:tc>
        <w:tc>
          <w:tcPr>
            <w:tcW w:w="2808" w:type="dxa"/>
          </w:tcPr>
          <w:p>
            <w:pPr>
              <w:pStyle w:val="Compact"/>
              <w:spacing w:before="0" w:after="0" w:line="240" w:lineRule="auto"/>
              <w:ind w:firstLine="0" w:left="0"/>
              <w:jc w:val="center"/>
            </w:pPr>
            <w:r>
              <w:rPr>
                <w:rFonts w:ascii="Times New Roman" w:hAnsi="Times New Roman"/>
                <w:sz w:val="20"/>
              </w:rPr>
              <w:t xml:space="preserve">43 (18,3)</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45 trở lên</w:t>
            </w:r>
          </w:p>
        </w:tc>
        <w:tc>
          <w:tcPr>
            <w:tcW w:w="2808" w:type="dxa"/>
          </w:tcPr>
          <w:p>
            <w:pPr>
              <w:pStyle w:val="Compact"/>
              <w:spacing w:before="0" w:after="0" w:line="240" w:lineRule="auto"/>
              <w:ind w:firstLine="0" w:left="0"/>
              <w:jc w:val="center"/>
            </w:pPr>
            <w:r>
              <w:rPr>
                <w:rFonts w:ascii="Times New Roman" w:hAnsi="Times New Roman"/>
                <w:sz w:val="20"/>
              </w:rPr>
              <w:t xml:space="preserve">37 (15,7)</w:t>
            </w:r>
          </w:p>
        </w:tc>
      </w:tr>
      <w:tr>
        <w:trPr>
          <w:cantSplit/>
        </w:trPr>
        <w:tc>
          <w:tcPr>
            <w:tcW w:w="6552" w:type="dxa"/>
          </w:tcPr>
          <w:p>
            <w:pPr>
              <w:pStyle w:val="Compact"/>
              <w:spacing w:before="0" w:after="0" w:line="240" w:lineRule="auto"/>
              <w:ind w:firstLine="0" w:left="0"/>
              <w:jc w:val="left"/>
            </w:pPr>
            <w:r>
              <w:rPr>
                <w:rFonts w:ascii="Times New Roman" w:hAnsi="Times New Roman"/>
                <w:b/>
                <w:bCs/>
                <w:sz w:val="20"/>
              </w:rPr>
              <w:t xml:space="preserve">Giới tính khi sinh</w:t>
            </w:r>
          </w:p>
        </w:tc>
        <w:tc>
          <w:tcPr>
            <w:tcW w:w="2808" w:type="dxa"/>
          </w:tcPr>
          <w:p>
            <w:pPr>
              <w:pStyle w:val="Compact"/>
              <w:spacing w:before="0" w:after="0" w:line="240" w:lineRule="auto"/>
              <w:ind w:firstLine="0" w:left="0"/>
              <w:jc w:val="center"/>
            </w:pP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Nam</w:t>
            </w:r>
          </w:p>
        </w:tc>
        <w:tc>
          <w:tcPr>
            <w:tcW w:w="2808" w:type="dxa"/>
          </w:tcPr>
          <w:p>
            <w:pPr>
              <w:pStyle w:val="Compact"/>
              <w:spacing w:before="0" w:after="0" w:line="240" w:lineRule="auto"/>
              <w:ind w:firstLine="0" w:left="0"/>
              <w:jc w:val="center"/>
            </w:pPr>
            <w:r>
              <w:rPr>
                <w:rFonts w:ascii="Times New Roman" w:hAnsi="Times New Roman"/>
                <w:sz w:val="20"/>
              </w:rPr>
              <w:t xml:space="preserve">90 (38,3)</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Nữ</w:t>
            </w:r>
          </w:p>
        </w:tc>
        <w:tc>
          <w:tcPr>
            <w:tcW w:w="2808" w:type="dxa"/>
          </w:tcPr>
          <w:p>
            <w:pPr>
              <w:pStyle w:val="Compact"/>
              <w:spacing w:before="0" w:after="0" w:line="240" w:lineRule="auto"/>
              <w:ind w:firstLine="0" w:left="0"/>
              <w:jc w:val="center"/>
            </w:pPr>
            <w:r>
              <w:rPr>
                <w:rFonts w:ascii="Times New Roman" w:hAnsi="Times New Roman"/>
                <w:sz w:val="20"/>
              </w:rPr>
              <w:t xml:space="preserve">145 (61,7)</w:t>
            </w:r>
          </w:p>
        </w:tc>
      </w:tr>
      <w:tr>
        <w:trPr>
          <w:cantSplit/>
        </w:trPr>
        <w:tc>
          <w:tcPr>
            <w:tcW w:w="6552" w:type="dxa"/>
          </w:tcPr>
          <w:p>
            <w:pPr>
              <w:pStyle w:val="Compact"/>
              <w:spacing w:before="0" w:after="0" w:line="240" w:lineRule="auto"/>
              <w:ind w:firstLine="0" w:left="0"/>
              <w:jc w:val="left"/>
            </w:pPr>
            <w:r>
              <w:rPr>
                <w:rFonts w:ascii="Times New Roman" w:hAnsi="Times New Roman"/>
                <w:b/>
                <w:bCs/>
                <w:sz w:val="20"/>
              </w:rPr>
              <w:t xml:space="preserve">Học vấn</w:t>
            </w:r>
          </w:p>
        </w:tc>
        <w:tc>
          <w:tcPr>
            <w:tcW w:w="2808" w:type="dxa"/>
          </w:tcPr>
          <w:p>
            <w:pPr>
              <w:pStyle w:val="Compact"/>
              <w:spacing w:before="0" w:after="0" w:line="240" w:lineRule="auto"/>
              <w:ind w:firstLine="0" w:left="0"/>
              <w:jc w:val="center"/>
            </w:pP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Trung học phổ thông trở xuống</w:t>
            </w:r>
          </w:p>
        </w:tc>
        <w:tc>
          <w:tcPr>
            <w:tcW w:w="2808" w:type="dxa"/>
          </w:tcPr>
          <w:p>
            <w:pPr>
              <w:pStyle w:val="Compact"/>
              <w:spacing w:before="0" w:after="0" w:line="240" w:lineRule="auto"/>
              <w:ind w:firstLine="0" w:left="0"/>
              <w:jc w:val="center"/>
            </w:pPr>
            <w:r>
              <w:rPr>
                <w:rFonts w:ascii="Times New Roman" w:hAnsi="Times New Roman"/>
                <w:sz w:val="20"/>
              </w:rPr>
              <w:t xml:space="preserve">36 (15,3)</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Cao đẳng</w:t>
            </w:r>
          </w:p>
        </w:tc>
        <w:tc>
          <w:tcPr>
            <w:tcW w:w="2808" w:type="dxa"/>
          </w:tcPr>
          <w:p>
            <w:pPr>
              <w:pStyle w:val="Compact"/>
              <w:spacing w:before="0" w:after="0" w:line="240" w:lineRule="auto"/>
              <w:ind w:firstLine="0" w:left="0"/>
              <w:jc w:val="center"/>
            </w:pPr>
            <w:r>
              <w:rPr>
                <w:rFonts w:ascii="Times New Roman" w:hAnsi="Times New Roman"/>
                <w:sz w:val="20"/>
              </w:rPr>
              <w:t xml:space="preserve">20 (8,5)</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Đại học</w:t>
            </w:r>
          </w:p>
        </w:tc>
        <w:tc>
          <w:tcPr>
            <w:tcW w:w="2808" w:type="dxa"/>
          </w:tcPr>
          <w:p>
            <w:pPr>
              <w:pStyle w:val="Compact"/>
              <w:spacing w:before="0" w:after="0" w:line="240" w:lineRule="auto"/>
              <w:ind w:firstLine="0" w:left="0"/>
              <w:jc w:val="center"/>
            </w:pPr>
            <w:r>
              <w:rPr>
                <w:rFonts w:ascii="Times New Roman" w:hAnsi="Times New Roman"/>
                <w:sz w:val="20"/>
              </w:rPr>
              <w:t xml:space="preserve">152 (64,7)</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Sau đại học</w:t>
            </w:r>
          </w:p>
        </w:tc>
        <w:tc>
          <w:tcPr>
            <w:tcW w:w="2808" w:type="dxa"/>
          </w:tcPr>
          <w:p>
            <w:pPr>
              <w:pStyle w:val="Compact"/>
              <w:spacing w:before="0" w:after="0" w:line="240" w:lineRule="auto"/>
              <w:ind w:firstLine="0" w:left="0"/>
              <w:jc w:val="center"/>
            </w:pPr>
            <w:r>
              <w:rPr>
                <w:rFonts w:ascii="Times New Roman" w:hAnsi="Times New Roman"/>
                <w:sz w:val="20"/>
              </w:rPr>
              <w:t xml:space="preserve">27 (11,5)</w:t>
            </w:r>
          </w:p>
        </w:tc>
      </w:tr>
      <w:tr>
        <w:trPr>
          <w:cantSplit/>
        </w:trPr>
        <w:tc>
          <w:tcPr>
            <w:tcW w:w="6552" w:type="dxa"/>
          </w:tcPr>
          <w:p>
            <w:pPr>
              <w:pStyle w:val="Compact"/>
              <w:spacing w:before="0" w:after="0" w:line="240" w:lineRule="auto"/>
              <w:ind w:firstLine="0" w:left="0"/>
              <w:jc w:val="left"/>
            </w:pPr>
            <w:r>
              <w:rPr>
                <w:rFonts w:ascii="Times New Roman" w:hAnsi="Times New Roman"/>
                <w:b/>
                <w:bCs/>
                <w:sz w:val="20"/>
              </w:rPr>
              <w:t xml:space="preserve">Tình trạng quan hệ</w:t>
            </w:r>
          </w:p>
        </w:tc>
        <w:tc>
          <w:tcPr>
            <w:tcW w:w="2808" w:type="dxa"/>
          </w:tcPr>
          <w:p>
            <w:pPr>
              <w:pStyle w:val="Compact"/>
              <w:spacing w:before="0" w:after="0" w:line="240" w:lineRule="auto"/>
              <w:ind w:firstLine="0" w:left="0"/>
              <w:jc w:val="center"/>
            </w:pP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Không có bạn đời</w:t>
            </w:r>
          </w:p>
        </w:tc>
        <w:tc>
          <w:tcPr>
            <w:tcW w:w="2808" w:type="dxa"/>
          </w:tcPr>
          <w:p>
            <w:pPr>
              <w:pStyle w:val="Compact"/>
              <w:spacing w:before="0" w:after="0" w:line="240" w:lineRule="auto"/>
              <w:ind w:firstLine="0" w:left="0"/>
              <w:jc w:val="center"/>
            </w:pPr>
            <w:r>
              <w:rPr>
                <w:rFonts w:ascii="Times New Roman" w:hAnsi="Times New Roman"/>
                <w:sz w:val="20"/>
              </w:rPr>
              <w:t xml:space="preserve">118 (50,2)</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Có bạn đời</w:t>
            </w:r>
          </w:p>
        </w:tc>
        <w:tc>
          <w:tcPr>
            <w:tcW w:w="2808" w:type="dxa"/>
          </w:tcPr>
          <w:p>
            <w:pPr>
              <w:pStyle w:val="Compact"/>
              <w:spacing w:before="0" w:after="0" w:line="240" w:lineRule="auto"/>
              <w:ind w:firstLine="0" w:left="0"/>
              <w:jc w:val="center"/>
            </w:pPr>
            <w:r>
              <w:rPr>
                <w:rFonts w:ascii="Times New Roman" w:hAnsi="Times New Roman"/>
                <w:sz w:val="20"/>
              </w:rPr>
              <w:t xml:space="preserve">105 (44,7)</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Ly thân, ly hôn hoặc góa</w:t>
            </w:r>
          </w:p>
        </w:tc>
        <w:tc>
          <w:tcPr>
            <w:tcW w:w="2808" w:type="dxa"/>
          </w:tcPr>
          <w:p>
            <w:pPr>
              <w:pStyle w:val="Compact"/>
              <w:spacing w:before="0" w:after="0" w:line="24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c</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Không muốn trả lời</w:t>
            </w:r>
          </w:p>
        </w:tc>
        <w:tc>
          <w:tcPr>
            <w:tcW w:w="2808" w:type="dxa"/>
          </w:tcPr>
          <w:p>
            <w:pPr>
              <w:pStyle w:val="Compact"/>
              <w:spacing w:before="0" w:after="0" w:line="24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c</w:t>
            </w:r>
          </w:p>
        </w:tc>
      </w:tr>
      <w:tr>
        <w:trPr>
          <w:cantSplit/>
        </w:trPr>
        <w:tc>
          <w:tcPr>
            <w:tcW w:w="6552" w:type="dxa"/>
          </w:tcPr>
          <w:p>
            <w:pPr>
              <w:pStyle w:val="Compact"/>
              <w:spacing w:before="0" w:after="0" w:line="240" w:lineRule="auto"/>
              <w:ind w:firstLine="0" w:left="0"/>
              <w:jc w:val="left"/>
            </w:pPr>
            <w:r>
              <w:rPr>
                <w:rFonts w:ascii="Times New Roman" w:hAnsi="Times New Roman"/>
                <w:b/>
                <w:bCs/>
                <w:sz w:val="20"/>
              </w:rPr>
              <w:t xml:space="preserve">Địa bàn làm việc</w:t>
            </w:r>
          </w:p>
        </w:tc>
        <w:tc>
          <w:tcPr>
            <w:tcW w:w="2808" w:type="dxa"/>
          </w:tcPr>
          <w:p>
            <w:pPr>
              <w:pStyle w:val="Compact"/>
              <w:spacing w:before="0" w:after="0" w:line="240" w:lineRule="auto"/>
              <w:ind w:firstLine="0" w:left="0"/>
              <w:jc w:val="center"/>
            </w:pP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Hà Nội</w:t>
            </w:r>
          </w:p>
        </w:tc>
        <w:tc>
          <w:tcPr>
            <w:tcW w:w="2808" w:type="dxa"/>
          </w:tcPr>
          <w:p>
            <w:pPr>
              <w:pStyle w:val="Compact"/>
              <w:spacing w:before="0" w:after="0" w:line="240" w:lineRule="auto"/>
              <w:ind w:firstLine="0" w:left="0"/>
              <w:jc w:val="center"/>
            </w:pPr>
            <w:r>
              <w:rPr>
                <w:rFonts w:ascii="Times New Roman" w:hAnsi="Times New Roman"/>
                <w:sz w:val="20"/>
              </w:rPr>
              <w:t xml:space="preserve">67 (28,5)</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Thành phố Hồ Chí Minh</w:t>
            </w:r>
          </w:p>
        </w:tc>
        <w:tc>
          <w:tcPr>
            <w:tcW w:w="2808" w:type="dxa"/>
          </w:tcPr>
          <w:p>
            <w:pPr>
              <w:pStyle w:val="Compact"/>
              <w:spacing w:before="0" w:after="0" w:line="240" w:lineRule="auto"/>
              <w:ind w:firstLine="0" w:left="0"/>
              <w:jc w:val="center"/>
            </w:pPr>
            <w:r>
              <w:rPr>
                <w:rFonts w:ascii="Times New Roman" w:hAnsi="Times New Roman"/>
                <w:sz w:val="20"/>
              </w:rPr>
              <w:t xml:space="preserve">122 (51,9)</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Đà Nẵng</w:t>
            </w:r>
          </w:p>
        </w:tc>
        <w:tc>
          <w:tcPr>
            <w:tcW w:w="2808" w:type="dxa"/>
          </w:tcPr>
          <w:p>
            <w:pPr>
              <w:pStyle w:val="Compact"/>
              <w:spacing w:before="0" w:after="0" w:line="240" w:lineRule="auto"/>
              <w:ind w:firstLine="0" w:left="0"/>
              <w:jc w:val="center"/>
            </w:pPr>
            <w:r>
              <w:rPr>
                <w:rFonts w:ascii="Times New Roman" w:hAnsi="Times New Roman"/>
                <w:sz w:val="20"/>
              </w:rPr>
              <w:t xml:space="preserve">19 (8,1)</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Nơi khác</w:t>
            </w:r>
          </w:p>
        </w:tc>
        <w:tc>
          <w:tcPr>
            <w:tcW w:w="2808" w:type="dxa"/>
          </w:tcPr>
          <w:p>
            <w:pPr>
              <w:pStyle w:val="Compact"/>
              <w:spacing w:before="0" w:after="0" w:line="240" w:lineRule="auto"/>
              <w:ind w:firstLine="0" w:left="0"/>
              <w:jc w:val="center"/>
            </w:pPr>
            <w:r>
              <w:rPr>
                <w:rFonts w:ascii="Times New Roman" w:hAnsi="Times New Roman"/>
                <w:sz w:val="20"/>
              </w:rPr>
              <w:t xml:space="preserve">27 (11,5)</w:t>
            </w:r>
          </w:p>
        </w:tc>
      </w:tr>
      <w:tr>
        <w:trPr>
          <w:cantSplit/>
        </w:trPr>
        <w:tc>
          <w:tcPr>
            <w:tcW w:w="6552" w:type="dxa"/>
          </w:tcPr>
          <w:p>
            <w:pPr>
              <w:pStyle w:val="Compact"/>
              <w:spacing w:before="0" w:after="0" w:line="240" w:lineRule="auto"/>
              <w:ind w:firstLine="0" w:left="0"/>
              <w:jc w:val="left"/>
            </w:pPr>
            <w:r>
              <w:rPr>
                <w:rFonts w:ascii="Times New Roman" w:hAnsi="Times New Roman"/>
                <w:b/>
                <w:bCs/>
                <w:sz w:val="20"/>
              </w:rPr>
              <w:t xml:space="preserve">Xu hướng tính dục</w:t>
            </w:r>
          </w:p>
        </w:tc>
        <w:tc>
          <w:tcPr>
            <w:tcW w:w="2808" w:type="dxa"/>
          </w:tcPr>
          <w:p>
            <w:pPr>
              <w:pStyle w:val="Compact"/>
              <w:spacing w:before="0" w:after="0" w:line="240" w:lineRule="auto"/>
              <w:ind w:firstLine="0" w:left="0"/>
              <w:jc w:val="center"/>
            </w:pP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Đồng tính nam</w:t>
            </w:r>
          </w:p>
        </w:tc>
        <w:tc>
          <w:tcPr>
            <w:tcW w:w="2808" w:type="dxa"/>
          </w:tcPr>
          <w:p>
            <w:pPr>
              <w:pStyle w:val="Compact"/>
              <w:spacing w:before="0" w:after="0" w:line="240" w:lineRule="auto"/>
              <w:ind w:firstLine="0" w:left="0"/>
              <w:jc w:val="center"/>
            </w:pPr>
            <w:r>
              <w:rPr>
                <w:rFonts w:ascii="Times New Roman" w:hAnsi="Times New Roman"/>
                <w:sz w:val="20"/>
              </w:rPr>
              <w:t xml:space="preserve">62 (26,4)</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Đồng tính nữ</w:t>
            </w:r>
          </w:p>
        </w:tc>
        <w:tc>
          <w:tcPr>
            <w:tcW w:w="2808" w:type="dxa"/>
          </w:tcPr>
          <w:p>
            <w:pPr>
              <w:pStyle w:val="Compact"/>
              <w:spacing w:before="0" w:after="0" w:line="240" w:lineRule="auto"/>
              <w:ind w:firstLine="0" w:left="0"/>
              <w:jc w:val="center"/>
            </w:pPr>
            <w:r>
              <w:rPr>
                <w:rFonts w:ascii="Times New Roman" w:hAnsi="Times New Roman"/>
                <w:sz w:val="20"/>
              </w:rPr>
              <w:t xml:space="preserve">62 (26,4)</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Song tính</w:t>
            </w:r>
          </w:p>
        </w:tc>
        <w:tc>
          <w:tcPr>
            <w:tcW w:w="2808" w:type="dxa"/>
          </w:tcPr>
          <w:p>
            <w:pPr>
              <w:pStyle w:val="Compact"/>
              <w:spacing w:before="0" w:after="0" w:line="240" w:lineRule="auto"/>
              <w:ind w:firstLine="0" w:left="0"/>
              <w:jc w:val="center"/>
            </w:pPr>
            <w:r>
              <w:rPr>
                <w:rFonts w:ascii="Times New Roman" w:hAnsi="Times New Roman"/>
                <w:sz w:val="20"/>
              </w:rPr>
              <w:t xml:space="preserve">78 (33,2)</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Toàn tính</w:t>
            </w:r>
          </w:p>
        </w:tc>
        <w:tc>
          <w:tcPr>
            <w:tcW w:w="2808" w:type="dxa"/>
          </w:tcPr>
          <w:p>
            <w:pPr>
              <w:pStyle w:val="Compact"/>
              <w:spacing w:before="0" w:after="0" w:line="240" w:lineRule="auto"/>
              <w:ind w:firstLine="0" w:left="0"/>
              <w:jc w:val="center"/>
            </w:pPr>
            <w:r>
              <w:rPr>
                <w:rFonts w:ascii="Times New Roman" w:hAnsi="Times New Roman"/>
                <w:sz w:val="20"/>
              </w:rPr>
              <w:t xml:space="preserve">21 (8,9)</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Khác, đang tìm hiểu hoặc không nêu</w:t>
            </w:r>
          </w:p>
        </w:tc>
        <w:tc>
          <w:tcPr>
            <w:tcW w:w="2808" w:type="dxa"/>
          </w:tcPr>
          <w:p>
            <w:pPr>
              <w:pStyle w:val="Compact"/>
              <w:spacing w:before="0" w:after="0" w:line="240" w:lineRule="auto"/>
              <w:ind w:firstLine="0" w:left="0"/>
              <w:jc w:val="center"/>
            </w:pPr>
            <w:r>
              <w:rPr>
                <w:rFonts w:ascii="Times New Roman" w:hAnsi="Times New Roman"/>
                <w:sz w:val="20"/>
              </w:rPr>
              <w:t xml:space="preserve">12 (5,1)</w:t>
            </w:r>
          </w:p>
        </w:tc>
      </w:tr>
      <w:tr>
        <w:trPr>
          <w:cantSplit/>
        </w:trPr>
        <w:tc>
          <w:tcPr>
            <w:tcW w:w="6552" w:type="dxa"/>
          </w:tcPr>
          <w:p>
            <w:pPr>
              <w:pStyle w:val="Compact"/>
              <w:spacing w:before="0" w:after="0" w:line="240" w:lineRule="auto"/>
              <w:ind w:firstLine="0" w:left="0"/>
              <w:jc w:val="left"/>
            </w:pPr>
            <w:r>
              <w:rPr>
                <w:rFonts w:ascii="Times New Roman" w:hAnsi="Times New Roman"/>
                <w:b/>
                <w:bCs/>
                <w:sz w:val="20"/>
              </w:rPr>
              <w:t xml:space="preserve">Ngành</w:t>
            </w:r>
          </w:p>
        </w:tc>
        <w:tc>
          <w:tcPr>
            <w:tcW w:w="2808" w:type="dxa"/>
          </w:tcPr>
          <w:p>
            <w:pPr>
              <w:pStyle w:val="Compact"/>
              <w:spacing w:before="0" w:after="0" w:line="240" w:lineRule="auto"/>
              <w:ind w:firstLine="0" w:left="0"/>
              <w:jc w:val="center"/>
            </w:pP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Tài chính, ngân hàng</w:t>
            </w:r>
          </w:p>
        </w:tc>
        <w:tc>
          <w:tcPr>
            <w:tcW w:w="2808" w:type="dxa"/>
          </w:tcPr>
          <w:p>
            <w:pPr>
              <w:pStyle w:val="Compact"/>
              <w:spacing w:before="0" w:after="0" w:line="240" w:lineRule="auto"/>
              <w:ind w:firstLine="0" w:left="0"/>
              <w:jc w:val="center"/>
            </w:pPr>
            <w:r>
              <w:rPr>
                <w:rFonts w:ascii="Times New Roman" w:hAnsi="Times New Roman"/>
                <w:sz w:val="20"/>
              </w:rPr>
              <w:t xml:space="preserve">23 (9,8)</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Công nghệ thông tin</w:t>
            </w:r>
          </w:p>
        </w:tc>
        <w:tc>
          <w:tcPr>
            <w:tcW w:w="2808" w:type="dxa"/>
          </w:tcPr>
          <w:p>
            <w:pPr>
              <w:pStyle w:val="Compact"/>
              <w:spacing w:before="0" w:after="0" w:line="240" w:lineRule="auto"/>
              <w:ind w:firstLine="0" w:left="0"/>
              <w:jc w:val="center"/>
            </w:pPr>
            <w:r>
              <w:rPr>
                <w:rFonts w:ascii="Times New Roman" w:hAnsi="Times New Roman"/>
                <w:sz w:val="20"/>
              </w:rPr>
              <w:t xml:space="preserve">16 (6,8)</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Giáo dục</w:t>
            </w:r>
          </w:p>
        </w:tc>
        <w:tc>
          <w:tcPr>
            <w:tcW w:w="2808" w:type="dxa"/>
          </w:tcPr>
          <w:p>
            <w:pPr>
              <w:pStyle w:val="Compact"/>
              <w:spacing w:before="0" w:after="0" w:line="240" w:lineRule="auto"/>
              <w:ind w:firstLine="0" w:left="0"/>
              <w:jc w:val="center"/>
            </w:pPr>
            <w:r>
              <w:rPr>
                <w:rFonts w:ascii="Times New Roman" w:hAnsi="Times New Roman"/>
                <w:sz w:val="20"/>
              </w:rPr>
              <w:t xml:space="preserve">65 (27,7)</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Thương mại, dịch vụ</w:t>
            </w:r>
          </w:p>
        </w:tc>
        <w:tc>
          <w:tcPr>
            <w:tcW w:w="2808" w:type="dxa"/>
          </w:tcPr>
          <w:p>
            <w:pPr>
              <w:pStyle w:val="Compact"/>
              <w:spacing w:before="0" w:after="0" w:line="240" w:lineRule="auto"/>
              <w:ind w:firstLine="0" w:left="0"/>
              <w:jc w:val="center"/>
            </w:pPr>
            <w:r>
              <w:rPr>
                <w:rFonts w:ascii="Times New Roman" w:hAnsi="Times New Roman"/>
                <w:sz w:val="20"/>
              </w:rPr>
              <w:t xml:space="preserve">17 (7,2)</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Sản xuất</w:t>
            </w:r>
          </w:p>
        </w:tc>
        <w:tc>
          <w:tcPr>
            <w:tcW w:w="2808" w:type="dxa"/>
          </w:tcPr>
          <w:p>
            <w:pPr>
              <w:pStyle w:val="Compact"/>
              <w:spacing w:before="0" w:after="0" w:line="240" w:lineRule="auto"/>
              <w:ind w:firstLine="0" w:left="0"/>
              <w:jc w:val="center"/>
            </w:pPr>
            <w:r>
              <w:rPr>
                <w:rFonts w:ascii="Times New Roman" w:hAnsi="Times New Roman"/>
                <w:sz w:val="20"/>
              </w:rPr>
              <w:t xml:space="preserve">17 (7,2)</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Truyền thông, tiếp thị</w:t>
            </w:r>
          </w:p>
        </w:tc>
        <w:tc>
          <w:tcPr>
            <w:tcW w:w="2808" w:type="dxa"/>
          </w:tcPr>
          <w:p>
            <w:pPr>
              <w:pStyle w:val="Compact"/>
              <w:spacing w:before="0" w:after="0" w:line="240" w:lineRule="auto"/>
              <w:ind w:firstLine="0" w:left="0"/>
              <w:jc w:val="center"/>
            </w:pPr>
            <w:r>
              <w:rPr>
                <w:rFonts w:ascii="Times New Roman" w:hAnsi="Times New Roman"/>
                <w:sz w:val="20"/>
              </w:rPr>
              <w:t xml:space="preserve">36 (15,3)</w:t>
            </w:r>
          </w:p>
        </w:tc>
      </w:tr>
      <w:tr>
        <w:trPr>
          <w:cantSplit/>
        </w:trPr>
        <w:tc>
          <w:tcPr>
            <w:tcW w:w="6552" w:type="dxa"/>
          </w:tcPr>
          <w:p>
            <w:pPr>
              <w:pStyle w:val="Compact"/>
              <w:spacing w:before="0" w:after="0" w:line="240" w:lineRule="auto"/>
              <w:ind w:firstLine="0" w:left="0"/>
              <w:jc w:val="left"/>
            </w:pPr>
            <w:r>
              <w:rPr>
                <w:rFonts w:ascii="Times New Roman" w:hAnsi="Times New Roman"/>
                <w:sz w:val="20"/>
              </w:rPr>
              <w:t xml:space="preserve">Y tế, du lịch hoặc ngành khác</w:t>
            </w:r>
            <w:r>
              <w:rPr>
                <w:rFonts w:ascii="Times New Roman" w:hAnsi="Times New Roman"/>
                <w:sz w:val="20"/>
                <w:vertAlign w:val="superscript"/>
              </w:rPr>
              <w:t xml:space="preserve">d</w:t>
            </w:r>
          </w:p>
        </w:tc>
        <w:tc>
          <w:tcPr>
            <w:tcW w:w="2808" w:type="dxa"/>
          </w:tcPr>
          <w:p>
            <w:pPr>
              <w:pStyle w:val="Compact"/>
              <w:spacing w:before="0" w:after="0" w:line="240" w:lineRule="auto"/>
              <w:ind w:firstLine="0" w:left="0"/>
              <w:jc w:val="center"/>
            </w:pPr>
            <w:r>
              <w:rPr>
                <w:rFonts w:ascii="Times New Roman" w:hAnsi="Times New Roman"/>
                <w:sz w:val="20"/>
              </w:rPr>
              <w:t xml:space="preserve">61 (26,0)</w:t>
            </w:r>
          </w:p>
        </w:tc>
      </w:tr>
    </w:tbl>
    <w:p>
      <w:pPr>
        <w:pStyle w:val="BodyText"/>
      </w:pPr>
      <w:r>
        <w:rPr>
          <w:vertAlign w:val="superscript"/>
        </w:rPr>
        <w:t xml:space="preserve">a</w:t>
      </w:r>
      <w:r>
        <w:t xml:space="preserve"> </w:t>
      </w:r>
      <w:r>
        <w:t xml:space="preserve">Bản dạng giới không được trình bày, và người chuyển giới, phi nhị nguyên không được trình bày như một nhóm riêng.</w:t>
      </w:r>
    </w:p>
    <w:p>
      <w:pPr>
        <w:pStyle w:val="BodyText"/>
      </w:pPr>
      <w:r>
        <w:rPr>
          <w:vertAlign w:val="superscript"/>
        </w:rPr>
        <w:t xml:space="preserve">b</w:t>
      </w:r>
      <w:r>
        <w:t xml:space="preserve"> </w:t>
      </w:r>
      <w:r>
        <w:t xml:space="preserve">Giá trị là số người tham gia, tỷ lệ phần trăm trong ngoặc.</w:t>
      </w:r>
    </w:p>
    <w:p>
      <w:pPr>
        <w:pStyle w:val="BodyText"/>
      </w:pPr>
      <w:r>
        <w:rPr>
          <w:vertAlign w:val="superscript"/>
        </w:rPr>
        <w:t xml:space="preserve">c</w:t>
      </w:r>
      <w:r>
        <w:t xml:space="preserve"> </w:t>
      </w:r>
      <w:r>
        <w:t xml:space="preserve">Các ô có dưới 10 người được ẩn.</w:t>
      </w:r>
    </w:p>
    <w:p>
      <w:pPr>
        <w:pStyle w:val="BodyText"/>
      </w:pPr>
      <w:r>
        <w:rPr>
          <w:vertAlign w:val="superscript"/>
        </w:rPr>
        <w:t xml:space="preserve">d</w:t>
      </w:r>
      <w:r>
        <w:t xml:space="preserve"> </w:t>
      </w:r>
      <w:r>
        <w:t xml:space="preserve">Y tế được gộp với du lịch và các ngành khác vì có dưới 10 người.</w:t>
      </w:r>
    </w:p>
    <w:bookmarkEnd w:id="25"/>
    <w:bookmarkStart w:id="30" w:name="đo-lường"/>
    <w:p>
      <w:pPr>
        <w:pStyle w:val="Heading2"/>
      </w:pPr>
      <w:r>
        <w:t xml:space="preserve">Đo lường</w:t>
      </w:r>
    </w:p>
    <w:bookmarkStart w:id="26" w:name="đặc-điểm-nhân-khẩu-học-và-công-việc"/>
    <w:p>
      <w:pPr>
        <w:pStyle w:val="Heading3"/>
      </w:pPr>
      <w:r>
        <w:t xml:space="preserve">Đặc điểm nhân khẩu học và công việc</w:t>
      </w:r>
    </w:p>
    <w:p>
      <w:pPr>
        <w:pStyle w:val="FirstParagraph"/>
      </w:pPr>
      <w:r>
        <w:rPr>
          <w:b/>
          <w:bCs/>
        </w:rPr>
        <w:t xml:space="preserve">Giới tính khi sinh và bản dạng giới.</w:t>
      </w:r>
      <w:r>
        <w:t xml:space="preserve"> </w:t>
      </w:r>
      <w:r>
        <w:t xml:space="preserve">Người tham gia được hỏi</w:t>
      </w:r>
      <w:r>
        <w:t xml:space="preserve"> </w:t>
      </w:r>
      <w:r>
        <w:t xml:space="preserve">“Giới tính khi sinh của bạn là gì?”</w:t>
      </w:r>
      <w:r>
        <w:t xml:space="preserve"> </w:t>
      </w:r>
      <w:r>
        <w:t xml:space="preserve">và có thể trả lời nam, nữ hoặc không muốn trả lời. Sau đó họ được hỏi</w:t>
      </w:r>
      <w:r>
        <w:t xml:space="preserve"> </w:t>
      </w:r>
      <w:r>
        <w:t xml:space="preserve">“Bản dạng giới hiện tại của bạn là gì?”</w:t>
      </w:r>
      <w:r>
        <w:t xml:space="preserve"> </w:t>
      </w:r>
      <w:r>
        <w:t xml:space="preserve">và có thể trả lời nam, nữ, nam chuyển giới, nữ chuyển giới, phi nhị nguyên, bản dạng khác hoặc không muốn trả lời. Vì ít người cho biết bản dạng chuyển giới, phi nhị nguyên hoặc bản dạng khác, tình trạng thiểu số về giới được mã hóa thành biến nhị phân (1 = chuyển giới, phi nhị nguyên hoặc bản dạng khác; 0 = nam hoặc nữ). Tình trạng thiểu số về giới có trong mọi mô hình như một biến kiểm soát, nhưng hệ số của nó không được báo cáo.</w:t>
      </w:r>
    </w:p>
    <w:p>
      <w:pPr>
        <w:pStyle w:val="BodyText"/>
      </w:pPr>
      <w:r>
        <w:rPr>
          <w:b/>
          <w:bCs/>
        </w:rPr>
        <w:t xml:space="preserve">Xu hướng tính dục và việc tự nhận là LGBT.</w:t>
      </w:r>
      <w:r>
        <w:t xml:space="preserve"> </w:t>
      </w:r>
      <w:r>
        <w:t xml:space="preserve">Người tham gia được hỏi</w:t>
      </w:r>
      <w:r>
        <w:t xml:space="preserve"> </w:t>
      </w:r>
      <w:r>
        <w:t xml:space="preserve">“Xu hướng tính dục của bạn là gì?”</w:t>
      </w:r>
      <w:r>
        <w:t xml:space="preserve">. Các lựa chọn gồm dị tính, đồng tính nam, đồng tính nữ, song tính, toàn tính, xu hướng khác, đang tìm hiểu và không muốn trả lời. Người tham gia cũng được hỏi</w:t>
      </w:r>
      <w:r>
        <w:t xml:space="preserve"> </w:t>
      </w:r>
      <w:r>
        <w:t xml:space="preserve">“Bạn có coi mình là một phần của cộng đồng LGBT/LGBTQ+ không?”</w:t>
      </w:r>
      <w:r>
        <w:t xml:space="preserve"> </w:t>
      </w:r>
      <w:r>
        <w:t xml:space="preserve">và có thể trả lời có, không, chưa chắc hoặc đang tìm hiểu, hoặc không muốn trả lời. Những người trả lời có tạo thành mẫu LGBT. Trong phân tích, xu hướng tính dục được mã hóa thành bốn nhóm: đồng tính nam, đồng tính nữ, song tính hoặc toàn tính, và nhóm thứ tư gộp các xu hướng khác, đang tìm hiểu với số ít người tự nhận LGBT nhưng chọn xu hướng dị tính. Các nhóm được mã hóa thành biến giả, với nhóm đồng tính nam là nhóm tham chiếu.</w:t>
      </w:r>
    </w:p>
    <w:p>
      <w:pPr>
        <w:pStyle w:val="BodyText"/>
      </w:pPr>
      <w:r>
        <w:rPr>
          <w:b/>
          <w:bCs/>
        </w:rPr>
        <w:t xml:space="preserve">Tuổi, học vấn, tình trạng quan hệ, địa bàn làm việc và ngành.</w:t>
      </w:r>
      <w:r>
        <w:t xml:space="preserve"> </w:t>
      </w:r>
      <w:r>
        <w:t xml:space="preserve">Người tham gia cho biết nhóm tuổi (18–24, 25–34, 35–44, 45–54, hoặc từ 55 tuổi trở lên, với hai nhóm lớn tuổi nhất được gộp lại), trình độ học vấn cao nhất (trung học phổ thông trở xuống, cao đẳng, đại học hoặc sau đại học) và tình trạng quan hệ hiện tại (không có bạn đời; có bạn đời, đã kết hôn hoặc sống chung; hoặc ly thân, ly hôn hay góa). Họ cũng cho biết tỉnh, thành phố nơi làm phần lớn công việc, được mã hóa thành Hà Nội, Thành phố Hồ Chí Minh, Đà Nẵng hoặc nơi khác, và ngành của công việc chính, được mã hóa thành tài chính và ngân hàng, công nghệ thông tin, giáo dục, y tế, thương mại và dịch vụ, sản xuất, truyền thông và tiếp thị, du lịch và khách sạn, hoặc ngành khác.</w:t>
      </w:r>
    </w:p>
    <w:p>
      <w:pPr>
        <w:pStyle w:val="BodyText"/>
      </w:pPr>
      <w:r>
        <w:rPr>
          <w:b/>
          <w:bCs/>
        </w:rPr>
        <w:t xml:space="preserve">Đặc điểm công việc.</w:t>
      </w:r>
      <w:r>
        <w:t xml:space="preserve"> </w:t>
      </w:r>
      <w:r>
        <w:t xml:space="preserve">Người tham gia cũng cho biết tổng kinh nghiệm làm việc, vị trí công việc, quan hệ lao động, có được đóng bảo hiểm xã hội bắt buộc hay không, loại hình và quy mô tổ chức, và số giờ làm việc trung bình mỗi tuần ở công việc chính.</w:t>
      </w:r>
    </w:p>
    <w:p>
      <w:pPr>
        <w:pStyle w:val="BodyText"/>
      </w:pPr>
      <w:r>
        <w:rPr>
          <w:b/>
          <w:bCs/>
        </w:rPr>
        <w:t xml:space="preserve">Mã hóa biến kiểm soát.</w:t>
      </w:r>
      <w:r>
        <w:t xml:space="preserve"> </w:t>
      </w:r>
      <w:r>
        <w:t xml:space="preserve">Mọi biến kiểm soát đều là biến phân loại, và mỗi câu đều có lựa chọn</w:t>
      </w:r>
      <w:r>
        <w:t xml:space="preserve"> </w:t>
      </w:r>
      <w:r>
        <w:t xml:space="preserve">“không muốn trả lời”</w:t>
      </w:r>
      <w:r>
        <w:t xml:space="preserve">. Theo quy tắc chính,</w:t>
      </w:r>
      <w:r>
        <w:t xml:space="preserve"> </w:t>
      </w:r>
      <w:r>
        <w:t xml:space="preserve">“không muốn trả lời”</w:t>
      </w:r>
      <w:r>
        <w:t xml:space="preserve"> </w:t>
      </w:r>
      <w:r>
        <w:t xml:space="preserve">được giữ thành một nhóm riêng; theo quy tắc thay thế, nó được coi là giá trị thiếu; câu bỏ trống được coi là thiếu theo cả hai quy tắc. Trước khi ước lượng, các nhóm có dưới năm người trong mẫu ước lượng được gộp theo một quy tắc chỉ dựa trên số đếm (Supplementary Methods S1), vì nhóm chỉ có một hoặc hai người tạo ra giá trị đòn bẩy gần bằng một, khi đó sai số chuẩn vững với phương sai thay đổi trở nên không ổn định. Các bảng mô tả dùng nhóm gốc.</w:t>
      </w:r>
    </w:p>
    <w:bookmarkEnd w:id="26"/>
    <w:bookmarkStart w:id="27" w:name="kỳ-thị-nơi-làm-việc"/>
    <w:p>
      <w:pPr>
        <w:pStyle w:val="Heading3"/>
      </w:pPr>
      <w:r>
        <w:t xml:space="preserve">Kỳ thị nơi làm việc</w:t>
      </w:r>
    </w:p>
    <w:p>
      <w:pPr>
        <w:pStyle w:val="FirstParagraph"/>
      </w:pPr>
      <w:r>
        <w:t xml:space="preserve">Kỳ thị nơi làm việc chỉ được hỏi ở những người tự nhận là LGBT. Người tham gia được hỏi</w:t>
      </w:r>
      <w:r>
        <w:t xml:space="preserve"> </w:t>
      </w:r>
      <w:r>
        <w:t xml:space="preserve">“Trong 12 tháng qua tại nơi làm việc hiện tại, bạn đã gặp những tình huống sau thường xuyên đến mức nào?”</w:t>
      </w:r>
      <w:r>
        <w:t xml:space="preserve">. Sau đó là tám tình huống: (1) bị đùa cợt, bình luận, gọi tên hoặc nhận nội dung xúc phạm liên quan đến xu hướng tính dục, bản dạng giới hoặc thể hiện giới của mình; (2) bị hỏi những câu riêng tư không mong muốn về xu hướng tính dục, bản dạng giới hoặc đời sống tình cảm; (3) bị tiết lộ, hoặc bị đe dọa tiết lộ, xu hướng tính dục hay bản dạng giới khi chưa đồng ý; (4) bị loại khỏi cơ hội đào tạo, kết nối hoặc phát triển nghề nghiệp; (5) bị đánh giá kết quả công việc, trả lương hoặc xét thăng tiến không công bằng; (6) bị xếp ca, giao việc hoặc bố trí công việc bất lợi; (7) bị ép ăn mặc, nói năng hoặc cư xử theo khuôn mẫu giới không phù hợp với mình; và (8) gặp khó khăn khi dùng tên gọi, đại từ nhân xưng, trang phục, nhà vệ sinh hoặc tiện nghi phù hợp với bản dạng giới của mình. Các tình huống 4 đến 6 hỏi về sự đối xử mà người tham gia tin là liên quan đến xu hướng tính dục, bản dạng giới hoặc thể hiện giới của họ. Với mỗi tình huống, người tham gia trả lời trên thang từ 0 (</w:t>
      </w:r>
      <w:r>
        <w:rPr>
          <w:i/>
          <w:iCs/>
        </w:rPr>
        <w:t xml:space="preserve">chưa bao giờ</w:t>
      </w:r>
      <w:r>
        <w:t xml:space="preserve">) đến 4 (</w:t>
      </w:r>
      <w:r>
        <w:rPr>
          <w:i/>
          <w:iCs/>
        </w:rPr>
        <w:t xml:space="preserve">rất thường xuyên</w:t>
      </w:r>
      <w:r>
        <w:t xml:space="preserve">), với các mức trung gian 1 (</w:t>
      </w:r>
      <w:r>
        <w:rPr>
          <w:i/>
          <w:iCs/>
        </w:rPr>
        <w:t xml:space="preserve">một lần</w:t>
      </w:r>
      <w:r>
        <w:t xml:space="preserve">), 2 (</w:t>
      </w:r>
      <w:r>
        <w:rPr>
          <w:i/>
          <w:iCs/>
        </w:rPr>
        <w:t xml:space="preserve">thỉnh thoảng</w:t>
      </w:r>
      <w:r>
        <w:t xml:space="preserve">) và 3 (</w:t>
      </w:r>
      <w:r>
        <w:rPr>
          <w:i/>
          <w:iCs/>
        </w:rPr>
        <w:t xml:space="preserve">thường xuyên</w:t>
      </w:r>
      <w:r>
        <w:t xml:space="preserve">). Họ cũng có thể chọn</w:t>
      </w:r>
      <w:r>
        <w:t xml:space="preserve"> </w:t>
      </w:r>
      <w:r>
        <w:t xml:space="preserve">“không áp dụng hoặc không muốn trả lời”</w:t>
      </w:r>
      <w:r>
        <w:t xml:space="preserve">, được mã hóa là giá trị thiếu chứ không phải bằng không. Các tình huống được điều chỉnh từ Waldo (1999) và từ các chỉ báo hành vi của kỳ thị nơi làm việc, được xây dựng cùng giảng viên hướng dẫn, chỉnh sửa sau khi tham vấn chuyên gia và thử nghiệm với 30 người trả lời, tuy công cụ chưa được thẩm định chính thức.</w:t>
      </w:r>
    </w:p>
    <w:p>
      <w:pPr>
        <w:pStyle w:val="BodyText"/>
      </w:pPr>
      <w:r>
        <w:t xml:space="preserve">Vì mỗi tình huống là một loại sự kiện riêng, và gặp một tình huống không có nghĩa là gặp tình huống khác, các tình huống được coi là một chỉ số hình thành (formative index) chứ không phải một thang phản ánh, và với chỉ số hình thành thì độ nhất quán nội tại không phải là tiêu chí chất lượng (Bollen &amp; Lennox, 1991). Để tham khảo, hệ số Cronbach’s α là 0,69 ở 112 người trả lời đủ cả tám tình huống. Chỉ số kỳ thị (</w:t>
      </w:r>
      <w:r>
        <w:rPr>
          <w:i/>
          <w:iCs/>
        </w:rPr>
        <w:t xml:space="preserve">S</w:t>
      </w:r>
      <w:r>
        <w:t xml:space="preserve">) được tính là tần suất trung bình của tám tình huống khi có ít nhất sáu tình huống được trả lời; điểm cao hơn cho biết trải nghiệm kỳ thị thường xuyên hơn. Trong mẫu chính, 203 người trả lời ít nhất bảy tình huống và 112 người trả lời đủ tám. Tình huống 8 là câu thường bị bỏ trống tần suất nhất (57 trong 272 người của mẫu phân tích), có lẽ vì nội dung của nó chủ yếu áp dụng cho người chuyển giới và phi nhị nguyên.</w:t>
      </w:r>
    </w:p>
    <w:p>
      <w:pPr>
        <w:pStyle w:val="BodyText"/>
      </w:pPr>
      <w:r>
        <w:t xml:space="preserve">Để xem xét các hình thức kỳ thị, các tình huống được nhóm thành kỳ thị trong giao tiếp (tình huống 1 đến 3), kỳ thị liên quan đến nghề nghiệp (tình huống 4 đến 6) và kỳ thị về thể hiện giới (tình huống 7 và 8). Mỗi chỉ số thành phần là trung bình các tình huống của nó khi có ít nhất hai tình huống (với kỳ thị trong giao tiếp và liên quan đến nghề nghiệp) hoặc ít nhất một tình huống (với kỳ thị về thể hiện giới) được trả lời. Hệ số α của ba chỉ số thành phần lần lượt là 0,51, 0,44 và 0,42, mức không bất thường đối với chỉ số hình thành gồm các sự kiện khác nhau. Để mô tả, một tình huống hay một hình thức được coi là đã gặp khi xảy ra ít nhất một lần (với một hình thức, khi chỉ số thành phần lớn hơn không), và được coi là gặp thường xuyên khi ít nhất một tình huống của nó được chấm 3 hoặc 4.</w:t>
      </w:r>
    </w:p>
    <w:bookmarkEnd w:id="27"/>
    <w:bookmarkStart w:id="28" w:name="triệu-chứng-lo-âu-và-trầm-cảm"/>
    <w:p>
      <w:pPr>
        <w:pStyle w:val="Heading3"/>
      </w:pPr>
      <w:r>
        <w:t xml:space="preserve">Triệu chứng lo âu và trầm cảm</w:t>
      </w:r>
    </w:p>
    <w:p>
      <w:pPr>
        <w:pStyle w:val="FirstParagraph"/>
      </w:pPr>
      <w:r>
        <w:t xml:space="preserve">Triệu chứng lo âu và trầm cảm được đo bằng Patient Health Questionnaire-4 (PHQ-4; Kroenke và cộng sự, 2009), gồm hai câu về lo âu của thang Generalized Anxiety Disorder-7 (Spitzer và cộng sự, 2006) và hai câu về trầm cảm của thang Patient Health Questionnaire-9 (Kroenke và cộng sự, 2001). Người tham gia được hỏi</w:t>
      </w:r>
      <w:r>
        <w:t xml:space="preserve"> </w:t>
      </w:r>
      <w:r>
        <w:t xml:space="preserve">“Trong 2 tuần qua, bạn có thường bị những vấn đề sau làm phiền không?”</w:t>
      </w:r>
      <w:r>
        <w:t xml:space="preserve">. Bốn câu là cảm thấy bồn chồn, lo lắng hoặc căng thẳng; không thể ngừng hoặc kiểm soát được sự lo lắng; cảm thấy buồn, chán nản hoặc tuyệt vọng; và ít hứng thú hay niềm vui khi làm việc gì đó. Câu trả lời từ 0 (</w:t>
      </w:r>
      <w:r>
        <w:rPr>
          <w:i/>
          <w:iCs/>
        </w:rPr>
        <w:t xml:space="preserve">không lúc nào</w:t>
      </w:r>
      <w:r>
        <w:t xml:space="preserve">) đến 3 (</w:t>
      </w:r>
      <w:r>
        <w:rPr>
          <w:i/>
          <w:iCs/>
        </w:rPr>
        <w:t xml:space="preserve">gần như mỗi ngày</w:t>
      </w:r>
      <w:r>
        <w:t xml:space="preserve">), với các mức trung gian 1 (</w:t>
      </w:r>
      <w:r>
        <w:rPr>
          <w:i/>
          <w:iCs/>
        </w:rPr>
        <w:t xml:space="preserve">vài ngày</w:t>
      </w:r>
      <w:r>
        <w:t xml:space="preserve">) và 2 (</w:t>
      </w:r>
      <w:r>
        <w:rPr>
          <w:i/>
          <w:iCs/>
        </w:rPr>
        <w:t xml:space="preserve">hơn một nửa số ngày</w:t>
      </w:r>
      <w:r>
        <w:t xml:space="preserve">). Điểm các câu được cộng lại thành tổng điểm từ 0 đến 12, chỉ tính khi cả bốn câu được trả lời (α = 0,82 trong mẫu chính); điểm cao hơn cho biết triệu chứng nặng hơn. Chúng tôi không tìm thấy nghiên cứu thẩm định PHQ-4 tiếng Việt, và bằng chứng gần nhất là đánh giá PHQ-9 ở phụ nữ thiểu số về tính dục tại Việt Nam (T. Q. Nguyen, Bandeen-Roche, và cộng sự, 2016), nơi hai câu về trầm cảm được lấy ra. Vì vậy, điểm được dùng như một thước đo liên tục về mức độ triệu chứng. Chỉ để mô tả, điểm cũng được xếp vào các mức thông thường: bình thường (0–2), nhẹ (3–5), trung bình (6–8) và nặng (9–12) (Kroenke và cộng sự, 2009).</w:t>
      </w:r>
    </w:p>
    <w:bookmarkEnd w:id="28"/>
    <w:bookmarkStart w:id="29" w:name="X35d3a03a7c1b5ff940e2d12900c54842436c3ab"/>
    <w:p>
      <w:pPr>
        <w:pStyle w:val="Heading3"/>
      </w:pPr>
      <w:r>
        <w:t xml:space="preserve">Các thang đo khác và chất lượng phiếu trả lời</w:t>
      </w:r>
    </w:p>
    <w:p>
      <w:pPr>
        <w:pStyle w:val="FirstParagraph"/>
      </w:pPr>
      <w:r>
        <w:t xml:space="preserve">Bảng hỏi còn có các thang ngắn về che giấu danh tính và về việc thực thi chính sách đa dạng, công bằng và hòa nhập được cảm nhận tại nơi làm việc. Các khái niệm này nằm ngoài phạm vi bài viết, và hai thang chỉ được dùng để đánh giá chất lượng phiếu trả lời. Phiếu bị gắn cờ nếu người tham gia chọn cùng một mức cho mọi câu của cả ba thang Likert trong bảng hỏi, tức PHQ-4 và hai thang nêu trên, hoặc nếu có câu trả lời mâu thuẫn rõ ràng, chẳng hạn chọn nhóm tuổi trẻ nhất đồng thời chọn vị trí quản lý cấp cao. Các phiếu bị gắn cờ được giữ lại trong phân tích chính và bị loại trong một phân tích độ nhạy.</w:t>
      </w:r>
    </w:p>
    <w:bookmarkEnd w:id="29"/>
    <w:bookmarkEnd w:id="30"/>
    <w:bookmarkStart w:id="34" w:name="kế-hoạch-phân-tích"/>
    <w:p>
      <w:pPr>
        <w:pStyle w:val="Heading2"/>
      </w:pPr>
      <w:r>
        <w:t xml:space="preserve">Kế hoạch phân tích</w:t>
      </w:r>
    </w:p>
    <w:p>
      <w:pPr>
        <w:pStyle w:val="FirstParagraph"/>
      </w:pPr>
      <w:r>
        <w:t xml:space="preserve">Mọi phân tích được thực hiện bằng Stata 17 với các lệnh do người dùng viết là sensemakr và boottest, và một bản tái lập độc lập bằng Python cho lại mọi ước lượng không phụ thuộc vào rút ngẫu nhiên. Phân tích chính dùng các trường hợp đủ dữ liệu, và ảnh hưởng có thể có của dữ liệu thiếu được đánh giá bằng cách so sánh người có và không có đủ dữ liệu và bằng cách ước lượng lại mô hình chính sau khi gán giá trị đa lần. Trước các phân tích chính, thống kê mô tả được tính cho triệu chứng và cho từng tình huống, từng hình thức kỳ thị, với mẫu số là những người trả lời câu đó. Điểm PHQ-4 trung bình và tỷ lệ người có điểm từ 6 trở lên cũng được so sánh giữa người đã gặp và chưa gặp từng hình thức, không điều chỉnh và không kiểm định giả thuyết. Tiếp theo, một hồi quy điểm PHQ-4 theo các đặc điểm có trước phơi nhiễm được ước lượng để xác định khác biệt nhân khẩu học về triệu chứng (Bảng S1).</w:t>
      </w:r>
    </w:p>
    <w:p>
      <w:pPr>
        <w:pStyle w:val="BodyText"/>
      </w:pPr>
      <w:r>
        <w:t xml:space="preserve">H1 được kiểm định bằng mô hình PHQᵢ = α + η·Sᵢ + γ′Xᵢᴰ + εᵢ, ước lượng bằng bình phương nhỏ nhất thông thường (OLS). Trong đó, η là chênh lệch kỳ vọng về điểm PHQ-4 giữa hai người lao động LGBT có chỉ số kỳ thị khác nhau một đơn vị trên thang 0–4 và có cùng các đặc điểm có trước phơi nhiễm (Xᴰ). Vì thiết kế là cắt ngang và cả hai thước đo đều do người tham gia tự báo cáo, η được diễn giải là một mối liên hệ đã điều chỉnh chứ không phải một tác động nhân quả. Sai số chuẩn là loại vững với phương sai thay đổi HC3, được Long và Ervin (2000) khuyến nghị cho mẫu dưới 250 quan sát; lựa chọn này được đưa ra trước khi ước lượng, không phụ thuộc kết quả kiểm định phương sai thay đổi. H1 được coi là được ủng hộ nếu η dương và có ý nghĩa thống kê trong kiểm định hai phía ở mức 5%.</w:t>
      </w:r>
    </w:p>
    <w:p>
      <w:pPr>
        <w:pStyle w:val="BodyText"/>
      </w:pPr>
      <w:r>
        <w:t xml:space="preserve">Biến kiểm soát được chọn bằng một sơ đồ nhân quả (Hình 1; Greenland và cộng sự, 1999), theo nguyên tắc điều chỉnh những nguyên nhân có trước phơi nhiễm của phơi nhiễm, của kết quả hoặc của cả hai (VanderWeele, 2019). Các đặc điểm có trước phơi nhiễm gồm tám nhóm: nhóm tuổi, học vấn, giới tính khi sinh, tình trạng thiểu số về giới, nhóm xu hướng tính dục, tình trạng quan hệ, địa bàn làm việc và ngành. Tình trạng thiểu số về giới và nhóm xu hướng tính dục có trước các trải nghiệm ở nơi làm việc và có thể chi phối cả mức phơi nhiễm kỳ thị lẫn triệu chứng (Ross và cộng sự, 2018). Ngành được coi là đặc điểm có trước phơi nhiễm vì phần lớn người lao động vào một ngành trước khi có trải nghiệm ở một nơi làm việc cụ thể. Dù vậy, ngành và địa bàn làm việc có thể phản ánh việc chuyển sang những ngành hoặc thành phố được cảm nhận là cởi mở hơn, và tình trạng quan hệ có thể phần nào phản ánh triệu chứng, nên một phân tích độ nhạy bỏ ngành và một phân tích hậu kiểm (post hoc) bỏ tình trạng quan hệ và địa bàn làm việc. Các đặc điểm công việc khác (Xᴶ), như loại hình và quy mô tổ chức, có thể gây nhiễu mối liên hệ, nhưng cũng có thể nằm trên con đường giữa kỳ thị và triệu chứng, vì kỳ thị có thể đẩy người lao động vào vị trí thấp hơn hoặc việc làm kém ổn định hơn, và điều chỉnh một biến trên con đường này sẽ loại bỏ một phần mối liên hệ cần quan tâm (Angrist &amp; Pischke, 2009). Vì vậy, đặc điểm công việc chỉ được thêm vào trong đặc tả thứ hai, cho biết mối liên hệ có thể đi qua các đặc điểm này đến mức nào.</w:t>
      </w:r>
    </w:p>
    <w:p>
      <w:pPr>
        <w:pStyle w:val="BodyText"/>
      </w:pPr>
      <w:r>
        <w:rPr>
          <w:b/>
          <w:bCs/>
        </w:rPr>
        <w:t xml:space="preserve">Hình 1</w:t>
      </w:r>
      <w:r>
        <w:t xml:space="preserve"> </w:t>
      </w:r>
      <w:r>
        <w:rPr>
          <w:i/>
          <w:iCs/>
        </w:rPr>
        <w:t xml:space="preserve">Sơ đồ nhân quả giản lược dùng để chọn biến kiểm soát</w:t>
      </w:r>
    </w:p>
    <w:p>
      <w:pPr>
        <w:pStyle w:val="BodyText"/>
      </w:pPr>
      <w:r>
        <w:drawing>
          <wp:inline>
            <wp:extent cx="5334000" cy="2987040"/>
            <wp:effectExtent b="0" l="0" r="0" t="0"/>
            <wp:docPr descr="Sơ đồ nhân quả" title="" id="32" name="Picture"/>
            <a:graphic>
              <a:graphicData uri="http://schemas.openxmlformats.org/drawingml/2006/picture">
                <pic:pic>
                  <pic:nvPicPr>
                    <pic:cNvPr descr="figures/fig1_causal_diagram.png" id="33" name="Picture"/>
                    <pic:cNvPicPr>
                      <a:picLocks noChangeArrowheads="1" noChangeAspect="1"/>
                    </pic:cNvPicPr>
                  </pic:nvPicPr>
                  <pic:blipFill>
                    <a:blip r:embed="rId31"/>
                    <a:stretch>
                      <a:fillRect/>
                    </a:stretch>
                  </pic:blipFill>
                  <pic:spPr bwMode="auto">
                    <a:xfrm>
                      <a:off x="0" y="0"/>
                      <a:ext cx="5334000" cy="2987040"/>
                    </a:xfrm>
                    <a:prstGeom prst="rect">
                      <a:avLst/>
                    </a:prstGeom>
                    <a:noFill/>
                    <a:ln w="9525">
                      <a:noFill/>
                      <a:headEnd/>
                      <a:tailEnd/>
                    </a:ln>
                  </pic:spPr>
                </pic:pic>
              </a:graphicData>
            </a:graphic>
          </wp:inline>
        </w:drawing>
      </w:r>
    </w:p>
    <w:p>
      <w:pPr>
        <w:pStyle w:val="BodyText"/>
      </w:pPr>
      <w:r>
        <w:rPr>
          <w:i/>
          <w:iCs/>
        </w:rPr>
        <w:t xml:space="preserve">Chú thích.</w:t>
      </w:r>
      <w:r>
        <w:t xml:space="preserve"> </w:t>
      </w:r>
      <w:r>
        <w:t xml:space="preserve">Mũi tên liền biểu thị các đường giả định, mũi tên màu xanh biểu thị mối liên hệ cần quan tâm. Mũi tên nét đứt màu đỏ biểu thị sai lệch hồi tưởng và nhân quả ngược, và</w:t>
      </w:r>
      <w:r>
        <w:t xml:space="preserve"> </w:t>
      </w:r>
      <w:r>
        <w:rPr>
          <w:i/>
          <w:iCs/>
        </w:rPr>
        <w:t xml:space="preserve">U</w:t>
      </w:r>
      <w:r>
        <w:t xml:space="preserve"> </w:t>
      </w:r>
      <w:r>
        <w:t xml:space="preserve">là các yếu tố không quan sát được.</w:t>
      </w:r>
    </w:p>
    <w:p>
      <w:pPr>
        <w:pStyle w:val="BodyText"/>
      </w:pPr>
      <w:r>
        <w:t xml:space="preserve">Để phân biệt việc không có mối liên hệ với một ước lượng thiếu chính xác, ngưỡng hiệu ứng nhỏ nhất có ý nghĩa được đặt ở 1,0 điểm PHQ-4 trên một đơn vị</w:t>
      </w:r>
      <w:r>
        <w:t xml:space="preserve"> </w:t>
      </w:r>
      <w:r>
        <w:rPr>
          <w:i/>
          <w:iCs/>
        </w:rPr>
        <w:t xml:space="preserve">S</w:t>
      </w:r>
      <w:r>
        <w:t xml:space="preserve">. Giá trị này tương ứng khoảng 0,14 độ lệch chuẩn PHQ-4 trên một độ lệch chuẩn</w:t>
      </w:r>
      <w:r>
        <w:t xml:space="preserve"> </w:t>
      </w:r>
      <w:r>
        <w:rPr>
          <w:i/>
          <w:iCs/>
        </w:rPr>
        <w:t xml:space="preserve">S</w:t>
      </w:r>
      <w:r>
        <w:t xml:space="preserve"> </w:t>
      </w:r>
      <w:r>
        <w:t xml:space="preserve">trong mẫu chính và nhỏ hơn mức liên hệ trung bình giữa phân biệt đối xử được cảm nhận và trạng thái tinh thần mà Schmitt và cộng sự (2014) báo cáo. Bên cạnh kiểm định thông thường, H1 được xem xét bằng thủ tục hai kiểm định một phía (TOST; Lakens, 2017; Lakens và cộng sự, 2018). Kết luận không có mối liên hệ có ý nghĩa thực tiễn chỉ được đưa ra nếu khoảng tin cậy 90% nằm trọn trong ±1,0; kết luận có mối liên hệ dương được đưa ra nếu khoảng tin cậy 95% không chứa không và ước lượng dương; và kết quả được coi là chưa xác định nếu khoảng tin cậy chứa cả không lẫn các giá trị vượt ngưỡng. Cách đọc khoảng tin cậy này cũng được áp dụng cho các phân tích thăm dò. Sau khi ước lượng, hiệu ứng nhỏ nhất có thể phát hiện ở mức ý nghĩa 5% và lực thống kê 80% được tính bằng 2,8 lần sai số chuẩn của η.</w:t>
      </w:r>
    </w:p>
    <w:p>
      <w:pPr>
        <w:pStyle w:val="BodyText"/>
      </w:pPr>
      <w:r>
        <w:t xml:space="preserve">RQ1 dùng 233 người trong mẫu chính có đủ cả ba chỉ số thành phần hợp lệ. Mỗi chỉ số thành phần được chuẩn hóa trong mẫu này, để hệ số của nó là chênh lệch điểm PHQ-4 trên một độ lệch chuẩn và so sánh được giữa các hình thức có tần suất khác nhau. Mỗi chỉ số thành phần được ước lượng trong một mô hình riêng với cùng các biến kiểm soát như mô hình H1, và một mô hình chung đưa cả ba chỉ số thành phần vào cùng lúc. Vì khác biệt về ý nghĩa thống kê giữa hai hệ số không phải là bằng chứng rằng hai hệ số khác nhau (Gelman &amp; Stern, 2006), ba hiệu số từng cặp được kiểm định trực tiếp trong mô hình chung. Trong các phân tích thăm dò bổ sung, mỗi tình huống được ước lượng trong một mô hình, trong đó</w:t>
      </w:r>
      <w:r>
        <w:t xml:space="preserve"> </w:t>
      </w:r>
      <w:r>
        <w:rPr>
          <w:i/>
          <w:iCs/>
        </w:rPr>
        <w:t xml:space="preserve">S</w:t>
      </w:r>
      <w:r>
        <w:t xml:space="preserve"> </w:t>
      </w:r>
      <w:r>
        <w:t xml:space="preserve">được thay bằng biến chỉ báo đã gặp tình huống đó ít nhất một lần. Các tình huống có dưới 10 người đã gặp, hoặc dưới 10 người chưa gặp, không được ước lượng để tránh lộ ô nhỏ. Một mô hình khác thay</w:t>
      </w:r>
      <w:r>
        <w:t xml:space="preserve"> </w:t>
      </w:r>
      <w:r>
        <w:rPr>
          <w:i/>
          <w:iCs/>
        </w:rPr>
        <w:t xml:space="preserve">S</w:t>
      </w:r>
      <w:r>
        <w:t xml:space="preserve"> </w:t>
      </w:r>
      <w:r>
        <w:t xml:space="preserve">bằng các biến chỉ báo phơi nhiễm thấp và cao, với nhóm không phơi nhiễm làm tham chiếu và trung vị của</w:t>
      </w:r>
      <w:r>
        <w:t xml:space="preserve"> </w:t>
      </w:r>
      <w:r>
        <w:rPr>
          <w:i/>
          <w:iCs/>
        </w:rPr>
        <w:t xml:space="preserve">S</w:t>
      </w:r>
      <w:r>
        <w:t xml:space="preserve"> </w:t>
      </w:r>
      <w:r>
        <w:t xml:space="preserve">ở những người có phơi nhiễm làm điểm cắt. H1 được coi là kiểm định giả thuyết duy nhất và không hiệu chỉnh cho kiểm định bội, còn giá trị</w:t>
      </w:r>
      <w:r>
        <w:t xml:space="preserve"> </w:t>
      </w:r>
      <w:r>
        <w:rPr>
          <w:i/>
          <w:iCs/>
        </w:rPr>
        <w:t xml:space="preserve">p</w:t>
      </w:r>
      <w:r>
        <w:t xml:space="preserve"> </w:t>
      </w:r>
      <w:r>
        <w:t xml:space="preserve">của ba mô hình riêng của RQ1 và của các mô hình từng tình huống được hiệu chỉnh bằng thủ tục Benjamini và Hochberg (1995).</w:t>
      </w:r>
    </w:p>
    <w:p>
      <w:pPr>
        <w:pStyle w:val="BodyText"/>
      </w:pPr>
      <w:r>
        <w:t xml:space="preserve">Các phân tích độ nhạy xem xét mối liên hệ có phụ thuộc vào các lựa chọn phân tích hay không. Các phân tích này thêm đặc điểm công việc, coi</w:t>
      </w:r>
      <w:r>
        <w:t xml:space="preserve"> </w:t>
      </w:r>
      <w:r>
        <w:t xml:space="preserve">“không muốn trả lời”</w:t>
      </w:r>
      <w:r>
        <w:t xml:space="preserve"> </w:t>
      </w:r>
      <w:r>
        <w:t xml:space="preserve">là giá trị thiếu, tách việc có phơi nhiễm khỏi cường độ phơi nhiễm ở những người có phơi nhiễm, kiểm định mối liên hệ phi tuyến bằng hàm spline bậc ba có ràng buộc, ước lượng mô hình logit phân số phù hợp với giới hạn của thang PHQ-4 (Papke &amp; Wooldridge, 1996), dùng gán giá trị đa lần theo chuỗi phương trình (White và cộng sự, 2011), loại các phiếu bị gắn cờ và các quan sát có ảnh hưởng lớn, dùng wild bootstrap có ràng buộc (Davidson &amp; Flachaire, 2008; Roodman và cộng sự, 2019), và bỏ ngành khỏi các biến kiểm soát. Một đường cong đặc tả (Simonsohn và cộng sự, 2020) kết hợp bốn cách dựng chỉ số kỳ thị, hai bộ biến kiểm soát, hai định nghĩa nhóm LGBT, và việc giữ hoặc loại người chuyển giới, phi nhị nguyên, cho ra 32 đặc tả. Mọi kết quả đều được báo cáo, và không đặt ngưỡng nào cho tỷ lệ đặc tả phải thống nhất. Supplementary Methods S2 mô tả chi tiết từng phân tích.</w:t>
      </w:r>
    </w:p>
    <w:p>
      <w:pPr>
        <w:pStyle w:val="BodyText"/>
      </w:pPr>
      <w:r>
        <w:t xml:space="preserve">Bốn nguồn sai lệch có thể làm η lớn lên: căng thẳng thiểu số ngoài nơi làm việc không được đo, nhân quả ngược, sai lệch hồi tưởng và sai lệch do cùng phương pháp đo (Podsakoff và cộng sự, 2003). Phần kỳ thị và PHQ-4 dùng thang trả lời và khoảng thời gian tham chiếu khác nhau, nhưng phần kỳ thị đứng ngay trước PHQ-4, và việc nhớ lại các sự kiện kỳ thị ngay trước khi tự đánh giá triệu chứng có thể làm điểm triệu chứng cao lên (Schwarz, 1999). Độ nhạy với nhiễu không đo được được định lượng bằng khung sai lệch do biến bị bỏ sót của Cinelli và Hazlett (2020), với học vấn và giới tính khi sinh làm mốc so sánh (Supplementary Methods S3). Biến công cụ, ghép điểm xu hướng, mô hình chọn mẫu, kiểm định một nhân tố của Harman và cận ổn định hệ số (Oster, 2019) không được dùng, với lý do nêu ở Supplementary Methods S4. Các chẩn đoán của mô hình chính chỉ mang tính mô tả và không làm thay đổi phương pháp ước lượng. Bốn phân tích độ nhạy khác được đặt ra sau khi đã biết kết quả chính, và được báo cáo riêng như phân tích hậu kiểm (Bảng S6). Cuối cùng, mọi bảng chéo theo xu hướng tính dục, bản dạng giới, nhóm nhân khẩu học hoặc đặc điểm nơi làm việc, và mọi bảng về trải nghiệm kỳ thị, đều ẩn các ô có dưới 10 người cùng mọi ô có thể suy ra số đếm đã ẩn.</w:t>
      </w:r>
    </w:p>
    <w:bookmarkEnd w:id="34"/>
    <w:bookmarkEnd w:id="35"/>
    <w:bookmarkStart w:id="43" w:name="kết-quả-results"/>
    <w:p>
      <w:pPr>
        <w:pStyle w:val="Heading1"/>
      </w:pPr>
      <w:r>
        <w:t xml:space="preserve">Kết quả (Results)</w:t>
      </w:r>
    </w:p>
    <w:p>
      <w:pPr>
        <w:pStyle w:val="FirstParagraph"/>
      </w:pPr>
      <w:r>
        <w:t xml:space="preserve">Điểm PHQ-4 trung bình trong mẫu chính là 3,43 (</w:t>
      </w:r>
      <w:r>
        <w:rPr>
          <w:i/>
          <w:iCs/>
        </w:rPr>
        <w:t xml:space="preserve">SD</w:t>
      </w:r>
      <w:r>
        <w:t xml:space="preserve"> </w:t>
      </w:r>
      <w:r>
        <w:t xml:space="preserve">= 3,25, khoảng = 0–12; Bảng 3). Gần một nửa số người tham gia (46,0%) có điểm ở mức bình thường, 31,1% có triệu chứng nhẹ, 16,2% có triệu chứng trung bình và 6,8% có triệu chứng nặng, nên 23,0% có điểm từ 6 trở lên. Vì 25,1% người tham gia có điểm 0, phân phối điểm bị dồn ở mức sàn. Khác biệt nhân khẩu học về điểm PHQ-4 nhỏ (Bảng S1). Người làm việc tại Đà Nẵng có điểm cao hơn người làm việc tại Hà Nội (</w:t>
      </w:r>
      <w:r>
        <w:rPr>
          <w:i/>
          <w:iCs/>
        </w:rPr>
        <w:t xml:space="preserve">b</w:t>
      </w:r>
      <w:r>
        <w:t xml:space="preserve"> </w:t>
      </w:r>
      <w:r>
        <w:t xml:space="preserve">= 1,60, KTC 95% [0,06; 3,15]), và khoảng tin cậy của mọi đặc điểm khác đều chứa không. Chỉ số kỳ thị tương quan dương với điểm PHQ-4 (</w:t>
      </w:r>
      <w:r>
        <w:rPr>
          <w:i/>
          <w:iCs/>
        </w:rPr>
        <w:t xml:space="preserve">r</w:t>
      </w:r>
      <w:r>
        <w:t xml:space="preserve"> </w:t>
      </w:r>
      <w:r>
        <w:t xml:space="preserve">= 0,21), và với các chỉ số thành phần, hệ số tương quan với điểm PHQ-4 là 0,23 đối với kỳ thị trong giao tiếp, 0,13 đối với kỳ thị liên quan đến nghề nghiệp và 0,05 đối với kỳ thị về thể hiện giới.</w:t>
      </w:r>
    </w:p>
    <w:p>
      <w:pPr>
        <w:pStyle w:val="BodyText"/>
      </w:pPr>
      <w:r>
        <w:rPr>
          <w:b/>
          <w:bCs/>
        </w:rPr>
        <w:t xml:space="preserve">Bảng 3</w:t>
      </w:r>
      <w:r>
        <w:t xml:space="preserve"> </w:t>
      </w:r>
      <w:r>
        <w:rPr>
          <w:i/>
          <w:iCs/>
        </w:rPr>
        <w:t xml:space="preserve">Thống kê mô tả và tương quan của các biến nghiên cứu (mẫu chính)</w:t>
      </w:r>
    </w:p>
    <w:tbl>
      <w:tblPr>
        <w:tblStyle w:val="Table"/>
        <w:tblW w:w="9362"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2621"/>
        <w:gridCol w:w="1123"/>
        <w:gridCol w:w="749"/>
        <w:gridCol w:w="749"/>
        <w:gridCol w:w="936"/>
        <w:gridCol w:w="796"/>
        <w:gridCol w:w="796"/>
        <w:gridCol w:w="796"/>
        <w:gridCol w:w="796"/>
      </w:tblGrid>
      <w:tr>
        <w:trPr>
          <w:cantSplit/>
          <w:tblHeader/>
        </w:trPr>
        <w:tc>
          <w:tcPr>
            <w:tcW w:w="2621"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Biến</w:t>
            </w:r>
          </w:p>
        </w:tc>
        <w:tc>
          <w:tcPr>
            <w:tcW w:w="1123"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p>
        </w:tc>
        <w:tc>
          <w:tcPr>
            <w:tcW w:w="749"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M</w:t>
            </w:r>
          </w:p>
        </w:tc>
        <w:tc>
          <w:tcPr>
            <w:tcW w:w="749"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SD</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Khoảng</w:t>
            </w:r>
            <w:r>
              <w:rPr>
                <w:rFonts w:ascii="Times New Roman" w:hAnsi="Times New Roman"/>
                <w:sz w:val="20"/>
                <w:vertAlign w:val="superscript"/>
              </w:rPr>
              <w:t xml:space="preserve">a</w:t>
            </w:r>
          </w:p>
        </w:tc>
        <w:tc>
          <w:tcPr>
            <w:tcW w:w="79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1</w:t>
            </w:r>
            <w:r>
              <w:rPr>
                <w:rFonts w:ascii="Times New Roman" w:hAnsi="Times New Roman"/>
                <w:sz w:val="20"/>
                <w:vertAlign w:val="superscript"/>
              </w:rPr>
              <w:t xml:space="preserve">b</w:t>
            </w:r>
          </w:p>
        </w:tc>
        <w:tc>
          <w:tcPr>
            <w:tcW w:w="79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2</w:t>
            </w:r>
          </w:p>
        </w:tc>
        <w:tc>
          <w:tcPr>
            <w:tcW w:w="79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3</w:t>
            </w:r>
          </w:p>
        </w:tc>
        <w:tc>
          <w:tcPr>
            <w:tcW w:w="79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4</w:t>
            </w: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1. PHQ-4</w:t>
            </w:r>
          </w:p>
        </w:tc>
        <w:tc>
          <w:tcPr>
            <w:tcW w:w="1123" w:type="dxa"/>
          </w:tcPr>
          <w:p>
            <w:pPr>
              <w:pStyle w:val="Compact"/>
              <w:spacing w:before="0" w:after="0" w:line="240" w:lineRule="auto"/>
              <w:ind w:firstLine="0" w:left="0"/>
              <w:jc w:val="center"/>
            </w:pPr>
            <w:r>
              <w:rPr>
                <w:rFonts w:ascii="Times New Roman" w:hAnsi="Times New Roman"/>
                <w:sz w:val="20"/>
              </w:rPr>
              <w:t xml:space="preserve">235</w:t>
            </w:r>
          </w:p>
        </w:tc>
        <w:tc>
          <w:tcPr>
            <w:tcW w:w="749" w:type="dxa"/>
          </w:tcPr>
          <w:p>
            <w:pPr>
              <w:pStyle w:val="Compact"/>
              <w:spacing w:before="0" w:after="0" w:line="240" w:lineRule="auto"/>
              <w:ind w:firstLine="0" w:left="0"/>
              <w:jc w:val="center"/>
            </w:pPr>
            <w:r>
              <w:rPr>
                <w:rFonts w:ascii="Times New Roman" w:hAnsi="Times New Roman"/>
                <w:sz w:val="20"/>
              </w:rPr>
              <w:t xml:space="preserve">3,43</w:t>
            </w:r>
          </w:p>
        </w:tc>
        <w:tc>
          <w:tcPr>
            <w:tcW w:w="749" w:type="dxa"/>
          </w:tcPr>
          <w:p>
            <w:pPr>
              <w:pStyle w:val="Compact"/>
              <w:spacing w:before="0" w:after="0" w:line="240" w:lineRule="auto"/>
              <w:ind w:firstLine="0" w:left="0"/>
              <w:jc w:val="center"/>
            </w:pPr>
            <w:r>
              <w:rPr>
                <w:rFonts w:ascii="Times New Roman" w:hAnsi="Times New Roman"/>
                <w:sz w:val="20"/>
              </w:rPr>
              <w:t xml:space="preserve">3,25</w:t>
            </w:r>
          </w:p>
        </w:tc>
        <w:tc>
          <w:tcPr>
            <w:tcW w:w="936" w:type="dxa"/>
          </w:tcPr>
          <w:p>
            <w:pPr>
              <w:pStyle w:val="Compact"/>
              <w:spacing w:before="0" w:after="0" w:line="240" w:lineRule="auto"/>
              <w:ind w:firstLine="0" w:left="0"/>
              <w:jc w:val="center"/>
            </w:pPr>
            <w:r>
              <w:rPr>
                <w:rFonts w:ascii="Times New Roman" w:hAnsi="Times New Roman"/>
                <w:sz w:val="20"/>
              </w:rPr>
              <w:t xml:space="preserve">0–12</w:t>
            </w: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2. Chỉ số kỳ thị (</w:t>
            </w:r>
            <w:r>
              <w:rPr>
                <w:rFonts w:ascii="Times New Roman" w:hAnsi="Times New Roman"/>
                <w:i/>
                <w:iCs/>
                <w:sz w:val="20"/>
              </w:rPr>
              <w:t xml:space="preserve">S</w:t>
            </w:r>
            <w:r>
              <w:rPr>
                <w:rFonts w:ascii="Times New Roman" w:hAnsi="Times New Roman"/>
                <w:sz w:val="20"/>
              </w:rPr>
              <w:t xml:space="preserve">)</w:t>
            </w:r>
            <w:r>
              <w:rPr>
                <w:rFonts w:ascii="Times New Roman" w:hAnsi="Times New Roman"/>
                <w:sz w:val="20"/>
                <w:vertAlign w:val="superscript"/>
              </w:rPr>
              <w:t xml:space="preserve">c</w:t>
            </w:r>
          </w:p>
        </w:tc>
        <w:tc>
          <w:tcPr>
            <w:tcW w:w="1123" w:type="dxa"/>
          </w:tcPr>
          <w:p>
            <w:pPr>
              <w:pStyle w:val="Compact"/>
              <w:spacing w:before="0" w:after="0" w:line="240" w:lineRule="auto"/>
              <w:ind w:firstLine="0" w:left="0"/>
              <w:jc w:val="center"/>
            </w:pPr>
            <w:r>
              <w:rPr>
                <w:rFonts w:ascii="Times New Roman" w:hAnsi="Times New Roman"/>
                <w:sz w:val="20"/>
              </w:rPr>
              <w:t xml:space="preserve">235</w:t>
            </w:r>
          </w:p>
        </w:tc>
        <w:tc>
          <w:tcPr>
            <w:tcW w:w="749" w:type="dxa"/>
          </w:tcPr>
          <w:p>
            <w:pPr>
              <w:pStyle w:val="Compact"/>
              <w:spacing w:before="0" w:after="0" w:line="240" w:lineRule="auto"/>
              <w:ind w:firstLine="0" w:left="0"/>
              <w:jc w:val="center"/>
            </w:pPr>
            <w:r>
              <w:rPr>
                <w:rFonts w:ascii="Times New Roman" w:hAnsi="Times New Roman"/>
                <w:sz w:val="20"/>
              </w:rPr>
              <w:t xml:space="preserve">0,33</w:t>
            </w:r>
          </w:p>
        </w:tc>
        <w:tc>
          <w:tcPr>
            <w:tcW w:w="749" w:type="dxa"/>
          </w:tcPr>
          <w:p>
            <w:pPr>
              <w:pStyle w:val="Compact"/>
              <w:spacing w:before="0" w:after="0" w:line="240" w:lineRule="auto"/>
              <w:ind w:firstLine="0" w:left="0"/>
              <w:jc w:val="center"/>
            </w:pPr>
            <w:r>
              <w:rPr>
                <w:rFonts w:ascii="Times New Roman" w:hAnsi="Times New Roman"/>
                <w:sz w:val="20"/>
              </w:rPr>
              <w:t xml:space="preserve">0,47</w:t>
            </w:r>
          </w:p>
        </w:tc>
        <w:tc>
          <w:tcPr>
            <w:tcW w:w="936" w:type="dxa"/>
          </w:tcPr>
          <w:p>
            <w:pPr>
              <w:pStyle w:val="Compact"/>
              <w:spacing w:before="0" w:after="0" w:line="240" w:lineRule="auto"/>
              <w:ind w:firstLine="0" w:left="0"/>
              <w:jc w:val="center"/>
            </w:pPr>
            <w:r>
              <w:rPr>
                <w:rFonts w:ascii="Times New Roman" w:hAnsi="Times New Roman"/>
                <w:sz w:val="20"/>
              </w:rPr>
              <w:t xml:space="preserve">0–2,75</w:t>
            </w:r>
          </w:p>
        </w:tc>
        <w:tc>
          <w:tcPr>
            <w:tcW w:w="796" w:type="dxa"/>
          </w:tcPr>
          <w:p>
            <w:pPr>
              <w:pStyle w:val="Compact"/>
              <w:spacing w:before="0" w:after="0" w:line="240" w:lineRule="auto"/>
              <w:ind w:firstLine="0" w:left="0"/>
              <w:jc w:val="center"/>
            </w:pPr>
            <w:r>
              <w:rPr>
                <w:rFonts w:ascii="Times New Roman" w:hAnsi="Times New Roman"/>
                <w:sz w:val="20"/>
              </w:rPr>
              <w:t xml:space="preserve">0,21</w:t>
            </w: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3. Kỳ thị trong giao tiếp</w:t>
            </w:r>
          </w:p>
        </w:tc>
        <w:tc>
          <w:tcPr>
            <w:tcW w:w="1123" w:type="dxa"/>
          </w:tcPr>
          <w:p>
            <w:pPr>
              <w:pStyle w:val="Compact"/>
              <w:spacing w:before="0" w:after="0" w:line="240" w:lineRule="auto"/>
              <w:ind w:firstLine="0" w:left="0"/>
              <w:jc w:val="center"/>
            </w:pPr>
            <w:r>
              <w:rPr>
                <w:rFonts w:ascii="Times New Roman" w:hAnsi="Times New Roman"/>
                <w:sz w:val="20"/>
              </w:rPr>
              <w:t xml:space="preserve">235</w:t>
            </w:r>
          </w:p>
        </w:tc>
        <w:tc>
          <w:tcPr>
            <w:tcW w:w="749" w:type="dxa"/>
          </w:tcPr>
          <w:p>
            <w:pPr>
              <w:pStyle w:val="Compact"/>
              <w:spacing w:before="0" w:after="0" w:line="240" w:lineRule="auto"/>
              <w:ind w:firstLine="0" w:left="0"/>
              <w:jc w:val="center"/>
            </w:pPr>
            <w:r>
              <w:rPr>
                <w:rFonts w:ascii="Times New Roman" w:hAnsi="Times New Roman"/>
                <w:sz w:val="20"/>
              </w:rPr>
              <w:t xml:space="preserve">0,53</w:t>
            </w:r>
          </w:p>
        </w:tc>
        <w:tc>
          <w:tcPr>
            <w:tcW w:w="749" w:type="dxa"/>
          </w:tcPr>
          <w:p>
            <w:pPr>
              <w:pStyle w:val="Compact"/>
              <w:spacing w:before="0" w:after="0" w:line="240" w:lineRule="auto"/>
              <w:ind w:firstLine="0" w:left="0"/>
              <w:jc w:val="center"/>
            </w:pPr>
            <w:r>
              <w:rPr>
                <w:rFonts w:ascii="Times New Roman" w:hAnsi="Times New Roman"/>
                <w:sz w:val="20"/>
              </w:rPr>
              <w:t xml:space="preserve">0,76</w:t>
            </w:r>
          </w:p>
        </w:tc>
        <w:tc>
          <w:tcPr>
            <w:tcW w:w="936" w:type="dxa"/>
          </w:tcPr>
          <w:p>
            <w:pPr>
              <w:pStyle w:val="Compact"/>
              <w:spacing w:before="0" w:after="0" w:line="240" w:lineRule="auto"/>
              <w:ind w:firstLine="0" w:left="0"/>
              <w:jc w:val="center"/>
            </w:pPr>
            <w:r>
              <w:rPr>
                <w:rFonts w:ascii="Times New Roman" w:hAnsi="Times New Roman"/>
                <w:sz w:val="20"/>
              </w:rPr>
              <w:t xml:space="preserve">0–4</w:t>
            </w:r>
          </w:p>
        </w:tc>
        <w:tc>
          <w:tcPr>
            <w:tcW w:w="796" w:type="dxa"/>
          </w:tcPr>
          <w:p>
            <w:pPr>
              <w:pStyle w:val="Compact"/>
              <w:spacing w:before="0" w:after="0" w:line="240" w:lineRule="auto"/>
              <w:ind w:firstLine="0" w:left="0"/>
              <w:jc w:val="center"/>
            </w:pPr>
            <w:r>
              <w:rPr>
                <w:rFonts w:ascii="Times New Roman" w:hAnsi="Times New Roman"/>
                <w:sz w:val="20"/>
              </w:rPr>
              <w:t xml:space="preserve">0,23</w:t>
            </w:r>
          </w:p>
        </w:tc>
        <w:tc>
          <w:tcPr>
            <w:tcW w:w="796" w:type="dxa"/>
          </w:tcPr>
          <w:p>
            <w:pPr>
              <w:pStyle w:val="Compact"/>
              <w:spacing w:before="0" w:after="0" w:line="240" w:lineRule="auto"/>
              <w:ind w:firstLine="0" w:left="0"/>
              <w:jc w:val="center"/>
            </w:pPr>
            <w:r>
              <w:rPr>
                <w:rFonts w:ascii="Times New Roman" w:hAnsi="Times New Roman"/>
                <w:sz w:val="20"/>
              </w:rPr>
              <w:t xml:space="preserve">0,86</w:t>
            </w: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4. Kỳ thị liên quan đến nghề nghiệp</w:t>
            </w:r>
          </w:p>
        </w:tc>
        <w:tc>
          <w:tcPr>
            <w:tcW w:w="1123" w:type="dxa"/>
          </w:tcPr>
          <w:p>
            <w:pPr>
              <w:pStyle w:val="Compact"/>
              <w:spacing w:before="0" w:after="0" w:line="240" w:lineRule="auto"/>
              <w:ind w:firstLine="0" w:left="0"/>
              <w:jc w:val="center"/>
            </w:pPr>
            <w:r>
              <w:rPr>
                <w:rFonts w:ascii="Times New Roman" w:hAnsi="Times New Roman"/>
                <w:sz w:val="20"/>
              </w:rPr>
              <w:t xml:space="preserve">235</w:t>
            </w:r>
          </w:p>
        </w:tc>
        <w:tc>
          <w:tcPr>
            <w:tcW w:w="749" w:type="dxa"/>
          </w:tcPr>
          <w:p>
            <w:pPr>
              <w:pStyle w:val="Compact"/>
              <w:spacing w:before="0" w:after="0" w:line="240" w:lineRule="auto"/>
              <w:ind w:firstLine="0" w:left="0"/>
              <w:jc w:val="center"/>
            </w:pPr>
            <w:r>
              <w:rPr>
                <w:rFonts w:ascii="Times New Roman" w:hAnsi="Times New Roman"/>
                <w:sz w:val="20"/>
              </w:rPr>
              <w:t xml:space="preserve">0,17</w:t>
            </w:r>
          </w:p>
        </w:tc>
        <w:tc>
          <w:tcPr>
            <w:tcW w:w="749" w:type="dxa"/>
          </w:tcPr>
          <w:p>
            <w:pPr>
              <w:pStyle w:val="Compact"/>
              <w:spacing w:before="0" w:after="0" w:line="240" w:lineRule="auto"/>
              <w:ind w:firstLine="0" w:left="0"/>
              <w:jc w:val="center"/>
            </w:pPr>
            <w:r>
              <w:rPr>
                <w:rFonts w:ascii="Times New Roman" w:hAnsi="Times New Roman"/>
                <w:sz w:val="20"/>
              </w:rPr>
              <w:t xml:space="preserve">0,45</w:t>
            </w:r>
          </w:p>
        </w:tc>
        <w:tc>
          <w:tcPr>
            <w:tcW w:w="936" w:type="dxa"/>
          </w:tcPr>
          <w:p>
            <w:pPr>
              <w:pStyle w:val="Compact"/>
              <w:spacing w:before="0" w:after="0" w:line="240" w:lineRule="auto"/>
              <w:ind w:firstLine="0" w:left="0"/>
              <w:jc w:val="center"/>
            </w:pPr>
            <w:r>
              <w:rPr>
                <w:rFonts w:ascii="Times New Roman" w:hAnsi="Times New Roman"/>
                <w:sz w:val="20"/>
              </w:rPr>
              <w:t xml:space="preserve">0–3</w:t>
            </w:r>
          </w:p>
        </w:tc>
        <w:tc>
          <w:tcPr>
            <w:tcW w:w="796" w:type="dxa"/>
          </w:tcPr>
          <w:p>
            <w:pPr>
              <w:pStyle w:val="Compact"/>
              <w:spacing w:before="0" w:after="0" w:line="240" w:lineRule="auto"/>
              <w:ind w:firstLine="0" w:left="0"/>
              <w:jc w:val="center"/>
            </w:pPr>
            <w:r>
              <w:rPr>
                <w:rFonts w:ascii="Times New Roman" w:hAnsi="Times New Roman"/>
                <w:sz w:val="20"/>
              </w:rPr>
              <w:t xml:space="preserve">0,13</w:t>
            </w:r>
          </w:p>
        </w:tc>
        <w:tc>
          <w:tcPr>
            <w:tcW w:w="796" w:type="dxa"/>
          </w:tcPr>
          <w:p>
            <w:pPr>
              <w:pStyle w:val="Compact"/>
              <w:spacing w:before="0" w:after="0" w:line="240" w:lineRule="auto"/>
              <w:ind w:firstLine="0" w:left="0"/>
              <w:jc w:val="center"/>
            </w:pPr>
            <w:r>
              <w:rPr>
                <w:rFonts w:ascii="Times New Roman" w:hAnsi="Times New Roman"/>
                <w:sz w:val="20"/>
              </w:rPr>
              <w:t xml:space="preserve">0,71</w:t>
            </w:r>
          </w:p>
        </w:tc>
        <w:tc>
          <w:tcPr>
            <w:tcW w:w="796" w:type="dxa"/>
          </w:tcPr>
          <w:p>
            <w:pPr>
              <w:pStyle w:val="Compact"/>
              <w:spacing w:before="0" w:after="0" w:line="240" w:lineRule="auto"/>
              <w:ind w:firstLine="0" w:left="0"/>
              <w:jc w:val="center"/>
            </w:pPr>
            <w:r>
              <w:rPr>
                <w:rFonts w:ascii="Times New Roman" w:hAnsi="Times New Roman"/>
                <w:sz w:val="20"/>
              </w:rPr>
              <w:t xml:space="preserve">0,37</w:t>
            </w:r>
          </w:p>
        </w:tc>
        <w:tc>
          <w:tcPr>
            <w:tcW w:w="796" w:type="dxa"/>
          </w:tcPr>
          <w:p>
            <w:pPr>
              <w:pStyle w:val="Compact"/>
              <w:spacing w:before="0" w:after="0" w:line="240" w:lineRule="auto"/>
              <w:ind w:firstLine="0" w:left="0"/>
              <w:jc w:val="center"/>
            </w:pP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5. Kỳ thị về thể hiện giới</w:t>
            </w:r>
          </w:p>
        </w:tc>
        <w:tc>
          <w:tcPr>
            <w:tcW w:w="1123" w:type="dxa"/>
          </w:tcPr>
          <w:p>
            <w:pPr>
              <w:pStyle w:val="Compact"/>
              <w:spacing w:before="0" w:after="0" w:line="240" w:lineRule="auto"/>
              <w:ind w:firstLine="0" w:left="0"/>
              <w:jc w:val="center"/>
            </w:pPr>
            <w:r>
              <w:rPr>
                <w:rFonts w:ascii="Times New Roman" w:hAnsi="Times New Roman"/>
                <w:sz w:val="20"/>
              </w:rPr>
              <w:t xml:space="preserve">233</w:t>
            </w:r>
          </w:p>
        </w:tc>
        <w:tc>
          <w:tcPr>
            <w:tcW w:w="749" w:type="dxa"/>
          </w:tcPr>
          <w:p>
            <w:pPr>
              <w:pStyle w:val="Compact"/>
              <w:spacing w:before="0" w:after="0" w:line="240" w:lineRule="auto"/>
              <w:ind w:firstLine="0" w:left="0"/>
              <w:jc w:val="center"/>
            </w:pPr>
            <w:r>
              <w:rPr>
                <w:rFonts w:ascii="Times New Roman" w:hAnsi="Times New Roman"/>
                <w:sz w:val="20"/>
              </w:rPr>
              <w:t xml:space="preserve">0,23</w:t>
            </w:r>
          </w:p>
        </w:tc>
        <w:tc>
          <w:tcPr>
            <w:tcW w:w="749" w:type="dxa"/>
          </w:tcPr>
          <w:p>
            <w:pPr>
              <w:pStyle w:val="Compact"/>
              <w:spacing w:before="0" w:after="0" w:line="240" w:lineRule="auto"/>
              <w:ind w:firstLine="0" w:left="0"/>
              <w:jc w:val="center"/>
            </w:pPr>
            <w:r>
              <w:rPr>
                <w:rFonts w:ascii="Times New Roman" w:hAnsi="Times New Roman"/>
                <w:sz w:val="20"/>
              </w:rPr>
              <w:t xml:space="preserve">0,61</w:t>
            </w:r>
          </w:p>
        </w:tc>
        <w:tc>
          <w:tcPr>
            <w:tcW w:w="936" w:type="dxa"/>
          </w:tcPr>
          <w:p>
            <w:pPr>
              <w:pStyle w:val="Compact"/>
              <w:spacing w:before="0" w:after="0" w:line="240" w:lineRule="auto"/>
              <w:ind w:firstLine="0" w:left="0"/>
              <w:jc w:val="center"/>
            </w:pPr>
            <w:r>
              <w:rPr>
                <w:rFonts w:ascii="Times New Roman" w:hAnsi="Times New Roman"/>
                <w:sz w:val="20"/>
              </w:rPr>
              <w:t xml:space="preserve">0–4</w:t>
            </w:r>
          </w:p>
        </w:tc>
        <w:tc>
          <w:tcPr>
            <w:tcW w:w="796" w:type="dxa"/>
          </w:tcPr>
          <w:p>
            <w:pPr>
              <w:pStyle w:val="Compact"/>
              <w:spacing w:before="0" w:after="0" w:line="240" w:lineRule="auto"/>
              <w:ind w:firstLine="0" w:left="0"/>
              <w:jc w:val="center"/>
            </w:pPr>
            <w:r>
              <w:rPr>
                <w:rFonts w:ascii="Times New Roman" w:hAnsi="Times New Roman"/>
                <w:sz w:val="20"/>
              </w:rPr>
              <w:t xml:space="preserve">0,05</w:t>
            </w:r>
          </w:p>
        </w:tc>
        <w:tc>
          <w:tcPr>
            <w:tcW w:w="796" w:type="dxa"/>
          </w:tcPr>
          <w:p>
            <w:pPr>
              <w:pStyle w:val="Compact"/>
              <w:spacing w:before="0" w:after="0" w:line="240" w:lineRule="auto"/>
              <w:ind w:firstLine="0" w:left="0"/>
              <w:jc w:val="center"/>
            </w:pPr>
            <w:r>
              <w:rPr>
                <w:rFonts w:ascii="Times New Roman" w:hAnsi="Times New Roman"/>
                <w:sz w:val="20"/>
              </w:rPr>
              <w:t xml:space="preserve">0,61</w:t>
            </w:r>
          </w:p>
        </w:tc>
        <w:tc>
          <w:tcPr>
            <w:tcW w:w="796" w:type="dxa"/>
          </w:tcPr>
          <w:p>
            <w:pPr>
              <w:pStyle w:val="Compact"/>
              <w:spacing w:before="0" w:after="0" w:line="240" w:lineRule="auto"/>
              <w:ind w:firstLine="0" w:left="0"/>
              <w:jc w:val="center"/>
            </w:pPr>
            <w:r>
              <w:rPr>
                <w:rFonts w:ascii="Times New Roman" w:hAnsi="Times New Roman"/>
                <w:sz w:val="20"/>
              </w:rPr>
              <w:t xml:space="preserve">0,32</w:t>
            </w:r>
          </w:p>
        </w:tc>
        <w:tc>
          <w:tcPr>
            <w:tcW w:w="796" w:type="dxa"/>
          </w:tcPr>
          <w:p>
            <w:pPr>
              <w:pStyle w:val="Compact"/>
              <w:spacing w:before="0" w:after="0" w:line="240" w:lineRule="auto"/>
              <w:ind w:firstLine="0" w:left="0"/>
              <w:jc w:val="center"/>
            </w:pPr>
            <w:r>
              <w:rPr>
                <w:rFonts w:ascii="Times New Roman" w:hAnsi="Times New Roman"/>
                <w:sz w:val="20"/>
              </w:rPr>
              <w:t xml:space="preserve">0,32</w:t>
            </w:r>
          </w:p>
        </w:tc>
      </w:tr>
      <w:tr>
        <w:trPr>
          <w:cantSplit/>
        </w:trPr>
        <w:tc>
          <w:tcPr>
            <w:tcW w:w="2621" w:type="dxa"/>
          </w:tcPr>
          <w:p>
            <w:pPr>
              <w:pStyle w:val="Compact"/>
              <w:spacing w:before="0" w:after="0" w:line="240" w:lineRule="auto"/>
              <w:ind w:firstLine="0" w:left="0"/>
              <w:jc w:val="left"/>
            </w:pPr>
            <w:r>
              <w:rPr>
                <w:rFonts w:ascii="Times New Roman" w:hAnsi="Times New Roman"/>
                <w:b/>
                <w:bCs/>
                <w:sz w:val="20"/>
              </w:rPr>
              <w:t xml:space="preserve">Mức triệu chứng PHQ-4</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vertAlign w:val="superscript"/>
              </w:rPr>
              <w:t xml:space="preserve">d</w:t>
            </w:r>
          </w:p>
        </w:tc>
        <w:tc>
          <w:tcPr>
            <w:tcW w:w="1123" w:type="dxa"/>
          </w:tcPr>
          <w:p>
            <w:pPr>
              <w:pStyle w:val="Compact"/>
              <w:spacing w:before="0" w:after="0" w:line="240" w:lineRule="auto"/>
              <w:ind w:firstLine="0" w:left="0"/>
              <w:jc w:val="center"/>
            </w:pPr>
          </w:p>
        </w:tc>
        <w:tc>
          <w:tcPr>
            <w:tcW w:w="749" w:type="dxa"/>
          </w:tcPr>
          <w:p>
            <w:pPr>
              <w:pStyle w:val="Compact"/>
              <w:spacing w:before="0" w:after="0" w:line="240" w:lineRule="auto"/>
              <w:ind w:firstLine="0" w:left="0"/>
              <w:jc w:val="center"/>
            </w:pPr>
          </w:p>
        </w:tc>
        <w:tc>
          <w:tcPr>
            <w:tcW w:w="749" w:type="dxa"/>
          </w:tcPr>
          <w:p>
            <w:pPr>
              <w:pStyle w:val="Compact"/>
              <w:spacing w:before="0" w:after="0" w:line="240" w:lineRule="auto"/>
              <w:ind w:firstLine="0" w:left="0"/>
              <w:jc w:val="center"/>
            </w:pPr>
          </w:p>
        </w:tc>
        <w:tc>
          <w:tcPr>
            <w:tcW w:w="93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Bình thường (0–2)</w:t>
            </w:r>
          </w:p>
        </w:tc>
        <w:tc>
          <w:tcPr>
            <w:tcW w:w="1123" w:type="dxa"/>
          </w:tcPr>
          <w:p>
            <w:pPr>
              <w:pStyle w:val="Compact"/>
              <w:spacing w:before="0" w:after="0" w:line="240" w:lineRule="auto"/>
              <w:ind w:firstLine="0" w:left="0"/>
              <w:jc w:val="center"/>
            </w:pPr>
            <w:r>
              <w:rPr>
                <w:rFonts w:ascii="Times New Roman" w:hAnsi="Times New Roman"/>
                <w:sz w:val="20"/>
              </w:rPr>
              <w:t xml:space="preserve">108 (46,0)</w:t>
            </w:r>
          </w:p>
        </w:tc>
        <w:tc>
          <w:tcPr>
            <w:tcW w:w="749" w:type="dxa"/>
          </w:tcPr>
          <w:p>
            <w:pPr>
              <w:pStyle w:val="Compact"/>
              <w:spacing w:before="0" w:after="0" w:line="240" w:lineRule="auto"/>
              <w:ind w:firstLine="0" w:left="0"/>
              <w:jc w:val="center"/>
            </w:pPr>
          </w:p>
        </w:tc>
        <w:tc>
          <w:tcPr>
            <w:tcW w:w="749" w:type="dxa"/>
          </w:tcPr>
          <w:p>
            <w:pPr>
              <w:pStyle w:val="Compact"/>
              <w:spacing w:before="0" w:after="0" w:line="240" w:lineRule="auto"/>
              <w:ind w:firstLine="0" w:left="0"/>
              <w:jc w:val="center"/>
            </w:pPr>
          </w:p>
        </w:tc>
        <w:tc>
          <w:tcPr>
            <w:tcW w:w="93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Nhẹ (3–5)</w:t>
            </w:r>
          </w:p>
        </w:tc>
        <w:tc>
          <w:tcPr>
            <w:tcW w:w="1123" w:type="dxa"/>
          </w:tcPr>
          <w:p>
            <w:pPr>
              <w:pStyle w:val="Compact"/>
              <w:spacing w:before="0" w:after="0" w:line="240" w:lineRule="auto"/>
              <w:ind w:firstLine="0" w:left="0"/>
              <w:jc w:val="center"/>
            </w:pPr>
            <w:r>
              <w:rPr>
                <w:rFonts w:ascii="Times New Roman" w:hAnsi="Times New Roman"/>
                <w:sz w:val="20"/>
              </w:rPr>
              <w:t xml:space="preserve">73 (31,1)</w:t>
            </w:r>
          </w:p>
        </w:tc>
        <w:tc>
          <w:tcPr>
            <w:tcW w:w="749" w:type="dxa"/>
          </w:tcPr>
          <w:p>
            <w:pPr>
              <w:pStyle w:val="Compact"/>
              <w:spacing w:before="0" w:after="0" w:line="240" w:lineRule="auto"/>
              <w:ind w:firstLine="0" w:left="0"/>
              <w:jc w:val="center"/>
            </w:pPr>
          </w:p>
        </w:tc>
        <w:tc>
          <w:tcPr>
            <w:tcW w:w="749" w:type="dxa"/>
          </w:tcPr>
          <w:p>
            <w:pPr>
              <w:pStyle w:val="Compact"/>
              <w:spacing w:before="0" w:after="0" w:line="240" w:lineRule="auto"/>
              <w:ind w:firstLine="0" w:left="0"/>
              <w:jc w:val="center"/>
            </w:pPr>
          </w:p>
        </w:tc>
        <w:tc>
          <w:tcPr>
            <w:tcW w:w="93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Trung bình (6–8)</w:t>
            </w:r>
          </w:p>
        </w:tc>
        <w:tc>
          <w:tcPr>
            <w:tcW w:w="1123" w:type="dxa"/>
          </w:tcPr>
          <w:p>
            <w:pPr>
              <w:pStyle w:val="Compact"/>
              <w:spacing w:before="0" w:after="0" w:line="240" w:lineRule="auto"/>
              <w:ind w:firstLine="0" w:left="0"/>
              <w:jc w:val="center"/>
            </w:pPr>
            <w:r>
              <w:rPr>
                <w:rFonts w:ascii="Times New Roman" w:hAnsi="Times New Roman"/>
                <w:sz w:val="20"/>
              </w:rPr>
              <w:t xml:space="preserve">38 (16,2)</w:t>
            </w:r>
          </w:p>
        </w:tc>
        <w:tc>
          <w:tcPr>
            <w:tcW w:w="749" w:type="dxa"/>
          </w:tcPr>
          <w:p>
            <w:pPr>
              <w:pStyle w:val="Compact"/>
              <w:spacing w:before="0" w:after="0" w:line="240" w:lineRule="auto"/>
              <w:ind w:firstLine="0" w:left="0"/>
              <w:jc w:val="center"/>
            </w:pPr>
          </w:p>
        </w:tc>
        <w:tc>
          <w:tcPr>
            <w:tcW w:w="749" w:type="dxa"/>
          </w:tcPr>
          <w:p>
            <w:pPr>
              <w:pStyle w:val="Compact"/>
              <w:spacing w:before="0" w:after="0" w:line="240" w:lineRule="auto"/>
              <w:ind w:firstLine="0" w:left="0"/>
              <w:jc w:val="center"/>
            </w:pPr>
          </w:p>
        </w:tc>
        <w:tc>
          <w:tcPr>
            <w:tcW w:w="93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r>
      <w:tr>
        <w:trPr>
          <w:cantSplit/>
        </w:trPr>
        <w:tc>
          <w:tcPr>
            <w:tcW w:w="2621" w:type="dxa"/>
          </w:tcPr>
          <w:p>
            <w:pPr>
              <w:pStyle w:val="Compact"/>
              <w:spacing w:before="0" w:after="0" w:line="240" w:lineRule="auto"/>
              <w:ind w:firstLine="0" w:left="0"/>
              <w:jc w:val="left"/>
            </w:pPr>
            <w:r>
              <w:rPr>
                <w:rFonts w:ascii="Times New Roman" w:hAnsi="Times New Roman"/>
                <w:sz w:val="20"/>
              </w:rPr>
              <w:t xml:space="preserve">Nặng (9–12)</w:t>
            </w:r>
          </w:p>
        </w:tc>
        <w:tc>
          <w:tcPr>
            <w:tcW w:w="1123" w:type="dxa"/>
          </w:tcPr>
          <w:p>
            <w:pPr>
              <w:pStyle w:val="Compact"/>
              <w:spacing w:before="0" w:after="0" w:line="240" w:lineRule="auto"/>
              <w:ind w:firstLine="0" w:left="0"/>
              <w:jc w:val="center"/>
            </w:pPr>
            <w:r>
              <w:rPr>
                <w:rFonts w:ascii="Times New Roman" w:hAnsi="Times New Roman"/>
                <w:sz w:val="20"/>
              </w:rPr>
              <w:t xml:space="preserve">16 (6,8)</w:t>
            </w:r>
          </w:p>
        </w:tc>
        <w:tc>
          <w:tcPr>
            <w:tcW w:w="749" w:type="dxa"/>
          </w:tcPr>
          <w:p>
            <w:pPr>
              <w:pStyle w:val="Compact"/>
              <w:spacing w:before="0" w:after="0" w:line="240" w:lineRule="auto"/>
              <w:ind w:firstLine="0" w:left="0"/>
              <w:jc w:val="center"/>
            </w:pPr>
          </w:p>
        </w:tc>
        <w:tc>
          <w:tcPr>
            <w:tcW w:w="749" w:type="dxa"/>
          </w:tcPr>
          <w:p>
            <w:pPr>
              <w:pStyle w:val="Compact"/>
              <w:spacing w:before="0" w:after="0" w:line="240" w:lineRule="auto"/>
              <w:ind w:firstLine="0" w:left="0"/>
              <w:jc w:val="center"/>
            </w:pPr>
          </w:p>
        </w:tc>
        <w:tc>
          <w:tcPr>
            <w:tcW w:w="93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c>
          <w:tcPr>
            <w:tcW w:w="796" w:type="dxa"/>
          </w:tcPr>
          <w:p>
            <w:pPr>
              <w:pStyle w:val="Compact"/>
              <w:spacing w:before="0" w:after="0" w:line="240" w:lineRule="auto"/>
              <w:ind w:firstLine="0" w:left="0"/>
              <w:jc w:val="center"/>
            </w:pPr>
          </w:p>
        </w:tc>
      </w:tr>
    </w:tbl>
    <w:p>
      <w:pPr>
        <w:pStyle w:val="BodyText"/>
      </w:pPr>
      <w:r>
        <w:rPr>
          <w:vertAlign w:val="superscript"/>
        </w:rPr>
        <w:t xml:space="preserve">a</w:t>
      </w:r>
      <w:r>
        <w:t xml:space="preserve"> </w:t>
      </w:r>
      <w:r>
        <w:t xml:space="preserve">Khoảng giá trị quan sát được.</w:t>
      </w:r>
    </w:p>
    <w:p>
      <w:pPr>
        <w:pStyle w:val="BodyText"/>
      </w:pPr>
      <w:r>
        <w:rPr>
          <w:vertAlign w:val="superscript"/>
        </w:rPr>
        <w:t xml:space="preserve">b</w:t>
      </w:r>
      <w:r>
        <w:t xml:space="preserve"> </w:t>
      </w:r>
      <w:r>
        <w:t xml:space="preserve">Các cột 1–4 là hệ số tương quan Pearson từng cặp với các biến được đánh số ở cột đầu.</w:t>
      </w:r>
    </w:p>
    <w:p>
      <w:pPr>
        <w:pStyle w:val="BodyText"/>
      </w:pPr>
      <w:r>
        <w:rPr>
          <w:vertAlign w:val="superscript"/>
        </w:rPr>
        <w:t xml:space="preserve">c</w:t>
      </w:r>
      <w:r>
        <w:t xml:space="preserve"> </w:t>
      </w:r>
      <w:r>
        <w:t xml:space="preserve">Các dòng 2–5 là tần suất trung bình trên thang 0–4.</w:t>
      </w:r>
    </w:p>
    <w:p>
      <w:pPr>
        <w:pStyle w:val="BodyText"/>
      </w:pPr>
      <w:r>
        <w:rPr>
          <w:vertAlign w:val="superscript"/>
        </w:rPr>
        <w:t xml:space="preserve">d</w:t>
      </w:r>
      <w:r>
        <w:t xml:space="preserve"> </w:t>
      </w:r>
      <w:r>
        <w:t xml:space="preserve">Mức triệu chứng theo Kroenke và cộng sự (2009).</w:t>
      </w:r>
    </w:p>
    <w:bookmarkStart w:id="36" w:name="các-hình-thức-kỳ-thị-nơi-làm-việc-đã-gặp"/>
    <w:p>
      <w:pPr>
        <w:pStyle w:val="Heading2"/>
      </w:pPr>
      <w:r>
        <w:t xml:space="preserve">Các hình thức kỳ thị nơi làm việc đã gặp</w:t>
      </w:r>
    </w:p>
    <w:p>
      <w:pPr>
        <w:pStyle w:val="FirstParagraph"/>
      </w:pPr>
      <w:r>
        <w:t xml:space="preserve">Bảng 4 trình bày các hình thức kỳ thị mà người tham gia báo cáo. Hơn một nửa số người tham gia (57,0%) đã gặp ít nhất một trong tám tình huống tại nơi làm việc hiện tại trong 12 tháng qua, và 27,2% đã gặp ít nhất một tình huống ở mức thường xuyên hoặc rất thường xuyên. Phần lớn người có phơi nhiễm báo cáo một hoặc hai tình huống: 26,8% mẫu chính báo cáo một tình huống, 15,3% báo cáo hai, và 14,9% báo cáo từ ba trở lên. Chỉ số kỳ thị trung bình là 0,33 trên thang 0–4 và trung vị là 0,14, cho thấy phơi nhiễm tập trung ở tần suất thấp.</w:t>
      </w:r>
    </w:p>
    <w:p>
      <w:pPr>
        <w:pStyle w:val="BodyText"/>
      </w:pPr>
      <w:r>
        <w:t xml:space="preserve">Kỳ thị trong giao tiếp là hình thức phổ biến nhất: gần một nửa số người tham gia (47,2%) đã gặp ít nhất một tình huống trong giao tiếp và 22,1% gặp ở mức thường xuyên hoặc rất thường xuyên. Câu hỏi riêng tư không mong muốn là tình huống được báo cáo nhiều nhất (33,9% số người trả lời câu này), tiếp theo là lời đùa hoặc bình luận xúc phạm (26,8%) và bị tiết lộ hoặc đe dọa tiết lộ khi chưa đồng ý (15,5%). Kỳ thị liên quan đến nghề nghiệp (17,4%) và kỳ thị về thể hiện giới (18,0%) mỗi loại được báo cáo bởi chưa đến một phần năm số người tham gia. Trong các tình huống liên quan đến nghề nghiệp, bị giao việc bất lợi (11,7%) và bị đánh giá, trả lương hoặc xét thăng tiến không công bằng (9,8%) được báo cáo nhiều hơn bị loại khỏi đào tạo, vốn có dưới 10 người báo cáo. Áp lực phải tuân theo khuôn mẫu giới được 16,2% người tham gia báo cáo, và khó khăn khi dùng tên gọi, đại từ nhân xưng, trang phục hoặc nhà vệ sinh được 7,0% trong 186 người trả lời câu đó báo cáo. Ba hình thức chỉ trùng nhau ở mức vừa phải: tương quan giữa chỉ số thành phần giao tiếp và nghề nghiệp là 0,37, và mỗi chỉ số này tương quan 0,32 với kỳ thị về thể hiện giới (Bảng 3).</w:t>
      </w:r>
    </w:p>
    <w:p>
      <w:pPr>
        <w:pStyle w:val="BodyText"/>
      </w:pPr>
      <w:r>
        <w:rPr>
          <w:b/>
          <w:bCs/>
        </w:rPr>
        <w:t xml:space="preserve">Bảng 4</w:t>
      </w:r>
      <w:r>
        <w:t xml:space="preserve"> </w:t>
      </w:r>
      <w:r>
        <w:rPr>
          <w:i/>
          <w:iCs/>
        </w:rPr>
        <w:t xml:space="preserve">Các hình thức kỳ thị nơi làm việc đã gặp trong 12 tháng qua (mẫu chính, n = 235)</w:t>
      </w:r>
    </w:p>
    <w:tbl>
      <w:tblPr>
        <w:tblStyle w:val="Table"/>
        <w:tblW w:w="9359"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586"/>
        <w:gridCol w:w="842"/>
        <w:gridCol w:w="1404"/>
        <w:gridCol w:w="1404"/>
        <w:gridCol w:w="1123"/>
      </w:tblGrid>
      <w:tr>
        <w:trPr>
          <w:cantSplit/>
          <w:tblHeader/>
        </w:trPr>
        <w:tc>
          <w:tcPr>
            <w:tcW w:w="4586"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Hình thức kỳ thị</w:t>
            </w:r>
          </w:p>
        </w:tc>
        <w:tc>
          <w:tcPr>
            <w:tcW w:w="842"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r>
              <w:rPr>
                <w:rFonts w:ascii="Times New Roman" w:hAnsi="Times New Roman"/>
                <w:sz w:val="20"/>
                <w:vertAlign w:val="superscript"/>
              </w:rPr>
              <w:t xml:space="preserve">a</w:t>
            </w:r>
          </w:p>
        </w:tc>
        <w:tc>
          <w:tcPr>
            <w:tcW w:w="1404"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Ít nhất một lần,</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vertAlign w:val="superscript"/>
              </w:rPr>
              <w:t xml:space="preserve">b</w:t>
            </w:r>
          </w:p>
        </w:tc>
        <w:tc>
          <w:tcPr>
            <w:tcW w:w="1404"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Thường xuyên hoặc rất thường xuyên,</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vertAlign w:val="superscript"/>
              </w:rPr>
              <w:t xml:space="preserve">c</w:t>
            </w:r>
          </w:p>
        </w:tc>
        <w:tc>
          <w:tcPr>
            <w:tcW w:w="1123"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w:t>
            </w:r>
            <w:r>
              <w:rPr>
                <w:rFonts w:ascii="Times New Roman" w:hAnsi="Times New Roman"/>
                <w:sz w:val="20"/>
                <w:vertAlign w:val="superscript"/>
              </w:rPr>
              <w:t xml:space="preserve">d</w:t>
            </w:r>
          </w:p>
        </w:tc>
      </w:tr>
      <w:tr>
        <w:trPr>
          <w:cantSplit/>
        </w:trPr>
        <w:tc>
          <w:tcPr>
            <w:tcW w:w="4586" w:type="dxa"/>
          </w:tcPr>
          <w:p>
            <w:pPr>
              <w:pStyle w:val="Compact"/>
              <w:spacing w:before="0" w:after="0" w:line="240" w:lineRule="auto"/>
              <w:ind w:firstLine="0" w:left="0"/>
              <w:jc w:val="left"/>
            </w:pPr>
            <w:r>
              <w:rPr>
                <w:rFonts w:ascii="Times New Roman" w:hAnsi="Times New Roman"/>
                <w:b/>
                <w:bCs/>
                <w:sz w:val="20"/>
              </w:rPr>
              <w:t xml:space="preserve">Bất kỳ tình huống nào trong tám tình huống</w:t>
            </w:r>
          </w:p>
        </w:tc>
        <w:tc>
          <w:tcPr>
            <w:tcW w:w="842" w:type="dxa"/>
          </w:tcPr>
          <w:p>
            <w:pPr>
              <w:pStyle w:val="Compact"/>
              <w:spacing w:before="0" w:after="0" w:line="240" w:lineRule="auto"/>
              <w:ind w:firstLine="0" w:left="0"/>
              <w:jc w:val="center"/>
            </w:pPr>
            <w:r>
              <w:rPr>
                <w:rFonts w:ascii="Times New Roman" w:hAnsi="Times New Roman"/>
                <w:sz w:val="20"/>
              </w:rPr>
              <w:t xml:space="preserve">235</w:t>
            </w:r>
          </w:p>
        </w:tc>
        <w:tc>
          <w:tcPr>
            <w:tcW w:w="1404" w:type="dxa"/>
          </w:tcPr>
          <w:p>
            <w:pPr>
              <w:pStyle w:val="Compact"/>
              <w:spacing w:before="0" w:after="0" w:line="240" w:lineRule="auto"/>
              <w:ind w:firstLine="0" w:left="0"/>
              <w:jc w:val="center"/>
            </w:pPr>
            <w:r>
              <w:rPr>
                <w:rFonts w:ascii="Times New Roman" w:hAnsi="Times New Roman"/>
                <w:sz w:val="20"/>
              </w:rPr>
              <w:t xml:space="preserve">134 (57,0)</w:t>
            </w:r>
          </w:p>
        </w:tc>
        <w:tc>
          <w:tcPr>
            <w:tcW w:w="1404" w:type="dxa"/>
          </w:tcPr>
          <w:p>
            <w:pPr>
              <w:pStyle w:val="Compact"/>
              <w:spacing w:before="0" w:after="0" w:line="240" w:lineRule="auto"/>
              <w:ind w:firstLine="0" w:left="0"/>
              <w:jc w:val="center"/>
            </w:pPr>
            <w:r>
              <w:rPr>
                <w:rFonts w:ascii="Times New Roman" w:hAnsi="Times New Roman"/>
                <w:sz w:val="20"/>
              </w:rPr>
              <w:t xml:space="preserve">64 (27,2)</w:t>
            </w:r>
          </w:p>
        </w:tc>
        <w:tc>
          <w:tcPr>
            <w:tcW w:w="1123" w:type="dxa"/>
          </w:tcPr>
          <w:p>
            <w:pPr>
              <w:pStyle w:val="Compact"/>
              <w:spacing w:before="0" w:after="0" w:line="240" w:lineRule="auto"/>
              <w:ind w:firstLine="0" w:left="0"/>
              <w:jc w:val="center"/>
            </w:pPr>
            <w:r>
              <w:rPr>
                <w:rFonts w:ascii="Times New Roman" w:hAnsi="Times New Roman"/>
                <w:sz w:val="20"/>
              </w:rPr>
              <w:t xml:space="preserve">0,33 (0,47)</w:t>
            </w:r>
          </w:p>
        </w:tc>
      </w:tr>
      <w:tr>
        <w:trPr>
          <w:cantSplit/>
        </w:trPr>
        <w:tc>
          <w:tcPr>
            <w:tcW w:w="4586" w:type="dxa"/>
          </w:tcPr>
          <w:p>
            <w:pPr>
              <w:pStyle w:val="Compact"/>
              <w:spacing w:before="0" w:after="0" w:line="240" w:lineRule="auto"/>
              <w:ind w:firstLine="0" w:left="0"/>
              <w:jc w:val="left"/>
            </w:pPr>
            <w:r>
              <w:rPr>
                <w:rFonts w:ascii="Times New Roman" w:hAnsi="Times New Roman"/>
                <w:b/>
                <w:bCs/>
                <w:sz w:val="20"/>
              </w:rPr>
              <w:t xml:space="preserve">Trong giao tiếp (bất kỳ tình huống 1–3)</w:t>
            </w:r>
          </w:p>
        </w:tc>
        <w:tc>
          <w:tcPr>
            <w:tcW w:w="842" w:type="dxa"/>
          </w:tcPr>
          <w:p>
            <w:pPr>
              <w:pStyle w:val="Compact"/>
              <w:spacing w:before="0" w:after="0" w:line="240" w:lineRule="auto"/>
              <w:ind w:firstLine="0" w:left="0"/>
              <w:jc w:val="center"/>
            </w:pPr>
            <w:r>
              <w:rPr>
                <w:rFonts w:ascii="Times New Roman" w:hAnsi="Times New Roman"/>
                <w:sz w:val="20"/>
              </w:rPr>
              <w:t xml:space="preserve">235</w:t>
            </w:r>
          </w:p>
        </w:tc>
        <w:tc>
          <w:tcPr>
            <w:tcW w:w="1404" w:type="dxa"/>
          </w:tcPr>
          <w:p>
            <w:pPr>
              <w:pStyle w:val="Compact"/>
              <w:spacing w:before="0" w:after="0" w:line="240" w:lineRule="auto"/>
              <w:ind w:firstLine="0" w:left="0"/>
              <w:jc w:val="center"/>
            </w:pPr>
            <w:r>
              <w:rPr>
                <w:rFonts w:ascii="Times New Roman" w:hAnsi="Times New Roman"/>
                <w:sz w:val="20"/>
              </w:rPr>
              <w:t xml:space="preserve">111 (47,2)</w:t>
            </w:r>
          </w:p>
        </w:tc>
        <w:tc>
          <w:tcPr>
            <w:tcW w:w="1404" w:type="dxa"/>
          </w:tcPr>
          <w:p>
            <w:pPr>
              <w:pStyle w:val="Compact"/>
              <w:spacing w:before="0" w:after="0" w:line="240" w:lineRule="auto"/>
              <w:ind w:firstLine="0" w:left="0"/>
              <w:jc w:val="center"/>
            </w:pPr>
            <w:r>
              <w:rPr>
                <w:rFonts w:ascii="Times New Roman" w:hAnsi="Times New Roman"/>
                <w:sz w:val="20"/>
              </w:rPr>
              <w:t xml:space="preserve">52 (22,1)</w:t>
            </w:r>
          </w:p>
        </w:tc>
        <w:tc>
          <w:tcPr>
            <w:tcW w:w="1123" w:type="dxa"/>
          </w:tcPr>
          <w:p>
            <w:pPr>
              <w:pStyle w:val="Compact"/>
              <w:spacing w:before="0" w:after="0" w:line="240" w:lineRule="auto"/>
              <w:ind w:firstLine="0" w:left="0"/>
              <w:jc w:val="center"/>
            </w:pPr>
            <w:r>
              <w:rPr>
                <w:rFonts w:ascii="Times New Roman" w:hAnsi="Times New Roman"/>
                <w:sz w:val="20"/>
              </w:rPr>
              <w:t xml:space="preserve">0,53 (0,76)</w:t>
            </w: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1. Lời đùa hoặc bình luận xúc phạm</w:t>
            </w:r>
          </w:p>
        </w:tc>
        <w:tc>
          <w:tcPr>
            <w:tcW w:w="842" w:type="dxa"/>
          </w:tcPr>
          <w:p>
            <w:pPr>
              <w:pStyle w:val="Compact"/>
              <w:spacing w:before="0" w:after="0" w:line="240" w:lineRule="auto"/>
              <w:ind w:firstLine="0" w:left="0"/>
              <w:jc w:val="center"/>
            </w:pPr>
            <w:r>
              <w:rPr>
                <w:rFonts w:ascii="Times New Roman" w:hAnsi="Times New Roman"/>
                <w:sz w:val="20"/>
              </w:rPr>
              <w:t xml:space="preserve">231</w:t>
            </w:r>
          </w:p>
        </w:tc>
        <w:tc>
          <w:tcPr>
            <w:tcW w:w="1404" w:type="dxa"/>
          </w:tcPr>
          <w:p>
            <w:pPr>
              <w:pStyle w:val="Compact"/>
              <w:spacing w:before="0" w:after="0" w:line="240" w:lineRule="auto"/>
              <w:ind w:firstLine="0" w:left="0"/>
              <w:jc w:val="center"/>
            </w:pPr>
            <w:r>
              <w:rPr>
                <w:rFonts w:ascii="Times New Roman" w:hAnsi="Times New Roman"/>
                <w:sz w:val="20"/>
              </w:rPr>
              <w:t xml:space="preserve">62 (26,8)</w:t>
            </w:r>
          </w:p>
        </w:tc>
        <w:tc>
          <w:tcPr>
            <w:tcW w:w="1404" w:type="dxa"/>
          </w:tcPr>
          <w:p>
            <w:pPr>
              <w:pStyle w:val="Compact"/>
              <w:spacing w:before="0" w:after="0" w:line="240" w:lineRule="auto"/>
              <w:ind w:firstLine="0" w:left="0"/>
              <w:jc w:val="center"/>
            </w:pPr>
            <w:r>
              <w:rPr>
                <w:rFonts w:ascii="Times New Roman" w:hAnsi="Times New Roman"/>
                <w:sz w:val="20"/>
              </w:rPr>
              <w:t xml:space="preserve">17 (7,4)</w:t>
            </w:r>
          </w:p>
        </w:tc>
        <w:tc>
          <w:tcPr>
            <w:tcW w:w="1123" w:type="dxa"/>
          </w:tcPr>
          <w:p>
            <w:pPr>
              <w:pStyle w:val="Compact"/>
              <w:spacing w:before="0" w:after="0" w:line="240" w:lineRule="auto"/>
              <w:ind w:firstLine="0" w:left="0"/>
              <w:jc w:val="center"/>
            </w:pPr>
            <w:r>
              <w:rPr>
                <w:rFonts w:ascii="Times New Roman" w:hAnsi="Times New Roman"/>
                <w:sz w:val="20"/>
              </w:rPr>
              <w:t xml:space="preserve">0,55 (1,11)</w:t>
            </w: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2. Câu hỏi riêng tư không mong muốn</w:t>
            </w:r>
          </w:p>
        </w:tc>
        <w:tc>
          <w:tcPr>
            <w:tcW w:w="842" w:type="dxa"/>
          </w:tcPr>
          <w:p>
            <w:pPr>
              <w:pStyle w:val="Compact"/>
              <w:spacing w:before="0" w:after="0" w:line="240" w:lineRule="auto"/>
              <w:ind w:firstLine="0" w:left="0"/>
              <w:jc w:val="center"/>
            </w:pPr>
            <w:r>
              <w:rPr>
                <w:rFonts w:ascii="Times New Roman" w:hAnsi="Times New Roman"/>
                <w:sz w:val="20"/>
              </w:rPr>
              <w:t xml:space="preserve">227</w:t>
            </w:r>
          </w:p>
        </w:tc>
        <w:tc>
          <w:tcPr>
            <w:tcW w:w="1404" w:type="dxa"/>
          </w:tcPr>
          <w:p>
            <w:pPr>
              <w:pStyle w:val="Compact"/>
              <w:spacing w:before="0" w:after="0" w:line="240" w:lineRule="auto"/>
              <w:ind w:firstLine="0" w:left="0"/>
              <w:jc w:val="center"/>
            </w:pPr>
            <w:r>
              <w:rPr>
                <w:rFonts w:ascii="Times New Roman" w:hAnsi="Times New Roman"/>
                <w:sz w:val="20"/>
              </w:rPr>
              <w:t xml:space="preserve">77 (33,9)</w:t>
            </w:r>
          </w:p>
        </w:tc>
        <w:tc>
          <w:tcPr>
            <w:tcW w:w="1404" w:type="dxa"/>
          </w:tcPr>
          <w:p>
            <w:pPr>
              <w:pStyle w:val="Compact"/>
              <w:spacing w:before="0" w:after="0" w:line="240" w:lineRule="auto"/>
              <w:ind w:firstLine="0" w:left="0"/>
              <w:jc w:val="center"/>
            </w:pPr>
            <w:r>
              <w:rPr>
                <w:rFonts w:ascii="Times New Roman" w:hAnsi="Times New Roman"/>
                <w:sz w:val="20"/>
              </w:rPr>
              <w:t xml:space="preserve">31 (13,7)</w:t>
            </w:r>
          </w:p>
        </w:tc>
        <w:tc>
          <w:tcPr>
            <w:tcW w:w="1123" w:type="dxa"/>
          </w:tcPr>
          <w:p>
            <w:pPr>
              <w:pStyle w:val="Compact"/>
              <w:spacing w:before="0" w:after="0" w:line="240" w:lineRule="auto"/>
              <w:ind w:firstLine="0" w:left="0"/>
              <w:jc w:val="center"/>
            </w:pPr>
            <w:r>
              <w:rPr>
                <w:rFonts w:ascii="Times New Roman" w:hAnsi="Times New Roman"/>
                <w:sz w:val="20"/>
              </w:rPr>
              <w:t xml:space="preserve">0,71 (1,16)</w:t>
            </w: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3. Bị tiết lộ hoặc đe dọa tiết lộ khi chưa đồng ý</w:t>
            </w:r>
          </w:p>
        </w:tc>
        <w:tc>
          <w:tcPr>
            <w:tcW w:w="842" w:type="dxa"/>
          </w:tcPr>
          <w:p>
            <w:pPr>
              <w:pStyle w:val="Compact"/>
              <w:spacing w:before="0" w:after="0" w:line="240" w:lineRule="auto"/>
              <w:ind w:firstLine="0" w:left="0"/>
              <w:jc w:val="center"/>
            </w:pPr>
            <w:r>
              <w:rPr>
                <w:rFonts w:ascii="Times New Roman" w:hAnsi="Times New Roman"/>
                <w:sz w:val="20"/>
              </w:rPr>
              <w:t xml:space="preserve">220</w:t>
            </w:r>
          </w:p>
        </w:tc>
        <w:tc>
          <w:tcPr>
            <w:tcW w:w="1404" w:type="dxa"/>
          </w:tcPr>
          <w:p>
            <w:pPr>
              <w:pStyle w:val="Compact"/>
              <w:spacing w:before="0" w:after="0" w:line="240" w:lineRule="auto"/>
              <w:ind w:firstLine="0" w:left="0"/>
              <w:jc w:val="center"/>
            </w:pPr>
            <w:r>
              <w:rPr>
                <w:rFonts w:ascii="Times New Roman" w:hAnsi="Times New Roman"/>
                <w:sz w:val="20"/>
              </w:rPr>
              <w:t xml:space="preserve">34 (15,5)</w:t>
            </w:r>
          </w:p>
        </w:tc>
        <w:tc>
          <w:tcPr>
            <w:tcW w:w="1404" w:type="dxa"/>
          </w:tcPr>
          <w:p>
            <w:pPr>
              <w:pStyle w:val="Compact"/>
              <w:spacing w:before="0" w:after="0" w:line="240" w:lineRule="auto"/>
              <w:ind w:firstLine="0" w:left="0"/>
              <w:jc w:val="center"/>
            </w:pPr>
            <w:r>
              <w:rPr>
                <w:rFonts w:ascii="Times New Roman" w:hAnsi="Times New Roman"/>
                <w:sz w:val="20"/>
              </w:rPr>
              <w:t xml:space="preserve">13 (5,9)</w:t>
            </w:r>
          </w:p>
        </w:tc>
        <w:tc>
          <w:tcPr>
            <w:tcW w:w="1123" w:type="dxa"/>
          </w:tcPr>
          <w:p>
            <w:pPr>
              <w:pStyle w:val="Compact"/>
              <w:spacing w:before="0" w:after="0" w:line="240" w:lineRule="auto"/>
              <w:ind w:firstLine="0" w:left="0"/>
              <w:jc w:val="center"/>
            </w:pPr>
            <w:r>
              <w:rPr>
                <w:rFonts w:ascii="Times New Roman" w:hAnsi="Times New Roman"/>
                <w:sz w:val="20"/>
              </w:rPr>
              <w:t xml:space="preserve">0,34 (0,92)</w:t>
            </w:r>
          </w:p>
        </w:tc>
      </w:tr>
      <w:tr>
        <w:trPr>
          <w:cantSplit/>
        </w:trPr>
        <w:tc>
          <w:tcPr>
            <w:tcW w:w="4586" w:type="dxa"/>
          </w:tcPr>
          <w:p>
            <w:pPr>
              <w:pStyle w:val="Compact"/>
              <w:spacing w:before="0" w:after="0" w:line="240" w:lineRule="auto"/>
              <w:ind w:firstLine="0" w:left="0"/>
              <w:jc w:val="left"/>
            </w:pPr>
            <w:r>
              <w:rPr>
                <w:rFonts w:ascii="Times New Roman" w:hAnsi="Times New Roman"/>
                <w:b/>
                <w:bCs/>
                <w:sz w:val="20"/>
              </w:rPr>
              <w:t xml:space="preserve">Liên quan đến nghề nghiệp (bất kỳ tình huống 4–6)</w:t>
            </w:r>
          </w:p>
        </w:tc>
        <w:tc>
          <w:tcPr>
            <w:tcW w:w="842" w:type="dxa"/>
          </w:tcPr>
          <w:p>
            <w:pPr>
              <w:pStyle w:val="Compact"/>
              <w:spacing w:before="0" w:after="0" w:line="240" w:lineRule="auto"/>
              <w:ind w:firstLine="0" w:left="0"/>
              <w:jc w:val="center"/>
            </w:pPr>
            <w:r>
              <w:rPr>
                <w:rFonts w:ascii="Times New Roman" w:hAnsi="Times New Roman"/>
                <w:sz w:val="20"/>
              </w:rPr>
              <w:t xml:space="preserve">235</w:t>
            </w:r>
          </w:p>
        </w:tc>
        <w:tc>
          <w:tcPr>
            <w:tcW w:w="1404" w:type="dxa"/>
          </w:tcPr>
          <w:p>
            <w:pPr>
              <w:pStyle w:val="Compact"/>
              <w:spacing w:before="0" w:after="0" w:line="240" w:lineRule="auto"/>
              <w:ind w:firstLine="0" w:left="0"/>
              <w:jc w:val="center"/>
            </w:pPr>
            <w:r>
              <w:rPr>
                <w:rFonts w:ascii="Times New Roman" w:hAnsi="Times New Roman"/>
                <w:sz w:val="20"/>
              </w:rPr>
              <w:t xml:space="preserve">41 (17,4)</w:t>
            </w:r>
          </w:p>
        </w:tc>
        <w:tc>
          <w:tcPr>
            <w:tcW w:w="1404" w:type="dxa"/>
          </w:tcPr>
          <w:p>
            <w:pPr>
              <w:pStyle w:val="Compact"/>
              <w:spacing w:before="0" w:after="0" w:line="240" w:lineRule="auto"/>
              <w:ind w:firstLine="0" w:left="0"/>
              <w:jc w:val="center"/>
            </w:pPr>
            <w:r>
              <w:rPr>
                <w:rFonts w:ascii="Times New Roman" w:hAnsi="Times New Roman"/>
                <w:sz w:val="20"/>
              </w:rPr>
              <w:t xml:space="preserve">17 (7,2)</w:t>
            </w:r>
          </w:p>
        </w:tc>
        <w:tc>
          <w:tcPr>
            <w:tcW w:w="1123" w:type="dxa"/>
          </w:tcPr>
          <w:p>
            <w:pPr>
              <w:pStyle w:val="Compact"/>
              <w:spacing w:before="0" w:after="0" w:line="240" w:lineRule="auto"/>
              <w:ind w:firstLine="0" w:left="0"/>
              <w:jc w:val="center"/>
            </w:pPr>
            <w:r>
              <w:rPr>
                <w:rFonts w:ascii="Times New Roman" w:hAnsi="Times New Roman"/>
                <w:sz w:val="20"/>
              </w:rPr>
              <w:t xml:space="preserve">0,17 (0,45)</w:t>
            </w: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4. Bị loại khỏi đào tạo hoặc phát triển nghề nghiệp</w:t>
            </w:r>
          </w:p>
        </w:tc>
        <w:tc>
          <w:tcPr>
            <w:tcW w:w="842" w:type="dxa"/>
          </w:tcPr>
          <w:p>
            <w:pPr>
              <w:pStyle w:val="Compact"/>
              <w:spacing w:before="0" w:after="0" w:line="240" w:lineRule="auto"/>
              <w:ind w:firstLine="0" w:left="0"/>
              <w:jc w:val="center"/>
            </w:pPr>
            <w:r>
              <w:rPr>
                <w:rFonts w:ascii="Times New Roman" w:hAnsi="Times New Roman"/>
                <w:sz w:val="20"/>
              </w:rPr>
              <w:t xml:space="preserve">212</w:t>
            </w:r>
          </w:p>
        </w:tc>
        <w:tc>
          <w:tcPr>
            <w:tcW w:w="1404" w:type="dxa"/>
          </w:tcPr>
          <w:p>
            <w:pPr>
              <w:pStyle w:val="Compact"/>
              <w:spacing w:before="0" w:after="0" w:line="24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e</w:t>
            </w:r>
          </w:p>
        </w:tc>
        <w:tc>
          <w:tcPr>
            <w:tcW w:w="1404" w:type="dxa"/>
          </w:tcPr>
          <w:p>
            <w:pPr>
              <w:pStyle w:val="Compact"/>
              <w:spacing w:before="0" w:after="0" w:line="24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e</w:t>
            </w:r>
          </w:p>
        </w:tc>
        <w:tc>
          <w:tcPr>
            <w:tcW w:w="1123" w:type="dxa"/>
          </w:tcPr>
          <w:p>
            <w:pPr>
              <w:pStyle w:val="Compact"/>
              <w:spacing w:before="0" w:after="0" w:line="240" w:lineRule="auto"/>
              <w:ind w:firstLine="0" w:left="0"/>
              <w:jc w:val="center"/>
            </w:pPr>
            <w:r>
              <w:rPr>
                <w:rFonts w:ascii="Times New Roman" w:hAnsi="Times New Roman"/>
                <w:sz w:val="20"/>
              </w:rPr>
              <w:t xml:space="preserve">0,05 (0,41)</w:t>
            </w: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5. Đánh giá, trả lương hoặc thăng tiến không công bằng</w:t>
            </w:r>
          </w:p>
        </w:tc>
        <w:tc>
          <w:tcPr>
            <w:tcW w:w="842" w:type="dxa"/>
          </w:tcPr>
          <w:p>
            <w:pPr>
              <w:pStyle w:val="Compact"/>
              <w:spacing w:before="0" w:after="0" w:line="240" w:lineRule="auto"/>
              <w:ind w:firstLine="0" w:left="0"/>
              <w:jc w:val="center"/>
            </w:pPr>
            <w:r>
              <w:rPr>
                <w:rFonts w:ascii="Times New Roman" w:hAnsi="Times New Roman"/>
                <w:sz w:val="20"/>
              </w:rPr>
              <w:t xml:space="preserve">204</w:t>
            </w:r>
          </w:p>
        </w:tc>
        <w:tc>
          <w:tcPr>
            <w:tcW w:w="1404" w:type="dxa"/>
          </w:tcPr>
          <w:p>
            <w:pPr>
              <w:pStyle w:val="Compact"/>
              <w:spacing w:before="0" w:after="0" w:line="240" w:lineRule="auto"/>
              <w:ind w:firstLine="0" w:left="0"/>
              <w:jc w:val="center"/>
            </w:pPr>
            <w:r>
              <w:rPr>
                <w:rFonts w:ascii="Times New Roman" w:hAnsi="Times New Roman"/>
                <w:sz w:val="20"/>
              </w:rPr>
              <w:t xml:space="preserve">20 (9,8)</w:t>
            </w:r>
          </w:p>
        </w:tc>
        <w:tc>
          <w:tcPr>
            <w:tcW w:w="1404" w:type="dxa"/>
          </w:tcPr>
          <w:p>
            <w:pPr>
              <w:pStyle w:val="Compact"/>
              <w:spacing w:before="0" w:after="0" w:line="24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e</w:t>
            </w:r>
          </w:p>
        </w:tc>
        <w:tc>
          <w:tcPr>
            <w:tcW w:w="1123" w:type="dxa"/>
          </w:tcPr>
          <w:p>
            <w:pPr>
              <w:pStyle w:val="Compact"/>
              <w:spacing w:before="0" w:after="0" w:line="240" w:lineRule="auto"/>
              <w:ind w:firstLine="0" w:left="0"/>
              <w:jc w:val="center"/>
            </w:pPr>
            <w:r>
              <w:rPr>
                <w:rFonts w:ascii="Times New Roman" w:hAnsi="Times New Roman"/>
                <w:sz w:val="20"/>
              </w:rPr>
              <w:t xml:space="preserve">0,20 (0,70)</w:t>
            </w: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6. Bị giao việc bất lợi</w:t>
            </w:r>
          </w:p>
        </w:tc>
        <w:tc>
          <w:tcPr>
            <w:tcW w:w="842" w:type="dxa"/>
          </w:tcPr>
          <w:p>
            <w:pPr>
              <w:pStyle w:val="Compact"/>
              <w:spacing w:before="0" w:after="0" w:line="240" w:lineRule="auto"/>
              <w:ind w:firstLine="0" w:left="0"/>
              <w:jc w:val="center"/>
            </w:pPr>
            <w:r>
              <w:rPr>
                <w:rFonts w:ascii="Times New Roman" w:hAnsi="Times New Roman"/>
                <w:sz w:val="20"/>
              </w:rPr>
              <w:t xml:space="preserve">223</w:t>
            </w:r>
          </w:p>
        </w:tc>
        <w:tc>
          <w:tcPr>
            <w:tcW w:w="1404" w:type="dxa"/>
          </w:tcPr>
          <w:p>
            <w:pPr>
              <w:pStyle w:val="Compact"/>
              <w:spacing w:before="0" w:after="0" w:line="240" w:lineRule="auto"/>
              <w:ind w:firstLine="0" w:left="0"/>
              <w:jc w:val="center"/>
            </w:pPr>
            <w:r>
              <w:rPr>
                <w:rFonts w:ascii="Times New Roman" w:hAnsi="Times New Roman"/>
                <w:sz w:val="20"/>
              </w:rPr>
              <w:t xml:space="preserve">26 (11,7)</w:t>
            </w:r>
          </w:p>
        </w:tc>
        <w:tc>
          <w:tcPr>
            <w:tcW w:w="1404" w:type="dxa"/>
          </w:tcPr>
          <w:p>
            <w:pPr>
              <w:pStyle w:val="Compact"/>
              <w:spacing w:before="0" w:after="0" w:line="240" w:lineRule="auto"/>
              <w:ind w:firstLine="0" w:left="0"/>
              <w:jc w:val="center"/>
            </w:pPr>
            <w:r>
              <w:rPr>
                <w:rFonts w:ascii="Times New Roman" w:hAnsi="Times New Roman"/>
                <w:sz w:val="20"/>
              </w:rPr>
              <w:t xml:space="preserve">10 (4,5)</w:t>
            </w:r>
          </w:p>
        </w:tc>
        <w:tc>
          <w:tcPr>
            <w:tcW w:w="1123" w:type="dxa"/>
          </w:tcPr>
          <w:p>
            <w:pPr>
              <w:pStyle w:val="Compact"/>
              <w:spacing w:before="0" w:after="0" w:line="240" w:lineRule="auto"/>
              <w:ind w:firstLine="0" w:left="0"/>
              <w:jc w:val="center"/>
            </w:pPr>
            <w:r>
              <w:rPr>
                <w:rFonts w:ascii="Times New Roman" w:hAnsi="Times New Roman"/>
                <w:sz w:val="20"/>
              </w:rPr>
              <w:t xml:space="preserve">0,26 (0,80)</w:t>
            </w:r>
          </w:p>
        </w:tc>
      </w:tr>
      <w:tr>
        <w:trPr>
          <w:cantSplit/>
        </w:trPr>
        <w:tc>
          <w:tcPr>
            <w:tcW w:w="4586" w:type="dxa"/>
          </w:tcPr>
          <w:p>
            <w:pPr>
              <w:pStyle w:val="Compact"/>
              <w:spacing w:before="0" w:after="0" w:line="240" w:lineRule="auto"/>
              <w:ind w:firstLine="0" w:left="0"/>
              <w:jc w:val="left"/>
            </w:pPr>
            <w:r>
              <w:rPr>
                <w:rFonts w:ascii="Times New Roman" w:hAnsi="Times New Roman"/>
                <w:b/>
                <w:bCs/>
                <w:sz w:val="20"/>
              </w:rPr>
              <w:t xml:space="preserve">Thể hiện giới (bất kỳ tình huống 7–8)</w:t>
            </w:r>
          </w:p>
        </w:tc>
        <w:tc>
          <w:tcPr>
            <w:tcW w:w="842" w:type="dxa"/>
          </w:tcPr>
          <w:p>
            <w:pPr>
              <w:pStyle w:val="Compact"/>
              <w:spacing w:before="0" w:after="0" w:line="240" w:lineRule="auto"/>
              <w:ind w:firstLine="0" w:left="0"/>
              <w:jc w:val="center"/>
            </w:pPr>
            <w:r>
              <w:rPr>
                <w:rFonts w:ascii="Times New Roman" w:hAnsi="Times New Roman"/>
                <w:sz w:val="20"/>
              </w:rPr>
              <w:t xml:space="preserve">233</w:t>
            </w:r>
          </w:p>
        </w:tc>
        <w:tc>
          <w:tcPr>
            <w:tcW w:w="1404" w:type="dxa"/>
          </w:tcPr>
          <w:p>
            <w:pPr>
              <w:pStyle w:val="Compact"/>
              <w:spacing w:before="0" w:after="0" w:line="240" w:lineRule="auto"/>
              <w:ind w:firstLine="0" w:left="0"/>
              <w:jc w:val="center"/>
            </w:pPr>
            <w:r>
              <w:rPr>
                <w:rFonts w:ascii="Times New Roman" w:hAnsi="Times New Roman"/>
                <w:sz w:val="20"/>
              </w:rPr>
              <w:t xml:space="preserve">42 (18,0)</w:t>
            </w:r>
          </w:p>
        </w:tc>
        <w:tc>
          <w:tcPr>
            <w:tcW w:w="1404" w:type="dxa"/>
          </w:tcPr>
          <w:p>
            <w:pPr>
              <w:pStyle w:val="Compact"/>
              <w:spacing w:before="0" w:after="0" w:line="240" w:lineRule="auto"/>
              <w:ind w:firstLine="0" w:left="0"/>
              <w:jc w:val="center"/>
            </w:pPr>
            <w:r>
              <w:rPr>
                <w:rFonts w:ascii="Times New Roman" w:hAnsi="Times New Roman"/>
                <w:sz w:val="20"/>
              </w:rPr>
              <w:t xml:space="preserve">14 (6,0)</w:t>
            </w:r>
          </w:p>
        </w:tc>
        <w:tc>
          <w:tcPr>
            <w:tcW w:w="1123" w:type="dxa"/>
          </w:tcPr>
          <w:p>
            <w:pPr>
              <w:pStyle w:val="Compact"/>
              <w:spacing w:before="0" w:after="0" w:line="240" w:lineRule="auto"/>
              <w:ind w:firstLine="0" w:left="0"/>
              <w:jc w:val="center"/>
            </w:pPr>
            <w:r>
              <w:rPr>
                <w:rFonts w:ascii="Times New Roman" w:hAnsi="Times New Roman"/>
                <w:sz w:val="20"/>
              </w:rPr>
              <w:t xml:space="preserve">0,23 (0,61)</w:t>
            </w: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7. Áp lực tuân theo khuôn mẫu giới</w:t>
            </w:r>
          </w:p>
        </w:tc>
        <w:tc>
          <w:tcPr>
            <w:tcW w:w="842" w:type="dxa"/>
          </w:tcPr>
          <w:p>
            <w:pPr>
              <w:pStyle w:val="Compact"/>
              <w:spacing w:before="0" w:after="0" w:line="240" w:lineRule="auto"/>
              <w:ind w:firstLine="0" w:left="0"/>
              <w:jc w:val="center"/>
            </w:pPr>
            <w:r>
              <w:rPr>
                <w:rFonts w:ascii="Times New Roman" w:hAnsi="Times New Roman"/>
                <w:sz w:val="20"/>
              </w:rPr>
              <w:t xml:space="preserve">222</w:t>
            </w:r>
          </w:p>
        </w:tc>
        <w:tc>
          <w:tcPr>
            <w:tcW w:w="1404" w:type="dxa"/>
          </w:tcPr>
          <w:p>
            <w:pPr>
              <w:pStyle w:val="Compact"/>
              <w:spacing w:before="0" w:after="0" w:line="240" w:lineRule="auto"/>
              <w:ind w:firstLine="0" w:left="0"/>
              <w:jc w:val="center"/>
            </w:pPr>
            <w:r>
              <w:rPr>
                <w:rFonts w:ascii="Times New Roman" w:hAnsi="Times New Roman"/>
                <w:sz w:val="20"/>
              </w:rPr>
              <w:t xml:space="preserve">36 (16,2)</w:t>
            </w:r>
          </w:p>
        </w:tc>
        <w:tc>
          <w:tcPr>
            <w:tcW w:w="1404" w:type="dxa"/>
          </w:tcPr>
          <w:p>
            <w:pPr>
              <w:pStyle w:val="Compact"/>
              <w:spacing w:before="0" w:after="0" w:line="240" w:lineRule="auto"/>
              <w:ind w:firstLine="0" w:left="0"/>
              <w:jc w:val="center"/>
            </w:pPr>
            <w:r>
              <w:rPr>
                <w:rFonts w:ascii="Times New Roman" w:hAnsi="Times New Roman"/>
                <w:sz w:val="20"/>
              </w:rPr>
              <w:t xml:space="preserve">10 (4,5)</w:t>
            </w:r>
          </w:p>
        </w:tc>
        <w:tc>
          <w:tcPr>
            <w:tcW w:w="1123" w:type="dxa"/>
          </w:tcPr>
          <w:p>
            <w:pPr>
              <w:pStyle w:val="Compact"/>
              <w:spacing w:before="0" w:after="0" w:line="240" w:lineRule="auto"/>
              <w:ind w:firstLine="0" w:left="0"/>
              <w:jc w:val="center"/>
            </w:pPr>
            <w:r>
              <w:rPr>
                <w:rFonts w:ascii="Times New Roman" w:hAnsi="Times New Roman"/>
                <w:sz w:val="20"/>
              </w:rPr>
              <w:t xml:space="preserve">0,32 (0,80)</w:t>
            </w: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8. Khó khăn về tên gọi, đại từ, trang phục hoặc nhà vệ sinh</w:t>
            </w:r>
          </w:p>
        </w:tc>
        <w:tc>
          <w:tcPr>
            <w:tcW w:w="842" w:type="dxa"/>
          </w:tcPr>
          <w:p>
            <w:pPr>
              <w:pStyle w:val="Compact"/>
              <w:spacing w:before="0" w:after="0" w:line="240" w:lineRule="auto"/>
              <w:ind w:firstLine="0" w:left="0"/>
              <w:jc w:val="center"/>
            </w:pPr>
            <w:r>
              <w:rPr>
                <w:rFonts w:ascii="Times New Roman" w:hAnsi="Times New Roman"/>
                <w:sz w:val="20"/>
              </w:rPr>
              <w:t xml:space="preserve">186</w:t>
            </w:r>
          </w:p>
        </w:tc>
        <w:tc>
          <w:tcPr>
            <w:tcW w:w="1404" w:type="dxa"/>
          </w:tcPr>
          <w:p>
            <w:pPr>
              <w:pStyle w:val="Compact"/>
              <w:spacing w:before="0" w:after="0" w:line="240" w:lineRule="auto"/>
              <w:ind w:firstLine="0" w:left="0"/>
              <w:jc w:val="center"/>
            </w:pPr>
            <w:r>
              <w:rPr>
                <w:rFonts w:ascii="Times New Roman" w:hAnsi="Times New Roman"/>
                <w:sz w:val="20"/>
              </w:rPr>
              <w:t xml:space="preserve">13 (7,0)</w:t>
            </w:r>
          </w:p>
        </w:tc>
        <w:tc>
          <w:tcPr>
            <w:tcW w:w="1404" w:type="dxa"/>
          </w:tcPr>
          <w:p>
            <w:pPr>
              <w:pStyle w:val="Compact"/>
              <w:spacing w:before="0" w:after="0" w:line="240" w:lineRule="auto"/>
              <w:ind w:firstLine="0" w:left="0"/>
              <w:jc w:val="center"/>
            </w:pPr>
            <w:r>
              <w:rPr>
                <w:rFonts w:ascii="Times New Roman" w:hAnsi="Times New Roman"/>
                <w:sz w:val="20"/>
              </w:rPr>
              <w:t xml:space="preserve">&lt;10</w:t>
            </w:r>
            <w:r>
              <w:rPr>
                <w:rFonts w:ascii="Times New Roman" w:hAnsi="Times New Roman"/>
                <w:sz w:val="20"/>
                <w:vertAlign w:val="superscript"/>
              </w:rPr>
              <w:t xml:space="preserve">e</w:t>
            </w:r>
          </w:p>
        </w:tc>
        <w:tc>
          <w:tcPr>
            <w:tcW w:w="1123" w:type="dxa"/>
          </w:tcPr>
          <w:p>
            <w:pPr>
              <w:pStyle w:val="Compact"/>
              <w:spacing w:before="0" w:after="0" w:line="240" w:lineRule="auto"/>
              <w:ind w:firstLine="0" w:left="0"/>
              <w:jc w:val="center"/>
            </w:pPr>
            <w:r>
              <w:rPr>
                <w:rFonts w:ascii="Times New Roman" w:hAnsi="Times New Roman"/>
                <w:sz w:val="20"/>
              </w:rPr>
              <w:t xml:space="preserve">0,14 (0,60)</w:t>
            </w:r>
          </w:p>
        </w:tc>
      </w:tr>
      <w:tr>
        <w:trPr>
          <w:cantSplit/>
        </w:trPr>
        <w:tc>
          <w:tcPr>
            <w:tcW w:w="4586" w:type="dxa"/>
          </w:tcPr>
          <w:p>
            <w:pPr>
              <w:pStyle w:val="Compact"/>
              <w:spacing w:before="0" w:after="0" w:line="240" w:lineRule="auto"/>
              <w:ind w:firstLine="0" w:left="0"/>
              <w:jc w:val="left"/>
            </w:pPr>
            <w:r>
              <w:rPr>
                <w:rFonts w:ascii="Times New Roman" w:hAnsi="Times New Roman"/>
                <w:b/>
                <w:bCs/>
                <w:sz w:val="20"/>
              </w:rPr>
              <w:t xml:space="preserve">Số tình huống đã gặp</w:t>
            </w:r>
          </w:p>
        </w:tc>
        <w:tc>
          <w:tcPr>
            <w:tcW w:w="842" w:type="dxa"/>
          </w:tcPr>
          <w:p>
            <w:pPr>
              <w:pStyle w:val="Compact"/>
              <w:spacing w:before="0" w:after="0" w:line="240" w:lineRule="auto"/>
              <w:ind w:firstLine="0" w:left="0"/>
              <w:jc w:val="center"/>
            </w:pPr>
          </w:p>
        </w:tc>
        <w:tc>
          <w:tcPr>
            <w:tcW w:w="1404" w:type="dxa"/>
          </w:tcPr>
          <w:p>
            <w:pPr>
              <w:pStyle w:val="Compact"/>
              <w:spacing w:before="0" w:after="0" w:line="240" w:lineRule="auto"/>
              <w:ind w:firstLine="0" w:left="0"/>
              <w:jc w:val="center"/>
            </w:pPr>
          </w:p>
        </w:tc>
        <w:tc>
          <w:tcPr>
            <w:tcW w:w="1404"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Không có</w:t>
            </w:r>
          </w:p>
        </w:tc>
        <w:tc>
          <w:tcPr>
            <w:tcW w:w="842" w:type="dxa"/>
          </w:tcPr>
          <w:p>
            <w:pPr>
              <w:pStyle w:val="Compact"/>
              <w:spacing w:before="0" w:after="0" w:line="240" w:lineRule="auto"/>
              <w:ind w:firstLine="0" w:left="0"/>
              <w:jc w:val="center"/>
            </w:pPr>
          </w:p>
        </w:tc>
        <w:tc>
          <w:tcPr>
            <w:tcW w:w="1404" w:type="dxa"/>
          </w:tcPr>
          <w:p>
            <w:pPr>
              <w:pStyle w:val="Compact"/>
              <w:spacing w:before="0" w:after="0" w:line="240" w:lineRule="auto"/>
              <w:ind w:firstLine="0" w:left="0"/>
              <w:jc w:val="center"/>
            </w:pPr>
            <w:r>
              <w:rPr>
                <w:rFonts w:ascii="Times New Roman" w:hAnsi="Times New Roman"/>
                <w:sz w:val="20"/>
              </w:rPr>
              <w:t xml:space="preserve">101 (43,0)</w:t>
            </w:r>
          </w:p>
        </w:tc>
        <w:tc>
          <w:tcPr>
            <w:tcW w:w="1404"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Một</w:t>
            </w:r>
          </w:p>
        </w:tc>
        <w:tc>
          <w:tcPr>
            <w:tcW w:w="842" w:type="dxa"/>
          </w:tcPr>
          <w:p>
            <w:pPr>
              <w:pStyle w:val="Compact"/>
              <w:spacing w:before="0" w:after="0" w:line="240" w:lineRule="auto"/>
              <w:ind w:firstLine="0" w:left="0"/>
              <w:jc w:val="center"/>
            </w:pPr>
          </w:p>
        </w:tc>
        <w:tc>
          <w:tcPr>
            <w:tcW w:w="1404" w:type="dxa"/>
          </w:tcPr>
          <w:p>
            <w:pPr>
              <w:pStyle w:val="Compact"/>
              <w:spacing w:before="0" w:after="0" w:line="240" w:lineRule="auto"/>
              <w:ind w:firstLine="0" w:left="0"/>
              <w:jc w:val="center"/>
            </w:pPr>
            <w:r>
              <w:rPr>
                <w:rFonts w:ascii="Times New Roman" w:hAnsi="Times New Roman"/>
                <w:sz w:val="20"/>
              </w:rPr>
              <w:t xml:space="preserve">63 (26,8)</w:t>
            </w:r>
          </w:p>
        </w:tc>
        <w:tc>
          <w:tcPr>
            <w:tcW w:w="1404"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Hai</w:t>
            </w:r>
          </w:p>
        </w:tc>
        <w:tc>
          <w:tcPr>
            <w:tcW w:w="842" w:type="dxa"/>
          </w:tcPr>
          <w:p>
            <w:pPr>
              <w:pStyle w:val="Compact"/>
              <w:spacing w:before="0" w:after="0" w:line="240" w:lineRule="auto"/>
              <w:ind w:firstLine="0" w:left="0"/>
              <w:jc w:val="center"/>
            </w:pPr>
          </w:p>
        </w:tc>
        <w:tc>
          <w:tcPr>
            <w:tcW w:w="1404" w:type="dxa"/>
          </w:tcPr>
          <w:p>
            <w:pPr>
              <w:pStyle w:val="Compact"/>
              <w:spacing w:before="0" w:after="0" w:line="240" w:lineRule="auto"/>
              <w:ind w:firstLine="0" w:left="0"/>
              <w:jc w:val="center"/>
            </w:pPr>
            <w:r>
              <w:rPr>
                <w:rFonts w:ascii="Times New Roman" w:hAnsi="Times New Roman"/>
                <w:sz w:val="20"/>
              </w:rPr>
              <w:t xml:space="preserve">36 (15,3)</w:t>
            </w:r>
          </w:p>
        </w:tc>
        <w:tc>
          <w:tcPr>
            <w:tcW w:w="1404"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r>
        <w:trPr>
          <w:cantSplit/>
        </w:trPr>
        <w:tc>
          <w:tcPr>
            <w:tcW w:w="4586" w:type="dxa"/>
          </w:tcPr>
          <w:p>
            <w:pPr>
              <w:pStyle w:val="Compact"/>
              <w:spacing w:before="0" w:after="0" w:line="240" w:lineRule="auto"/>
              <w:ind w:firstLine="0" w:left="0"/>
              <w:jc w:val="left"/>
            </w:pPr>
            <w:r>
              <w:rPr>
                <w:rFonts w:ascii="Times New Roman" w:hAnsi="Times New Roman"/>
                <w:sz w:val="20"/>
              </w:rPr>
              <w:t xml:space="preserve">Ba trở lên</w:t>
            </w:r>
          </w:p>
        </w:tc>
        <w:tc>
          <w:tcPr>
            <w:tcW w:w="842" w:type="dxa"/>
          </w:tcPr>
          <w:p>
            <w:pPr>
              <w:pStyle w:val="Compact"/>
              <w:spacing w:before="0" w:after="0" w:line="240" w:lineRule="auto"/>
              <w:ind w:firstLine="0" w:left="0"/>
              <w:jc w:val="center"/>
            </w:pPr>
          </w:p>
        </w:tc>
        <w:tc>
          <w:tcPr>
            <w:tcW w:w="1404" w:type="dxa"/>
          </w:tcPr>
          <w:p>
            <w:pPr>
              <w:pStyle w:val="Compact"/>
              <w:spacing w:before="0" w:after="0" w:line="240" w:lineRule="auto"/>
              <w:ind w:firstLine="0" w:left="0"/>
              <w:jc w:val="center"/>
            </w:pPr>
            <w:r>
              <w:rPr>
                <w:rFonts w:ascii="Times New Roman" w:hAnsi="Times New Roman"/>
                <w:sz w:val="20"/>
              </w:rPr>
              <w:t xml:space="preserve">35 (14,9)</w:t>
            </w:r>
          </w:p>
        </w:tc>
        <w:tc>
          <w:tcPr>
            <w:tcW w:w="1404"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bl>
    <w:p>
      <w:pPr>
        <w:pStyle w:val="BodyText"/>
      </w:pPr>
      <w:r>
        <w:rPr>
          <w:vertAlign w:val="superscript"/>
        </w:rPr>
        <w:t xml:space="preserve">a</w:t>
      </w:r>
      <w:r>
        <w:t xml:space="preserve"> </w:t>
      </w:r>
      <w:r>
        <w:rPr>
          <w:i/>
          <w:iCs/>
        </w:rPr>
        <w:t xml:space="preserve">n</w:t>
      </w:r>
      <w:r>
        <w:t xml:space="preserve"> </w:t>
      </w:r>
      <w:r>
        <w:t xml:space="preserve">là số người trả lời tình huống đó, hoặc với một hình thức, số người có chỉ số thành phần hợp lệ; đây là mẫu số của các tỷ lệ phần trăm.</w:t>
      </w:r>
    </w:p>
    <w:p>
      <w:pPr>
        <w:pStyle w:val="BodyText"/>
      </w:pPr>
      <w:r>
        <w:rPr>
          <w:vertAlign w:val="superscript"/>
        </w:rPr>
        <w:t xml:space="preserve">b</w:t>
      </w:r>
      <w:r>
        <w:t xml:space="preserve"> </w:t>
      </w:r>
      <w:r>
        <w:t xml:space="preserve">Một hình thức được coi là đã gặp khi chỉ số thành phần của nó lớn hơn không.</w:t>
      </w:r>
    </w:p>
    <w:p>
      <w:pPr>
        <w:pStyle w:val="BodyText"/>
      </w:pPr>
      <w:r>
        <w:rPr>
          <w:vertAlign w:val="superscript"/>
        </w:rPr>
        <w:t xml:space="preserve">c</w:t>
      </w:r>
      <w:r>
        <w:t xml:space="preserve"> </w:t>
      </w:r>
      <w:r>
        <w:t xml:space="preserve">Một tình huống hay hình thức được coi là gặp thường xuyên khi ít nhất một tình huống của nó được chấm 3 (</w:t>
      </w:r>
      <w:r>
        <w:rPr>
          <w:i/>
          <w:iCs/>
        </w:rPr>
        <w:t xml:space="preserve">thường xuyên</w:t>
      </w:r>
      <w:r>
        <w:t xml:space="preserve">) hoặc 4 (</w:t>
      </w:r>
      <w:r>
        <w:rPr>
          <w:i/>
          <w:iCs/>
        </w:rPr>
        <w:t xml:space="preserve">rất thường xuyên</w:t>
      </w:r>
      <w:r>
        <w:t xml:space="preserve">).</w:t>
      </w:r>
    </w:p>
    <w:p>
      <w:pPr>
        <w:pStyle w:val="BodyText"/>
      </w:pPr>
      <w:r>
        <w:rPr>
          <w:vertAlign w:val="superscript"/>
        </w:rPr>
        <w:t xml:space="preserve">d</w:t>
      </w:r>
      <w:r>
        <w:t xml:space="preserve"> </w:t>
      </w:r>
      <w:r>
        <w:t xml:space="preserve">Giá trị là tần suất trung bình trên thang 0–4.</w:t>
      </w:r>
    </w:p>
    <w:p>
      <w:pPr>
        <w:pStyle w:val="BodyText"/>
      </w:pPr>
      <w:r>
        <w:rPr>
          <w:vertAlign w:val="superscript"/>
        </w:rPr>
        <w:t xml:space="preserve">e</w:t>
      </w:r>
      <w:r>
        <w:t xml:space="preserve"> </w:t>
      </w:r>
      <w:r>
        <w:t xml:space="preserve">Các ô có dưới 10 người, và các ô có thể suy ra số đếm đó, được ẩn.</w:t>
      </w:r>
    </w:p>
    <w:bookmarkEnd w:id="36"/>
    <w:bookmarkStart w:id="37" w:name="X8cfef2bf37699165d2f748a59708653f03a12bc"/>
    <w:p>
      <w:pPr>
        <w:pStyle w:val="Heading2"/>
      </w:pPr>
      <w:r>
        <w:t xml:space="preserve">Kỳ thị nơi làm việc và triệu chứng lo âu, trầm cảm</w:t>
      </w:r>
    </w:p>
    <w:p>
      <w:pPr>
        <w:pStyle w:val="FirstParagraph"/>
      </w:pPr>
      <w:r>
        <w:t xml:space="preserve">Bảng 5 so sánh điểm PHQ-4 giữa người đã gặp và chưa gặp từng hình thức, không điều chỉnh biến kiểm soát. Người đã gặp bất kỳ tình huống nào có điểm trung bình cao hơn 1,38 điểm so với người chưa gặp tình huống nào (</w:t>
      </w:r>
      <w:r>
        <w:rPr>
          <w:i/>
          <w:iCs/>
        </w:rPr>
        <w:t xml:space="preserve">M</w:t>
      </w:r>
      <w:r>
        <w:t xml:space="preserve"> </w:t>
      </w:r>
      <w:r>
        <w:t xml:space="preserve">= 4,02 so với 2,64), và 29,1% trong số họ, so với 14,9%, có điểm từ 6 trở lên. Chênh lệch chưa điều chỉnh là 1,64 điểm với kỳ thị trong giao tiếp, 0,93 điểm với kỳ thị liên quan đến nghề nghiệp và 0,67 điểm với kỳ thị về thể hiện giới. Trong các tình huống riêng lẻ, chênh lệch lớn nhất ở câu hỏi riêng tư không mong muốn (1,74 điểm), lời đùa hoặc bình luận xúc phạm (1,28 điểm) và bị giao việc bất lợi (1,02 điểm), tuy chênh lệch ở các hình thức ít gặp dựa trên ít người.</w:t>
      </w:r>
    </w:p>
    <w:p>
      <w:pPr>
        <w:pStyle w:val="BodyText"/>
      </w:pPr>
      <w:r>
        <w:rPr>
          <w:b/>
          <w:bCs/>
        </w:rPr>
        <w:t xml:space="preserve">Bảng 5</w:t>
      </w:r>
      <w:r>
        <w:t xml:space="preserve"> </w:t>
      </w:r>
      <w:r>
        <w:rPr>
          <w:i/>
          <w:iCs/>
        </w:rPr>
        <w:t xml:space="preserve">Điểm PHQ-4 theo việc đã gặp từng hình thức kỳ thị (mẫu chính, mô tả)</w:t>
      </w:r>
    </w:p>
    <w:tbl>
      <w:tblPr>
        <w:tblStyle w:val="Table"/>
        <w:tblW w:w="9362"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3370"/>
        <w:gridCol w:w="1030"/>
        <w:gridCol w:w="1030"/>
        <w:gridCol w:w="1030"/>
        <w:gridCol w:w="842"/>
        <w:gridCol w:w="1030"/>
        <w:gridCol w:w="1030"/>
      </w:tblGrid>
      <w:tr>
        <w:trPr>
          <w:cantSplit/>
          <w:tblHeader/>
        </w:trPr>
        <w:tc>
          <w:tcPr>
            <w:tcW w:w="3370"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Hình thức kỳ thị</w:t>
            </w:r>
          </w:p>
        </w:tc>
        <w:tc>
          <w:tcPr>
            <w:tcW w:w="1030"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r>
              <w:rPr>
                <w:rFonts w:ascii="Times New Roman" w:hAnsi="Times New Roman"/>
                <w:sz w:val="20"/>
              </w:rPr>
              <w:t xml:space="preserve">, có / không</w:t>
            </w:r>
            <w:r>
              <w:rPr>
                <w:rFonts w:ascii="Times New Roman" w:hAnsi="Times New Roman"/>
                <w:sz w:val="20"/>
                <w:vertAlign w:val="superscript"/>
              </w:rPr>
              <w:t xml:space="preserve">a</w:t>
            </w:r>
          </w:p>
        </w:tc>
        <w:tc>
          <w:tcPr>
            <w:tcW w:w="1030"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 có</w:t>
            </w:r>
          </w:p>
        </w:tc>
        <w:tc>
          <w:tcPr>
            <w:tcW w:w="1030"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 không</w:t>
            </w:r>
          </w:p>
        </w:tc>
        <w:tc>
          <w:tcPr>
            <w:tcW w:w="842"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Chênh lệch</w:t>
            </w:r>
            <w:r>
              <w:rPr>
                <w:rFonts w:ascii="Times New Roman" w:hAnsi="Times New Roman"/>
                <w:sz w:val="20"/>
                <w:vertAlign w:val="superscript"/>
              </w:rPr>
              <w:t xml:space="preserve">b</w:t>
            </w:r>
          </w:p>
        </w:tc>
        <w:tc>
          <w:tcPr>
            <w:tcW w:w="1030"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PHQ-4 ≥ 6 (%), có</w:t>
            </w:r>
          </w:p>
        </w:tc>
        <w:tc>
          <w:tcPr>
            <w:tcW w:w="1030"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PHQ-4 ≥ 6 (%), không</w:t>
            </w:r>
          </w:p>
        </w:tc>
      </w:tr>
      <w:tr>
        <w:trPr>
          <w:cantSplit/>
        </w:trPr>
        <w:tc>
          <w:tcPr>
            <w:tcW w:w="3370" w:type="dxa"/>
          </w:tcPr>
          <w:p>
            <w:pPr>
              <w:pStyle w:val="Compact"/>
              <w:spacing w:before="0" w:after="0" w:line="240" w:lineRule="auto"/>
              <w:ind w:firstLine="0" w:left="0"/>
              <w:jc w:val="left"/>
            </w:pPr>
            <w:r>
              <w:rPr>
                <w:rFonts w:ascii="Times New Roman" w:hAnsi="Times New Roman"/>
                <w:b/>
                <w:bCs/>
                <w:sz w:val="20"/>
              </w:rPr>
              <w:t xml:space="preserve">Bất kỳ tình huống nào trong tám tình huống</w:t>
            </w:r>
          </w:p>
        </w:tc>
        <w:tc>
          <w:tcPr>
            <w:tcW w:w="1030" w:type="dxa"/>
          </w:tcPr>
          <w:p>
            <w:pPr>
              <w:pStyle w:val="Compact"/>
              <w:spacing w:before="0" w:after="0" w:line="240" w:lineRule="auto"/>
              <w:ind w:firstLine="0" w:left="0"/>
              <w:jc w:val="center"/>
            </w:pPr>
            <w:r>
              <w:rPr>
                <w:rFonts w:ascii="Times New Roman" w:hAnsi="Times New Roman"/>
                <w:sz w:val="20"/>
              </w:rPr>
              <w:t xml:space="preserve">134 / 101</w:t>
            </w:r>
          </w:p>
        </w:tc>
        <w:tc>
          <w:tcPr>
            <w:tcW w:w="1030" w:type="dxa"/>
          </w:tcPr>
          <w:p>
            <w:pPr>
              <w:pStyle w:val="Compact"/>
              <w:spacing w:before="0" w:after="0" w:line="240" w:lineRule="auto"/>
              <w:ind w:firstLine="0" w:left="0"/>
              <w:jc w:val="center"/>
            </w:pPr>
            <w:r>
              <w:rPr>
                <w:rFonts w:ascii="Times New Roman" w:hAnsi="Times New Roman"/>
                <w:sz w:val="20"/>
              </w:rPr>
              <w:t xml:space="preserve">4,02 (3,35)</w:t>
            </w:r>
          </w:p>
        </w:tc>
        <w:tc>
          <w:tcPr>
            <w:tcW w:w="1030" w:type="dxa"/>
          </w:tcPr>
          <w:p>
            <w:pPr>
              <w:pStyle w:val="Compact"/>
              <w:spacing w:before="0" w:after="0" w:line="240" w:lineRule="auto"/>
              <w:ind w:firstLine="0" w:left="0"/>
              <w:jc w:val="center"/>
            </w:pPr>
            <w:r>
              <w:rPr>
                <w:rFonts w:ascii="Times New Roman" w:hAnsi="Times New Roman"/>
                <w:sz w:val="20"/>
              </w:rPr>
              <w:t xml:space="preserve">2,64 (2,94)</w:t>
            </w:r>
          </w:p>
        </w:tc>
        <w:tc>
          <w:tcPr>
            <w:tcW w:w="842" w:type="dxa"/>
          </w:tcPr>
          <w:p>
            <w:pPr>
              <w:pStyle w:val="Compact"/>
              <w:spacing w:before="0" w:after="0" w:line="240" w:lineRule="auto"/>
              <w:ind w:firstLine="0" w:left="0"/>
              <w:jc w:val="center"/>
            </w:pPr>
            <w:r>
              <w:rPr>
                <w:rFonts w:ascii="Times New Roman" w:hAnsi="Times New Roman"/>
                <w:sz w:val="20"/>
              </w:rPr>
              <w:t xml:space="preserve">1,38</w:t>
            </w:r>
          </w:p>
        </w:tc>
        <w:tc>
          <w:tcPr>
            <w:tcW w:w="1030" w:type="dxa"/>
          </w:tcPr>
          <w:p>
            <w:pPr>
              <w:pStyle w:val="Compact"/>
              <w:spacing w:before="0" w:after="0" w:line="240" w:lineRule="auto"/>
              <w:ind w:firstLine="0" w:left="0"/>
              <w:jc w:val="center"/>
            </w:pPr>
            <w:r>
              <w:rPr>
                <w:rFonts w:ascii="Times New Roman" w:hAnsi="Times New Roman"/>
                <w:sz w:val="20"/>
              </w:rPr>
              <w:t xml:space="preserve">29,1</w:t>
            </w:r>
          </w:p>
        </w:tc>
        <w:tc>
          <w:tcPr>
            <w:tcW w:w="1030" w:type="dxa"/>
          </w:tcPr>
          <w:p>
            <w:pPr>
              <w:pStyle w:val="Compact"/>
              <w:spacing w:before="0" w:after="0" w:line="240" w:lineRule="auto"/>
              <w:ind w:firstLine="0" w:left="0"/>
              <w:jc w:val="center"/>
            </w:pPr>
            <w:r>
              <w:rPr>
                <w:rFonts w:ascii="Times New Roman" w:hAnsi="Times New Roman"/>
                <w:sz w:val="20"/>
              </w:rPr>
              <w:t xml:space="preserve">14,9</w:t>
            </w:r>
          </w:p>
        </w:tc>
      </w:tr>
      <w:tr>
        <w:trPr>
          <w:cantSplit/>
        </w:trPr>
        <w:tc>
          <w:tcPr>
            <w:tcW w:w="3370" w:type="dxa"/>
          </w:tcPr>
          <w:p>
            <w:pPr>
              <w:pStyle w:val="Compact"/>
              <w:spacing w:before="0" w:after="0" w:line="240" w:lineRule="auto"/>
              <w:ind w:firstLine="0" w:left="0"/>
              <w:jc w:val="left"/>
            </w:pPr>
            <w:r>
              <w:rPr>
                <w:rFonts w:ascii="Times New Roman" w:hAnsi="Times New Roman"/>
                <w:b/>
                <w:bCs/>
                <w:sz w:val="20"/>
              </w:rPr>
              <w:t xml:space="preserve">Trong giao tiếp (bất kỳ tình huống 1–3)</w:t>
            </w:r>
          </w:p>
        </w:tc>
        <w:tc>
          <w:tcPr>
            <w:tcW w:w="1030" w:type="dxa"/>
          </w:tcPr>
          <w:p>
            <w:pPr>
              <w:pStyle w:val="Compact"/>
              <w:spacing w:before="0" w:after="0" w:line="240" w:lineRule="auto"/>
              <w:ind w:firstLine="0" w:left="0"/>
              <w:jc w:val="center"/>
            </w:pPr>
            <w:r>
              <w:rPr>
                <w:rFonts w:ascii="Times New Roman" w:hAnsi="Times New Roman"/>
                <w:sz w:val="20"/>
              </w:rPr>
              <w:t xml:space="preserve">111 / 124</w:t>
            </w:r>
          </w:p>
        </w:tc>
        <w:tc>
          <w:tcPr>
            <w:tcW w:w="1030" w:type="dxa"/>
          </w:tcPr>
          <w:p>
            <w:pPr>
              <w:pStyle w:val="Compact"/>
              <w:spacing w:before="0" w:after="0" w:line="240" w:lineRule="auto"/>
              <w:ind w:firstLine="0" w:left="0"/>
              <w:jc w:val="center"/>
            </w:pPr>
            <w:r>
              <w:rPr>
                <w:rFonts w:ascii="Times New Roman" w:hAnsi="Times New Roman"/>
                <w:sz w:val="20"/>
              </w:rPr>
              <w:t xml:space="preserve">4,30 (3,35)</w:t>
            </w:r>
          </w:p>
        </w:tc>
        <w:tc>
          <w:tcPr>
            <w:tcW w:w="1030" w:type="dxa"/>
          </w:tcPr>
          <w:p>
            <w:pPr>
              <w:pStyle w:val="Compact"/>
              <w:spacing w:before="0" w:after="0" w:line="240" w:lineRule="auto"/>
              <w:ind w:firstLine="0" w:left="0"/>
              <w:jc w:val="center"/>
            </w:pPr>
            <w:r>
              <w:rPr>
                <w:rFonts w:ascii="Times New Roman" w:hAnsi="Times New Roman"/>
                <w:sz w:val="20"/>
              </w:rPr>
              <w:t xml:space="preserve">2,65 (2,96)</w:t>
            </w:r>
          </w:p>
        </w:tc>
        <w:tc>
          <w:tcPr>
            <w:tcW w:w="842" w:type="dxa"/>
          </w:tcPr>
          <w:p>
            <w:pPr>
              <w:pStyle w:val="Compact"/>
              <w:spacing w:before="0" w:after="0" w:line="240" w:lineRule="auto"/>
              <w:ind w:firstLine="0" w:left="0"/>
              <w:jc w:val="center"/>
            </w:pPr>
            <w:r>
              <w:rPr>
                <w:rFonts w:ascii="Times New Roman" w:hAnsi="Times New Roman"/>
                <w:sz w:val="20"/>
              </w:rPr>
              <w:t xml:space="preserve">1,64</w:t>
            </w:r>
          </w:p>
        </w:tc>
        <w:tc>
          <w:tcPr>
            <w:tcW w:w="1030" w:type="dxa"/>
          </w:tcPr>
          <w:p>
            <w:pPr>
              <w:pStyle w:val="Compact"/>
              <w:spacing w:before="0" w:after="0" w:line="240" w:lineRule="auto"/>
              <w:ind w:firstLine="0" w:left="0"/>
              <w:jc w:val="center"/>
            </w:pPr>
            <w:r>
              <w:rPr>
                <w:rFonts w:ascii="Times New Roman" w:hAnsi="Times New Roman"/>
                <w:sz w:val="20"/>
              </w:rPr>
              <w:t xml:space="preserve">31,5</w:t>
            </w:r>
          </w:p>
        </w:tc>
        <w:tc>
          <w:tcPr>
            <w:tcW w:w="1030" w:type="dxa"/>
          </w:tcPr>
          <w:p>
            <w:pPr>
              <w:pStyle w:val="Compact"/>
              <w:spacing w:before="0" w:after="0" w:line="240" w:lineRule="auto"/>
              <w:ind w:firstLine="0" w:left="0"/>
              <w:jc w:val="center"/>
            </w:pPr>
            <w:r>
              <w:rPr>
                <w:rFonts w:ascii="Times New Roman" w:hAnsi="Times New Roman"/>
                <w:sz w:val="20"/>
              </w:rPr>
              <w:t xml:space="preserve">15,3</w:t>
            </w:r>
          </w:p>
        </w:tc>
      </w:tr>
      <w:tr>
        <w:trPr>
          <w:cantSplit/>
        </w:trPr>
        <w:tc>
          <w:tcPr>
            <w:tcW w:w="3370" w:type="dxa"/>
          </w:tcPr>
          <w:p>
            <w:pPr>
              <w:pStyle w:val="Compact"/>
              <w:spacing w:before="0" w:after="0" w:line="240" w:lineRule="auto"/>
              <w:ind w:firstLine="0" w:left="0"/>
              <w:jc w:val="left"/>
            </w:pPr>
            <w:r>
              <w:rPr>
                <w:rFonts w:ascii="Times New Roman" w:hAnsi="Times New Roman"/>
                <w:sz w:val="20"/>
              </w:rPr>
              <w:t xml:space="preserve">1. Lời đùa hoặc bình luận xúc phạm</w:t>
            </w:r>
          </w:p>
        </w:tc>
        <w:tc>
          <w:tcPr>
            <w:tcW w:w="1030" w:type="dxa"/>
          </w:tcPr>
          <w:p>
            <w:pPr>
              <w:pStyle w:val="Compact"/>
              <w:spacing w:before="0" w:after="0" w:line="240" w:lineRule="auto"/>
              <w:ind w:firstLine="0" w:left="0"/>
              <w:jc w:val="center"/>
            </w:pPr>
            <w:r>
              <w:rPr>
                <w:rFonts w:ascii="Times New Roman" w:hAnsi="Times New Roman"/>
                <w:sz w:val="20"/>
              </w:rPr>
              <w:t xml:space="preserve">62 / 169</w:t>
            </w:r>
          </w:p>
        </w:tc>
        <w:tc>
          <w:tcPr>
            <w:tcW w:w="1030" w:type="dxa"/>
          </w:tcPr>
          <w:p>
            <w:pPr>
              <w:pStyle w:val="Compact"/>
              <w:spacing w:before="0" w:after="0" w:line="240" w:lineRule="auto"/>
              <w:ind w:firstLine="0" w:left="0"/>
              <w:jc w:val="center"/>
            </w:pPr>
            <w:r>
              <w:rPr>
                <w:rFonts w:ascii="Times New Roman" w:hAnsi="Times New Roman"/>
                <w:sz w:val="20"/>
              </w:rPr>
              <w:t xml:space="preserve">4,40 (3,36)</w:t>
            </w:r>
          </w:p>
        </w:tc>
        <w:tc>
          <w:tcPr>
            <w:tcW w:w="1030" w:type="dxa"/>
          </w:tcPr>
          <w:p>
            <w:pPr>
              <w:pStyle w:val="Compact"/>
              <w:spacing w:before="0" w:after="0" w:line="240" w:lineRule="auto"/>
              <w:ind w:firstLine="0" w:left="0"/>
              <w:jc w:val="center"/>
            </w:pPr>
            <w:r>
              <w:rPr>
                <w:rFonts w:ascii="Times New Roman" w:hAnsi="Times New Roman"/>
                <w:sz w:val="20"/>
              </w:rPr>
              <w:t xml:space="preserve">3,12 (3,17)</w:t>
            </w:r>
          </w:p>
        </w:tc>
        <w:tc>
          <w:tcPr>
            <w:tcW w:w="842" w:type="dxa"/>
          </w:tcPr>
          <w:p>
            <w:pPr>
              <w:pStyle w:val="Compact"/>
              <w:spacing w:before="0" w:after="0" w:line="240" w:lineRule="auto"/>
              <w:ind w:firstLine="0" w:left="0"/>
              <w:jc w:val="center"/>
            </w:pPr>
            <w:r>
              <w:rPr>
                <w:rFonts w:ascii="Times New Roman" w:hAnsi="Times New Roman"/>
                <w:sz w:val="20"/>
              </w:rPr>
              <w:t xml:space="preserve">1,28</w:t>
            </w:r>
          </w:p>
        </w:tc>
        <w:tc>
          <w:tcPr>
            <w:tcW w:w="1030" w:type="dxa"/>
          </w:tcPr>
          <w:p>
            <w:pPr>
              <w:pStyle w:val="Compact"/>
              <w:spacing w:before="0" w:after="0" w:line="240" w:lineRule="auto"/>
              <w:ind w:firstLine="0" w:left="0"/>
              <w:jc w:val="center"/>
            </w:pPr>
            <w:r>
              <w:rPr>
                <w:rFonts w:ascii="Times New Roman" w:hAnsi="Times New Roman"/>
                <w:sz w:val="20"/>
              </w:rPr>
              <w:t xml:space="preserve">32,3</w:t>
            </w:r>
          </w:p>
        </w:tc>
        <w:tc>
          <w:tcPr>
            <w:tcW w:w="1030" w:type="dxa"/>
          </w:tcPr>
          <w:p>
            <w:pPr>
              <w:pStyle w:val="Compact"/>
              <w:spacing w:before="0" w:after="0" w:line="240" w:lineRule="auto"/>
              <w:ind w:firstLine="0" w:left="0"/>
              <w:jc w:val="center"/>
            </w:pPr>
            <w:r>
              <w:rPr>
                <w:rFonts w:ascii="Times New Roman" w:hAnsi="Times New Roman"/>
                <w:sz w:val="20"/>
              </w:rPr>
              <w:t xml:space="preserve">20,1</w:t>
            </w:r>
          </w:p>
        </w:tc>
      </w:tr>
      <w:tr>
        <w:trPr>
          <w:cantSplit/>
        </w:trPr>
        <w:tc>
          <w:tcPr>
            <w:tcW w:w="3370" w:type="dxa"/>
          </w:tcPr>
          <w:p>
            <w:pPr>
              <w:pStyle w:val="Compact"/>
              <w:spacing w:before="0" w:after="0" w:line="240" w:lineRule="auto"/>
              <w:ind w:firstLine="0" w:left="0"/>
              <w:jc w:val="left"/>
            </w:pPr>
            <w:r>
              <w:rPr>
                <w:rFonts w:ascii="Times New Roman" w:hAnsi="Times New Roman"/>
                <w:sz w:val="20"/>
              </w:rPr>
              <w:t xml:space="preserve">2. Câu hỏi riêng tư không mong muốn</w:t>
            </w:r>
          </w:p>
        </w:tc>
        <w:tc>
          <w:tcPr>
            <w:tcW w:w="1030" w:type="dxa"/>
          </w:tcPr>
          <w:p>
            <w:pPr>
              <w:pStyle w:val="Compact"/>
              <w:spacing w:before="0" w:after="0" w:line="240" w:lineRule="auto"/>
              <w:ind w:firstLine="0" w:left="0"/>
              <w:jc w:val="center"/>
            </w:pPr>
            <w:r>
              <w:rPr>
                <w:rFonts w:ascii="Times New Roman" w:hAnsi="Times New Roman"/>
                <w:sz w:val="20"/>
              </w:rPr>
              <w:t xml:space="preserve">77 / 150</w:t>
            </w:r>
          </w:p>
        </w:tc>
        <w:tc>
          <w:tcPr>
            <w:tcW w:w="1030" w:type="dxa"/>
          </w:tcPr>
          <w:p>
            <w:pPr>
              <w:pStyle w:val="Compact"/>
              <w:spacing w:before="0" w:after="0" w:line="240" w:lineRule="auto"/>
              <w:ind w:firstLine="0" w:left="0"/>
              <w:jc w:val="center"/>
            </w:pPr>
            <w:r>
              <w:rPr>
                <w:rFonts w:ascii="Times New Roman" w:hAnsi="Times New Roman"/>
                <w:sz w:val="20"/>
              </w:rPr>
              <w:t xml:space="preserve">4,62 (3,55)</w:t>
            </w:r>
          </w:p>
        </w:tc>
        <w:tc>
          <w:tcPr>
            <w:tcW w:w="1030" w:type="dxa"/>
          </w:tcPr>
          <w:p>
            <w:pPr>
              <w:pStyle w:val="Compact"/>
              <w:spacing w:before="0" w:after="0" w:line="240" w:lineRule="auto"/>
              <w:ind w:firstLine="0" w:left="0"/>
              <w:jc w:val="center"/>
            </w:pPr>
            <w:r>
              <w:rPr>
                <w:rFonts w:ascii="Times New Roman" w:hAnsi="Times New Roman"/>
                <w:sz w:val="20"/>
              </w:rPr>
              <w:t xml:space="preserve">2,89 (2,96)</w:t>
            </w:r>
          </w:p>
        </w:tc>
        <w:tc>
          <w:tcPr>
            <w:tcW w:w="842" w:type="dxa"/>
          </w:tcPr>
          <w:p>
            <w:pPr>
              <w:pStyle w:val="Compact"/>
              <w:spacing w:before="0" w:after="0" w:line="240" w:lineRule="auto"/>
              <w:ind w:firstLine="0" w:left="0"/>
              <w:jc w:val="center"/>
            </w:pPr>
            <w:r>
              <w:rPr>
                <w:rFonts w:ascii="Times New Roman" w:hAnsi="Times New Roman"/>
                <w:sz w:val="20"/>
              </w:rPr>
              <w:t xml:space="preserve">1,74</w:t>
            </w:r>
          </w:p>
        </w:tc>
        <w:tc>
          <w:tcPr>
            <w:tcW w:w="1030" w:type="dxa"/>
          </w:tcPr>
          <w:p>
            <w:pPr>
              <w:pStyle w:val="Compact"/>
              <w:spacing w:before="0" w:after="0" w:line="240" w:lineRule="auto"/>
              <w:ind w:firstLine="0" w:left="0"/>
              <w:jc w:val="center"/>
            </w:pPr>
            <w:r>
              <w:rPr>
                <w:rFonts w:ascii="Times New Roman" w:hAnsi="Times New Roman"/>
                <w:sz w:val="20"/>
              </w:rPr>
              <w:t xml:space="preserve">36,4</w:t>
            </w:r>
          </w:p>
        </w:tc>
        <w:tc>
          <w:tcPr>
            <w:tcW w:w="1030" w:type="dxa"/>
          </w:tcPr>
          <w:p>
            <w:pPr>
              <w:pStyle w:val="Compact"/>
              <w:spacing w:before="0" w:after="0" w:line="240" w:lineRule="auto"/>
              <w:ind w:firstLine="0" w:left="0"/>
              <w:jc w:val="center"/>
            </w:pPr>
            <w:r>
              <w:rPr>
                <w:rFonts w:ascii="Times New Roman" w:hAnsi="Times New Roman"/>
                <w:sz w:val="20"/>
              </w:rPr>
              <w:t xml:space="preserve">16,7</w:t>
            </w:r>
          </w:p>
        </w:tc>
      </w:tr>
      <w:tr>
        <w:trPr>
          <w:cantSplit/>
        </w:trPr>
        <w:tc>
          <w:tcPr>
            <w:tcW w:w="3370" w:type="dxa"/>
          </w:tcPr>
          <w:p>
            <w:pPr>
              <w:pStyle w:val="Compact"/>
              <w:spacing w:before="0" w:after="0" w:line="240" w:lineRule="auto"/>
              <w:ind w:firstLine="0" w:left="0"/>
              <w:jc w:val="left"/>
            </w:pPr>
            <w:r>
              <w:rPr>
                <w:rFonts w:ascii="Times New Roman" w:hAnsi="Times New Roman"/>
                <w:sz w:val="20"/>
              </w:rPr>
              <w:t xml:space="preserve">3. Bị tiết lộ hoặc đe dọa tiết lộ khi chưa đồng ý</w:t>
            </w:r>
          </w:p>
        </w:tc>
        <w:tc>
          <w:tcPr>
            <w:tcW w:w="1030" w:type="dxa"/>
          </w:tcPr>
          <w:p>
            <w:pPr>
              <w:pStyle w:val="Compact"/>
              <w:spacing w:before="0" w:after="0" w:line="240" w:lineRule="auto"/>
              <w:ind w:firstLine="0" w:left="0"/>
              <w:jc w:val="center"/>
            </w:pPr>
            <w:r>
              <w:rPr>
                <w:rFonts w:ascii="Times New Roman" w:hAnsi="Times New Roman"/>
                <w:sz w:val="20"/>
              </w:rPr>
              <w:t xml:space="preserve">34 / 186</w:t>
            </w:r>
          </w:p>
        </w:tc>
        <w:tc>
          <w:tcPr>
            <w:tcW w:w="1030" w:type="dxa"/>
          </w:tcPr>
          <w:p>
            <w:pPr>
              <w:pStyle w:val="Compact"/>
              <w:spacing w:before="0" w:after="0" w:line="240" w:lineRule="auto"/>
              <w:ind w:firstLine="0" w:left="0"/>
              <w:jc w:val="center"/>
            </w:pPr>
            <w:r>
              <w:rPr>
                <w:rFonts w:ascii="Times New Roman" w:hAnsi="Times New Roman"/>
                <w:sz w:val="20"/>
              </w:rPr>
              <w:t xml:space="preserve">3,85 (3,24)</w:t>
            </w:r>
          </w:p>
        </w:tc>
        <w:tc>
          <w:tcPr>
            <w:tcW w:w="1030" w:type="dxa"/>
          </w:tcPr>
          <w:p>
            <w:pPr>
              <w:pStyle w:val="Compact"/>
              <w:spacing w:before="0" w:after="0" w:line="240" w:lineRule="auto"/>
              <w:ind w:firstLine="0" w:left="0"/>
              <w:jc w:val="center"/>
            </w:pPr>
            <w:r>
              <w:rPr>
                <w:rFonts w:ascii="Times New Roman" w:hAnsi="Times New Roman"/>
                <w:sz w:val="20"/>
              </w:rPr>
              <w:t xml:space="preserve">3,28 (3,18)</w:t>
            </w:r>
          </w:p>
        </w:tc>
        <w:tc>
          <w:tcPr>
            <w:tcW w:w="842" w:type="dxa"/>
          </w:tcPr>
          <w:p>
            <w:pPr>
              <w:pStyle w:val="Compact"/>
              <w:spacing w:before="0" w:after="0" w:line="240" w:lineRule="auto"/>
              <w:ind w:firstLine="0" w:left="0"/>
              <w:jc w:val="center"/>
            </w:pPr>
            <w:r>
              <w:rPr>
                <w:rFonts w:ascii="Times New Roman" w:hAnsi="Times New Roman"/>
                <w:sz w:val="20"/>
              </w:rPr>
              <w:t xml:space="preserve">0,57</w:t>
            </w:r>
          </w:p>
        </w:tc>
        <w:tc>
          <w:tcPr>
            <w:tcW w:w="1030" w:type="dxa"/>
          </w:tcPr>
          <w:p>
            <w:pPr>
              <w:pStyle w:val="Compact"/>
              <w:spacing w:before="0" w:after="0" w:line="240" w:lineRule="auto"/>
              <w:ind w:firstLine="0" w:left="0"/>
              <w:jc w:val="center"/>
            </w:pPr>
            <w:r>
              <w:rPr>
                <w:rFonts w:ascii="Times New Roman" w:hAnsi="Times New Roman"/>
                <w:sz w:val="20"/>
              </w:rPr>
              <w:t xml:space="preserve">không báo cáo</w:t>
            </w:r>
            <w:r>
              <w:rPr>
                <w:rFonts w:ascii="Times New Roman" w:hAnsi="Times New Roman"/>
                <w:sz w:val="20"/>
                <w:vertAlign w:val="superscript"/>
              </w:rPr>
              <w:t xml:space="preserve">c</w:t>
            </w:r>
          </w:p>
        </w:tc>
        <w:tc>
          <w:tcPr>
            <w:tcW w:w="1030" w:type="dxa"/>
          </w:tcPr>
          <w:p>
            <w:pPr>
              <w:pStyle w:val="Compact"/>
              <w:spacing w:before="0" w:after="0" w:line="240" w:lineRule="auto"/>
              <w:ind w:firstLine="0" w:left="0"/>
              <w:jc w:val="center"/>
            </w:pPr>
            <w:r>
              <w:rPr>
                <w:rFonts w:ascii="Times New Roman" w:hAnsi="Times New Roman"/>
                <w:sz w:val="20"/>
              </w:rPr>
              <w:t xml:space="preserve">21,5</w:t>
            </w:r>
          </w:p>
        </w:tc>
      </w:tr>
      <w:tr>
        <w:trPr>
          <w:cantSplit/>
        </w:trPr>
        <w:tc>
          <w:tcPr>
            <w:tcW w:w="3370" w:type="dxa"/>
          </w:tcPr>
          <w:p>
            <w:pPr>
              <w:pStyle w:val="Compact"/>
              <w:spacing w:before="0" w:after="0" w:line="240" w:lineRule="auto"/>
              <w:ind w:firstLine="0" w:left="0"/>
              <w:jc w:val="left"/>
            </w:pPr>
            <w:r>
              <w:rPr>
                <w:rFonts w:ascii="Times New Roman" w:hAnsi="Times New Roman"/>
                <w:b/>
                <w:bCs/>
                <w:sz w:val="20"/>
              </w:rPr>
              <w:t xml:space="preserve">Liên quan đến nghề nghiệp (bất kỳ tình huống 4–6)</w:t>
            </w:r>
          </w:p>
        </w:tc>
        <w:tc>
          <w:tcPr>
            <w:tcW w:w="1030" w:type="dxa"/>
          </w:tcPr>
          <w:p>
            <w:pPr>
              <w:pStyle w:val="Compact"/>
              <w:spacing w:before="0" w:after="0" w:line="240" w:lineRule="auto"/>
              <w:ind w:firstLine="0" w:left="0"/>
              <w:jc w:val="center"/>
            </w:pPr>
            <w:r>
              <w:rPr>
                <w:rFonts w:ascii="Times New Roman" w:hAnsi="Times New Roman"/>
                <w:sz w:val="20"/>
              </w:rPr>
              <w:t xml:space="preserve">41 / 194</w:t>
            </w:r>
          </w:p>
        </w:tc>
        <w:tc>
          <w:tcPr>
            <w:tcW w:w="1030" w:type="dxa"/>
          </w:tcPr>
          <w:p>
            <w:pPr>
              <w:pStyle w:val="Compact"/>
              <w:spacing w:before="0" w:after="0" w:line="240" w:lineRule="auto"/>
              <w:ind w:firstLine="0" w:left="0"/>
              <w:jc w:val="center"/>
            </w:pPr>
            <w:r>
              <w:rPr>
                <w:rFonts w:ascii="Times New Roman" w:hAnsi="Times New Roman"/>
                <w:sz w:val="20"/>
              </w:rPr>
              <w:t xml:space="preserve">4,20 (3,63)</w:t>
            </w:r>
          </w:p>
        </w:tc>
        <w:tc>
          <w:tcPr>
            <w:tcW w:w="1030" w:type="dxa"/>
          </w:tcPr>
          <w:p>
            <w:pPr>
              <w:pStyle w:val="Compact"/>
              <w:spacing w:before="0" w:after="0" w:line="240" w:lineRule="auto"/>
              <w:ind w:firstLine="0" w:left="0"/>
              <w:jc w:val="center"/>
            </w:pPr>
            <w:r>
              <w:rPr>
                <w:rFonts w:ascii="Times New Roman" w:hAnsi="Times New Roman"/>
                <w:sz w:val="20"/>
              </w:rPr>
              <w:t xml:space="preserve">3,27 (3,15)</w:t>
            </w:r>
          </w:p>
        </w:tc>
        <w:tc>
          <w:tcPr>
            <w:tcW w:w="842" w:type="dxa"/>
          </w:tcPr>
          <w:p>
            <w:pPr>
              <w:pStyle w:val="Compact"/>
              <w:spacing w:before="0" w:after="0" w:line="240" w:lineRule="auto"/>
              <w:ind w:firstLine="0" w:left="0"/>
              <w:jc w:val="center"/>
            </w:pPr>
            <w:r>
              <w:rPr>
                <w:rFonts w:ascii="Times New Roman" w:hAnsi="Times New Roman"/>
                <w:sz w:val="20"/>
              </w:rPr>
              <w:t xml:space="preserve">0,93</w:t>
            </w:r>
          </w:p>
        </w:tc>
        <w:tc>
          <w:tcPr>
            <w:tcW w:w="1030" w:type="dxa"/>
          </w:tcPr>
          <w:p>
            <w:pPr>
              <w:pStyle w:val="Compact"/>
              <w:spacing w:before="0" w:after="0" w:line="240" w:lineRule="auto"/>
              <w:ind w:firstLine="0" w:left="0"/>
              <w:jc w:val="center"/>
            </w:pPr>
            <w:r>
              <w:rPr>
                <w:rFonts w:ascii="Times New Roman" w:hAnsi="Times New Roman"/>
                <w:sz w:val="20"/>
              </w:rPr>
              <w:t xml:space="preserve">34,1</w:t>
            </w:r>
          </w:p>
        </w:tc>
        <w:tc>
          <w:tcPr>
            <w:tcW w:w="1030" w:type="dxa"/>
          </w:tcPr>
          <w:p>
            <w:pPr>
              <w:pStyle w:val="Compact"/>
              <w:spacing w:before="0" w:after="0" w:line="240" w:lineRule="auto"/>
              <w:ind w:firstLine="0" w:left="0"/>
              <w:jc w:val="center"/>
            </w:pPr>
            <w:r>
              <w:rPr>
                <w:rFonts w:ascii="Times New Roman" w:hAnsi="Times New Roman"/>
                <w:sz w:val="20"/>
              </w:rPr>
              <w:t xml:space="preserve">20,6</w:t>
            </w:r>
          </w:p>
        </w:tc>
      </w:tr>
      <w:tr>
        <w:trPr>
          <w:cantSplit/>
        </w:trPr>
        <w:tc>
          <w:tcPr>
            <w:tcW w:w="3370" w:type="dxa"/>
          </w:tcPr>
          <w:p>
            <w:pPr>
              <w:pStyle w:val="Compact"/>
              <w:spacing w:before="0" w:after="0" w:line="240" w:lineRule="auto"/>
              <w:ind w:firstLine="0" w:left="0"/>
              <w:jc w:val="left"/>
            </w:pPr>
            <w:r>
              <w:rPr>
                <w:rFonts w:ascii="Times New Roman" w:hAnsi="Times New Roman"/>
                <w:sz w:val="20"/>
              </w:rPr>
              <w:t xml:space="preserve">4. Bị loại khỏi đào tạo hoặc phát triển nghề nghiệp</w:t>
            </w:r>
          </w:p>
        </w:tc>
        <w:tc>
          <w:tcPr>
            <w:tcW w:w="1030" w:type="dxa"/>
          </w:tcPr>
          <w:p>
            <w:pPr>
              <w:pStyle w:val="Compact"/>
              <w:spacing w:before="0" w:after="0" w:line="240" w:lineRule="auto"/>
              <w:ind w:firstLine="0" w:left="0"/>
              <w:jc w:val="center"/>
            </w:pPr>
            <w:r>
              <w:rPr>
                <w:rFonts w:ascii="Times New Roman" w:hAnsi="Times New Roman"/>
                <w:sz w:val="20"/>
              </w:rPr>
              <w:t xml:space="preserve">không báo cáo</w:t>
            </w:r>
            <w:r>
              <w:rPr>
                <w:rFonts w:ascii="Times New Roman" w:hAnsi="Times New Roman"/>
                <w:sz w:val="20"/>
                <w:vertAlign w:val="superscript"/>
              </w:rPr>
              <w:t xml:space="preserve">d</w:t>
            </w:r>
          </w:p>
        </w:tc>
        <w:tc>
          <w:tcPr>
            <w:tcW w:w="1030" w:type="dxa"/>
          </w:tcPr>
          <w:p>
            <w:pPr>
              <w:pStyle w:val="Compact"/>
              <w:spacing w:before="0" w:after="0" w:line="240" w:lineRule="auto"/>
              <w:ind w:firstLine="0" w:left="0"/>
              <w:jc w:val="center"/>
            </w:pPr>
          </w:p>
        </w:tc>
        <w:tc>
          <w:tcPr>
            <w:tcW w:w="1030" w:type="dxa"/>
          </w:tcPr>
          <w:p>
            <w:pPr>
              <w:pStyle w:val="Compact"/>
              <w:spacing w:before="0" w:after="0" w:line="240" w:lineRule="auto"/>
              <w:ind w:firstLine="0" w:left="0"/>
              <w:jc w:val="center"/>
            </w:pPr>
          </w:p>
        </w:tc>
        <w:tc>
          <w:tcPr>
            <w:tcW w:w="842" w:type="dxa"/>
          </w:tcPr>
          <w:p>
            <w:pPr>
              <w:pStyle w:val="Compact"/>
              <w:spacing w:before="0" w:after="0" w:line="240" w:lineRule="auto"/>
              <w:ind w:firstLine="0" w:left="0"/>
              <w:jc w:val="center"/>
            </w:pPr>
          </w:p>
        </w:tc>
        <w:tc>
          <w:tcPr>
            <w:tcW w:w="1030" w:type="dxa"/>
          </w:tcPr>
          <w:p>
            <w:pPr>
              <w:pStyle w:val="Compact"/>
              <w:spacing w:before="0" w:after="0" w:line="240" w:lineRule="auto"/>
              <w:ind w:firstLine="0" w:left="0"/>
              <w:jc w:val="center"/>
            </w:pPr>
          </w:p>
        </w:tc>
        <w:tc>
          <w:tcPr>
            <w:tcW w:w="1030" w:type="dxa"/>
          </w:tcPr>
          <w:p>
            <w:pPr>
              <w:pStyle w:val="Compact"/>
              <w:spacing w:before="0" w:after="0" w:line="240" w:lineRule="auto"/>
              <w:ind w:firstLine="0" w:left="0"/>
              <w:jc w:val="center"/>
            </w:pPr>
          </w:p>
        </w:tc>
      </w:tr>
      <w:tr>
        <w:trPr>
          <w:cantSplit/>
        </w:trPr>
        <w:tc>
          <w:tcPr>
            <w:tcW w:w="3370" w:type="dxa"/>
          </w:tcPr>
          <w:p>
            <w:pPr>
              <w:pStyle w:val="Compact"/>
              <w:spacing w:before="0" w:after="0" w:line="240" w:lineRule="auto"/>
              <w:ind w:firstLine="0" w:left="0"/>
              <w:jc w:val="left"/>
            </w:pPr>
            <w:r>
              <w:rPr>
                <w:rFonts w:ascii="Times New Roman" w:hAnsi="Times New Roman"/>
                <w:sz w:val="20"/>
              </w:rPr>
              <w:t xml:space="preserve">5. Đánh giá, trả lương hoặc thăng tiến không công bằng</w:t>
            </w:r>
          </w:p>
        </w:tc>
        <w:tc>
          <w:tcPr>
            <w:tcW w:w="1030" w:type="dxa"/>
          </w:tcPr>
          <w:p>
            <w:pPr>
              <w:pStyle w:val="Compact"/>
              <w:spacing w:before="0" w:after="0" w:line="240" w:lineRule="auto"/>
              <w:ind w:firstLine="0" w:left="0"/>
              <w:jc w:val="center"/>
            </w:pPr>
            <w:r>
              <w:rPr>
                <w:rFonts w:ascii="Times New Roman" w:hAnsi="Times New Roman"/>
                <w:sz w:val="20"/>
              </w:rPr>
              <w:t xml:space="preserve">20 / 184</w:t>
            </w:r>
          </w:p>
        </w:tc>
        <w:tc>
          <w:tcPr>
            <w:tcW w:w="1030" w:type="dxa"/>
          </w:tcPr>
          <w:p>
            <w:pPr>
              <w:pStyle w:val="Compact"/>
              <w:spacing w:before="0" w:after="0" w:line="240" w:lineRule="auto"/>
              <w:ind w:firstLine="0" w:left="0"/>
              <w:jc w:val="center"/>
            </w:pPr>
            <w:r>
              <w:rPr>
                <w:rFonts w:ascii="Times New Roman" w:hAnsi="Times New Roman"/>
                <w:sz w:val="20"/>
              </w:rPr>
              <w:t xml:space="preserve">4,10 (3,46)</w:t>
            </w:r>
          </w:p>
        </w:tc>
        <w:tc>
          <w:tcPr>
            <w:tcW w:w="1030" w:type="dxa"/>
          </w:tcPr>
          <w:p>
            <w:pPr>
              <w:pStyle w:val="Compact"/>
              <w:spacing w:before="0" w:after="0" w:line="240" w:lineRule="auto"/>
              <w:ind w:firstLine="0" w:left="0"/>
              <w:jc w:val="center"/>
            </w:pPr>
            <w:r>
              <w:rPr>
                <w:rFonts w:ascii="Times New Roman" w:hAnsi="Times New Roman"/>
                <w:sz w:val="20"/>
              </w:rPr>
              <w:t xml:space="preserve">3,39 (3,18)</w:t>
            </w:r>
          </w:p>
        </w:tc>
        <w:tc>
          <w:tcPr>
            <w:tcW w:w="842" w:type="dxa"/>
          </w:tcPr>
          <w:p>
            <w:pPr>
              <w:pStyle w:val="Compact"/>
              <w:spacing w:before="0" w:after="0" w:line="240" w:lineRule="auto"/>
              <w:ind w:firstLine="0" w:left="0"/>
              <w:jc w:val="center"/>
            </w:pPr>
            <w:r>
              <w:rPr>
                <w:rFonts w:ascii="Times New Roman" w:hAnsi="Times New Roman"/>
                <w:sz w:val="20"/>
              </w:rPr>
              <w:t xml:space="preserve">0,71</w:t>
            </w:r>
          </w:p>
        </w:tc>
        <w:tc>
          <w:tcPr>
            <w:tcW w:w="1030" w:type="dxa"/>
          </w:tcPr>
          <w:p>
            <w:pPr>
              <w:pStyle w:val="Compact"/>
              <w:spacing w:before="0" w:after="0" w:line="240" w:lineRule="auto"/>
              <w:ind w:firstLine="0" w:left="0"/>
              <w:jc w:val="center"/>
            </w:pPr>
            <w:r>
              <w:rPr>
                <w:rFonts w:ascii="Times New Roman" w:hAnsi="Times New Roman"/>
                <w:sz w:val="20"/>
              </w:rPr>
              <w:t xml:space="preserve">không báo cáo</w:t>
            </w:r>
            <w:r>
              <w:rPr>
                <w:rFonts w:ascii="Times New Roman" w:hAnsi="Times New Roman"/>
                <w:sz w:val="20"/>
                <w:vertAlign w:val="superscript"/>
              </w:rPr>
              <w:t xml:space="preserve">c</w:t>
            </w:r>
          </w:p>
        </w:tc>
        <w:tc>
          <w:tcPr>
            <w:tcW w:w="1030" w:type="dxa"/>
          </w:tcPr>
          <w:p>
            <w:pPr>
              <w:pStyle w:val="Compact"/>
              <w:spacing w:before="0" w:after="0" w:line="240" w:lineRule="auto"/>
              <w:ind w:firstLine="0" w:left="0"/>
              <w:jc w:val="center"/>
            </w:pPr>
            <w:r>
              <w:rPr>
                <w:rFonts w:ascii="Times New Roman" w:hAnsi="Times New Roman"/>
                <w:sz w:val="20"/>
              </w:rPr>
              <w:t xml:space="preserve">22,8</w:t>
            </w:r>
          </w:p>
        </w:tc>
      </w:tr>
      <w:tr>
        <w:trPr>
          <w:cantSplit/>
        </w:trPr>
        <w:tc>
          <w:tcPr>
            <w:tcW w:w="3370" w:type="dxa"/>
          </w:tcPr>
          <w:p>
            <w:pPr>
              <w:pStyle w:val="Compact"/>
              <w:spacing w:before="0" w:after="0" w:line="240" w:lineRule="auto"/>
              <w:ind w:firstLine="0" w:left="0"/>
              <w:jc w:val="left"/>
            </w:pPr>
            <w:r>
              <w:rPr>
                <w:rFonts w:ascii="Times New Roman" w:hAnsi="Times New Roman"/>
                <w:sz w:val="20"/>
              </w:rPr>
              <w:t xml:space="preserve">6. Bị giao việc bất lợi</w:t>
            </w:r>
          </w:p>
        </w:tc>
        <w:tc>
          <w:tcPr>
            <w:tcW w:w="1030" w:type="dxa"/>
          </w:tcPr>
          <w:p>
            <w:pPr>
              <w:pStyle w:val="Compact"/>
              <w:spacing w:before="0" w:after="0" w:line="240" w:lineRule="auto"/>
              <w:ind w:firstLine="0" w:left="0"/>
              <w:jc w:val="center"/>
            </w:pPr>
            <w:r>
              <w:rPr>
                <w:rFonts w:ascii="Times New Roman" w:hAnsi="Times New Roman"/>
                <w:sz w:val="20"/>
              </w:rPr>
              <w:t xml:space="preserve">26 / 197</w:t>
            </w:r>
          </w:p>
        </w:tc>
        <w:tc>
          <w:tcPr>
            <w:tcW w:w="1030" w:type="dxa"/>
          </w:tcPr>
          <w:p>
            <w:pPr>
              <w:pStyle w:val="Compact"/>
              <w:spacing w:before="0" w:after="0" w:line="240" w:lineRule="auto"/>
              <w:ind w:firstLine="0" w:left="0"/>
              <w:jc w:val="center"/>
            </w:pPr>
            <w:r>
              <w:rPr>
                <w:rFonts w:ascii="Times New Roman" w:hAnsi="Times New Roman"/>
                <w:sz w:val="20"/>
              </w:rPr>
              <w:t xml:space="preserve">4,38 (3,95)</w:t>
            </w:r>
          </w:p>
        </w:tc>
        <w:tc>
          <w:tcPr>
            <w:tcW w:w="1030" w:type="dxa"/>
          </w:tcPr>
          <w:p>
            <w:pPr>
              <w:pStyle w:val="Compact"/>
              <w:spacing w:before="0" w:after="0" w:line="240" w:lineRule="auto"/>
              <w:ind w:firstLine="0" w:left="0"/>
              <w:jc w:val="center"/>
            </w:pPr>
            <w:r>
              <w:rPr>
                <w:rFonts w:ascii="Times New Roman" w:hAnsi="Times New Roman"/>
                <w:sz w:val="20"/>
              </w:rPr>
              <w:t xml:space="preserve">3,37 (3,17)</w:t>
            </w:r>
          </w:p>
        </w:tc>
        <w:tc>
          <w:tcPr>
            <w:tcW w:w="842" w:type="dxa"/>
          </w:tcPr>
          <w:p>
            <w:pPr>
              <w:pStyle w:val="Compact"/>
              <w:spacing w:before="0" w:after="0" w:line="240" w:lineRule="auto"/>
              <w:ind w:firstLine="0" w:left="0"/>
              <w:jc w:val="center"/>
            </w:pPr>
            <w:r>
              <w:rPr>
                <w:rFonts w:ascii="Times New Roman" w:hAnsi="Times New Roman"/>
                <w:sz w:val="20"/>
              </w:rPr>
              <w:t xml:space="preserve">1,02</w:t>
            </w:r>
          </w:p>
        </w:tc>
        <w:tc>
          <w:tcPr>
            <w:tcW w:w="1030" w:type="dxa"/>
          </w:tcPr>
          <w:p>
            <w:pPr>
              <w:pStyle w:val="Compact"/>
              <w:spacing w:before="0" w:after="0" w:line="240" w:lineRule="auto"/>
              <w:ind w:firstLine="0" w:left="0"/>
              <w:jc w:val="center"/>
            </w:pPr>
            <w:r>
              <w:rPr>
                <w:rFonts w:ascii="Times New Roman" w:hAnsi="Times New Roman"/>
                <w:sz w:val="20"/>
              </w:rPr>
              <w:t xml:space="preserve">38,5</w:t>
            </w:r>
          </w:p>
        </w:tc>
        <w:tc>
          <w:tcPr>
            <w:tcW w:w="1030" w:type="dxa"/>
          </w:tcPr>
          <w:p>
            <w:pPr>
              <w:pStyle w:val="Compact"/>
              <w:spacing w:before="0" w:after="0" w:line="240" w:lineRule="auto"/>
              <w:ind w:firstLine="0" w:left="0"/>
              <w:jc w:val="center"/>
            </w:pPr>
            <w:r>
              <w:rPr>
                <w:rFonts w:ascii="Times New Roman" w:hAnsi="Times New Roman"/>
                <w:sz w:val="20"/>
              </w:rPr>
              <w:t xml:space="preserve">21,3</w:t>
            </w:r>
          </w:p>
        </w:tc>
      </w:tr>
      <w:tr>
        <w:trPr>
          <w:cantSplit/>
        </w:trPr>
        <w:tc>
          <w:tcPr>
            <w:tcW w:w="3370" w:type="dxa"/>
          </w:tcPr>
          <w:p>
            <w:pPr>
              <w:pStyle w:val="Compact"/>
              <w:spacing w:before="0" w:after="0" w:line="240" w:lineRule="auto"/>
              <w:ind w:firstLine="0" w:left="0"/>
              <w:jc w:val="left"/>
            </w:pPr>
            <w:r>
              <w:rPr>
                <w:rFonts w:ascii="Times New Roman" w:hAnsi="Times New Roman"/>
                <w:b/>
                <w:bCs/>
                <w:sz w:val="20"/>
              </w:rPr>
              <w:t xml:space="preserve">Thể hiện giới (bất kỳ tình huống 7–8)</w:t>
            </w:r>
          </w:p>
        </w:tc>
        <w:tc>
          <w:tcPr>
            <w:tcW w:w="1030" w:type="dxa"/>
          </w:tcPr>
          <w:p>
            <w:pPr>
              <w:pStyle w:val="Compact"/>
              <w:spacing w:before="0" w:after="0" w:line="240" w:lineRule="auto"/>
              <w:ind w:firstLine="0" w:left="0"/>
              <w:jc w:val="center"/>
            </w:pPr>
            <w:r>
              <w:rPr>
                <w:rFonts w:ascii="Times New Roman" w:hAnsi="Times New Roman"/>
                <w:sz w:val="20"/>
              </w:rPr>
              <w:t xml:space="preserve">42 / 191</w:t>
            </w:r>
          </w:p>
        </w:tc>
        <w:tc>
          <w:tcPr>
            <w:tcW w:w="1030" w:type="dxa"/>
          </w:tcPr>
          <w:p>
            <w:pPr>
              <w:pStyle w:val="Compact"/>
              <w:spacing w:before="0" w:after="0" w:line="240" w:lineRule="auto"/>
              <w:ind w:firstLine="0" w:left="0"/>
              <w:jc w:val="center"/>
            </w:pPr>
            <w:r>
              <w:rPr>
                <w:rFonts w:ascii="Times New Roman" w:hAnsi="Times New Roman"/>
                <w:sz w:val="20"/>
              </w:rPr>
              <w:t xml:space="preserve">3,98 (3,63)</w:t>
            </w:r>
          </w:p>
        </w:tc>
        <w:tc>
          <w:tcPr>
            <w:tcW w:w="1030" w:type="dxa"/>
          </w:tcPr>
          <w:p>
            <w:pPr>
              <w:pStyle w:val="Compact"/>
              <w:spacing w:before="0" w:after="0" w:line="240" w:lineRule="auto"/>
              <w:ind w:firstLine="0" w:left="0"/>
              <w:jc w:val="center"/>
            </w:pPr>
            <w:r>
              <w:rPr>
                <w:rFonts w:ascii="Times New Roman" w:hAnsi="Times New Roman"/>
                <w:sz w:val="20"/>
              </w:rPr>
              <w:t xml:space="preserve">3,30 (3,17)</w:t>
            </w:r>
          </w:p>
        </w:tc>
        <w:tc>
          <w:tcPr>
            <w:tcW w:w="842" w:type="dxa"/>
          </w:tcPr>
          <w:p>
            <w:pPr>
              <w:pStyle w:val="Compact"/>
              <w:spacing w:before="0" w:after="0" w:line="240" w:lineRule="auto"/>
              <w:ind w:firstLine="0" w:left="0"/>
              <w:jc w:val="center"/>
            </w:pPr>
            <w:r>
              <w:rPr>
                <w:rFonts w:ascii="Times New Roman" w:hAnsi="Times New Roman"/>
                <w:sz w:val="20"/>
              </w:rPr>
              <w:t xml:space="preserve">0,67</w:t>
            </w:r>
          </w:p>
        </w:tc>
        <w:tc>
          <w:tcPr>
            <w:tcW w:w="1030" w:type="dxa"/>
          </w:tcPr>
          <w:p>
            <w:pPr>
              <w:pStyle w:val="Compact"/>
              <w:spacing w:before="0" w:after="0" w:line="240" w:lineRule="auto"/>
              <w:ind w:firstLine="0" w:left="0"/>
              <w:jc w:val="center"/>
            </w:pPr>
            <w:r>
              <w:rPr>
                <w:rFonts w:ascii="Times New Roman" w:hAnsi="Times New Roman"/>
                <w:sz w:val="20"/>
              </w:rPr>
              <w:t xml:space="preserve">35,7</w:t>
            </w:r>
          </w:p>
        </w:tc>
        <w:tc>
          <w:tcPr>
            <w:tcW w:w="1030" w:type="dxa"/>
          </w:tcPr>
          <w:p>
            <w:pPr>
              <w:pStyle w:val="Compact"/>
              <w:spacing w:before="0" w:after="0" w:line="240" w:lineRule="auto"/>
              <w:ind w:firstLine="0" w:left="0"/>
              <w:jc w:val="center"/>
            </w:pPr>
            <w:r>
              <w:rPr>
                <w:rFonts w:ascii="Times New Roman" w:hAnsi="Times New Roman"/>
                <w:sz w:val="20"/>
              </w:rPr>
              <w:t xml:space="preserve">20,4</w:t>
            </w:r>
          </w:p>
        </w:tc>
      </w:tr>
      <w:tr>
        <w:trPr>
          <w:cantSplit/>
        </w:trPr>
        <w:tc>
          <w:tcPr>
            <w:tcW w:w="3370" w:type="dxa"/>
          </w:tcPr>
          <w:p>
            <w:pPr>
              <w:pStyle w:val="Compact"/>
              <w:spacing w:before="0" w:after="0" w:line="240" w:lineRule="auto"/>
              <w:ind w:firstLine="0" w:left="0"/>
              <w:jc w:val="left"/>
            </w:pPr>
            <w:r>
              <w:rPr>
                <w:rFonts w:ascii="Times New Roman" w:hAnsi="Times New Roman"/>
                <w:sz w:val="20"/>
              </w:rPr>
              <w:t xml:space="preserve">7. Áp lực tuân theo khuôn mẫu giới</w:t>
            </w:r>
          </w:p>
        </w:tc>
        <w:tc>
          <w:tcPr>
            <w:tcW w:w="1030" w:type="dxa"/>
          </w:tcPr>
          <w:p>
            <w:pPr>
              <w:pStyle w:val="Compact"/>
              <w:spacing w:before="0" w:after="0" w:line="240" w:lineRule="auto"/>
              <w:ind w:firstLine="0" w:left="0"/>
              <w:jc w:val="center"/>
            </w:pPr>
            <w:r>
              <w:rPr>
                <w:rFonts w:ascii="Times New Roman" w:hAnsi="Times New Roman"/>
                <w:sz w:val="20"/>
              </w:rPr>
              <w:t xml:space="preserve">36 / 186</w:t>
            </w:r>
          </w:p>
        </w:tc>
        <w:tc>
          <w:tcPr>
            <w:tcW w:w="1030" w:type="dxa"/>
          </w:tcPr>
          <w:p>
            <w:pPr>
              <w:pStyle w:val="Compact"/>
              <w:spacing w:before="0" w:after="0" w:line="240" w:lineRule="auto"/>
              <w:ind w:firstLine="0" w:left="0"/>
              <w:jc w:val="center"/>
            </w:pPr>
            <w:r>
              <w:rPr>
                <w:rFonts w:ascii="Times New Roman" w:hAnsi="Times New Roman"/>
                <w:sz w:val="20"/>
              </w:rPr>
              <w:t xml:space="preserve">4,06 (3,72)</w:t>
            </w:r>
          </w:p>
        </w:tc>
        <w:tc>
          <w:tcPr>
            <w:tcW w:w="1030" w:type="dxa"/>
          </w:tcPr>
          <w:p>
            <w:pPr>
              <w:pStyle w:val="Compact"/>
              <w:spacing w:before="0" w:after="0" w:line="240" w:lineRule="auto"/>
              <w:ind w:firstLine="0" w:left="0"/>
              <w:jc w:val="center"/>
            </w:pPr>
            <w:r>
              <w:rPr>
                <w:rFonts w:ascii="Times New Roman" w:hAnsi="Times New Roman"/>
                <w:sz w:val="20"/>
              </w:rPr>
              <w:t xml:space="preserve">3,34 (3,20)</w:t>
            </w:r>
          </w:p>
        </w:tc>
        <w:tc>
          <w:tcPr>
            <w:tcW w:w="842" w:type="dxa"/>
          </w:tcPr>
          <w:p>
            <w:pPr>
              <w:pStyle w:val="Compact"/>
              <w:spacing w:before="0" w:after="0" w:line="240" w:lineRule="auto"/>
              <w:ind w:firstLine="0" w:left="0"/>
              <w:jc w:val="center"/>
            </w:pPr>
            <w:r>
              <w:rPr>
                <w:rFonts w:ascii="Times New Roman" w:hAnsi="Times New Roman"/>
                <w:sz w:val="20"/>
              </w:rPr>
              <w:t xml:space="preserve">0,72</w:t>
            </w:r>
          </w:p>
        </w:tc>
        <w:tc>
          <w:tcPr>
            <w:tcW w:w="1030" w:type="dxa"/>
          </w:tcPr>
          <w:p>
            <w:pPr>
              <w:pStyle w:val="Compact"/>
              <w:spacing w:before="0" w:after="0" w:line="240" w:lineRule="auto"/>
              <w:ind w:firstLine="0" w:left="0"/>
              <w:jc w:val="center"/>
            </w:pPr>
            <w:r>
              <w:rPr>
                <w:rFonts w:ascii="Times New Roman" w:hAnsi="Times New Roman"/>
                <w:sz w:val="20"/>
              </w:rPr>
              <w:t xml:space="preserve">36,1</w:t>
            </w:r>
          </w:p>
        </w:tc>
        <w:tc>
          <w:tcPr>
            <w:tcW w:w="1030" w:type="dxa"/>
          </w:tcPr>
          <w:p>
            <w:pPr>
              <w:pStyle w:val="Compact"/>
              <w:spacing w:before="0" w:after="0" w:line="240" w:lineRule="auto"/>
              <w:ind w:firstLine="0" w:left="0"/>
              <w:jc w:val="center"/>
            </w:pPr>
            <w:r>
              <w:rPr>
                <w:rFonts w:ascii="Times New Roman" w:hAnsi="Times New Roman"/>
                <w:sz w:val="20"/>
              </w:rPr>
              <w:t xml:space="preserve">21,0</w:t>
            </w:r>
          </w:p>
        </w:tc>
      </w:tr>
      <w:tr>
        <w:trPr>
          <w:cantSplit/>
        </w:trPr>
        <w:tc>
          <w:tcPr>
            <w:tcW w:w="3370" w:type="dxa"/>
          </w:tcPr>
          <w:p>
            <w:pPr>
              <w:pStyle w:val="Compact"/>
              <w:spacing w:before="0" w:after="0" w:line="240" w:lineRule="auto"/>
              <w:ind w:firstLine="0" w:left="0"/>
              <w:jc w:val="left"/>
            </w:pPr>
            <w:r>
              <w:rPr>
                <w:rFonts w:ascii="Times New Roman" w:hAnsi="Times New Roman"/>
                <w:sz w:val="20"/>
              </w:rPr>
              <w:t xml:space="preserve">8. Khó khăn về tên gọi, đại từ, trang phục hoặc nhà vệ sinh</w:t>
            </w:r>
          </w:p>
        </w:tc>
        <w:tc>
          <w:tcPr>
            <w:tcW w:w="1030" w:type="dxa"/>
          </w:tcPr>
          <w:p>
            <w:pPr>
              <w:pStyle w:val="Compact"/>
              <w:spacing w:before="0" w:after="0" w:line="240" w:lineRule="auto"/>
              <w:ind w:firstLine="0" w:left="0"/>
              <w:jc w:val="center"/>
            </w:pPr>
            <w:r>
              <w:rPr>
                <w:rFonts w:ascii="Times New Roman" w:hAnsi="Times New Roman"/>
                <w:sz w:val="20"/>
              </w:rPr>
              <w:t xml:space="preserve">13 / 173</w:t>
            </w:r>
          </w:p>
        </w:tc>
        <w:tc>
          <w:tcPr>
            <w:tcW w:w="1030" w:type="dxa"/>
          </w:tcPr>
          <w:p>
            <w:pPr>
              <w:pStyle w:val="Compact"/>
              <w:spacing w:before="0" w:after="0" w:line="240" w:lineRule="auto"/>
              <w:ind w:firstLine="0" w:left="0"/>
              <w:jc w:val="center"/>
            </w:pPr>
            <w:r>
              <w:rPr>
                <w:rFonts w:ascii="Times New Roman" w:hAnsi="Times New Roman"/>
                <w:sz w:val="20"/>
              </w:rPr>
              <w:t xml:space="preserve">3,46 (3,80)</w:t>
            </w:r>
          </w:p>
        </w:tc>
        <w:tc>
          <w:tcPr>
            <w:tcW w:w="1030" w:type="dxa"/>
          </w:tcPr>
          <w:p>
            <w:pPr>
              <w:pStyle w:val="Compact"/>
              <w:spacing w:before="0" w:after="0" w:line="240" w:lineRule="auto"/>
              <w:ind w:firstLine="0" w:left="0"/>
              <w:jc w:val="center"/>
            </w:pPr>
            <w:r>
              <w:rPr>
                <w:rFonts w:ascii="Times New Roman" w:hAnsi="Times New Roman"/>
                <w:sz w:val="20"/>
              </w:rPr>
              <w:t xml:space="preserve">3,42 (3,15)</w:t>
            </w:r>
          </w:p>
        </w:tc>
        <w:tc>
          <w:tcPr>
            <w:tcW w:w="842" w:type="dxa"/>
          </w:tcPr>
          <w:p>
            <w:pPr>
              <w:pStyle w:val="Compact"/>
              <w:spacing w:before="0" w:after="0" w:line="240" w:lineRule="auto"/>
              <w:ind w:firstLine="0" w:left="0"/>
              <w:jc w:val="center"/>
            </w:pPr>
            <w:r>
              <w:rPr>
                <w:rFonts w:ascii="Times New Roman" w:hAnsi="Times New Roman"/>
                <w:sz w:val="20"/>
              </w:rPr>
              <w:t xml:space="preserve">0,05</w:t>
            </w:r>
          </w:p>
        </w:tc>
        <w:tc>
          <w:tcPr>
            <w:tcW w:w="1030" w:type="dxa"/>
          </w:tcPr>
          <w:p>
            <w:pPr>
              <w:pStyle w:val="Compact"/>
              <w:spacing w:before="0" w:after="0" w:line="240" w:lineRule="auto"/>
              <w:ind w:firstLine="0" w:left="0"/>
              <w:jc w:val="center"/>
            </w:pPr>
            <w:r>
              <w:rPr>
                <w:rFonts w:ascii="Times New Roman" w:hAnsi="Times New Roman"/>
                <w:sz w:val="20"/>
              </w:rPr>
              <w:t xml:space="preserve">không báo cáo</w:t>
            </w:r>
            <w:r>
              <w:rPr>
                <w:rFonts w:ascii="Times New Roman" w:hAnsi="Times New Roman"/>
                <w:sz w:val="20"/>
                <w:vertAlign w:val="superscript"/>
              </w:rPr>
              <w:t xml:space="preserve">c</w:t>
            </w:r>
          </w:p>
        </w:tc>
        <w:tc>
          <w:tcPr>
            <w:tcW w:w="1030" w:type="dxa"/>
          </w:tcPr>
          <w:p>
            <w:pPr>
              <w:pStyle w:val="Compact"/>
              <w:spacing w:before="0" w:after="0" w:line="240" w:lineRule="auto"/>
              <w:ind w:firstLine="0" w:left="0"/>
              <w:jc w:val="center"/>
            </w:pPr>
            <w:r>
              <w:rPr>
                <w:rFonts w:ascii="Times New Roman" w:hAnsi="Times New Roman"/>
                <w:sz w:val="20"/>
              </w:rPr>
              <w:t xml:space="preserve">21,4</w:t>
            </w:r>
          </w:p>
        </w:tc>
      </w:tr>
    </w:tbl>
    <w:p>
      <w:pPr>
        <w:pStyle w:val="BodyText"/>
      </w:pPr>
      <w:r>
        <w:rPr>
          <w:vertAlign w:val="superscript"/>
        </w:rPr>
        <w:t xml:space="preserve">a</w:t>
      </w:r>
      <w:r>
        <w:t xml:space="preserve"> </w:t>
      </w:r>
      <w:r>
        <w:t xml:space="preserve">“Có”</w:t>
      </w:r>
      <w:r>
        <w:t xml:space="preserve"> </w:t>
      </w:r>
      <w:r>
        <w:t xml:space="preserve">là những người đã gặp hình thức đó ít nhất một lần,</w:t>
      </w:r>
      <w:r>
        <w:t xml:space="preserve"> </w:t>
      </w:r>
      <w:r>
        <w:t xml:space="preserve">“không”</w:t>
      </w:r>
      <w:r>
        <w:t xml:space="preserve"> </w:t>
      </w:r>
      <w:r>
        <w:t xml:space="preserve">là những người đã trả lời và cho biết chưa từng gặp.</w:t>
      </w:r>
    </w:p>
    <w:p>
      <w:pPr>
        <w:pStyle w:val="BodyText"/>
      </w:pPr>
      <w:r>
        <w:rPr>
          <w:vertAlign w:val="superscript"/>
        </w:rPr>
        <w:t xml:space="preserve">b</w:t>
      </w:r>
      <w:r>
        <w:t xml:space="preserve"> </w:t>
      </w:r>
      <w:r>
        <w:t xml:space="preserve">Chênh lệch là trung bình của nhóm</w:t>
      </w:r>
      <w:r>
        <w:t xml:space="preserve"> </w:t>
      </w:r>
      <w:r>
        <w:t xml:space="preserve">“có”</w:t>
      </w:r>
      <w:r>
        <w:t xml:space="preserve"> </w:t>
      </w:r>
      <w:r>
        <w:t xml:space="preserve">trừ trung bình của nhóm</w:t>
      </w:r>
      <w:r>
        <w:t xml:space="preserve"> </w:t>
      </w:r>
      <w:r>
        <w:t xml:space="preserve">“không”</w:t>
      </w:r>
      <w:r>
        <w:t xml:space="preserve">, không điều chỉnh và không kiểm định giả thuyết.</w:t>
      </w:r>
    </w:p>
    <w:p>
      <w:pPr>
        <w:pStyle w:val="BodyText"/>
      </w:pPr>
      <w:r>
        <w:rPr>
          <w:vertAlign w:val="superscript"/>
        </w:rPr>
        <w:t xml:space="preserve">c</w:t>
      </w:r>
      <w:r>
        <w:t xml:space="preserve"> </w:t>
      </w:r>
      <w:r>
        <w:t xml:space="preserve">Tỷ lệ không được báo cáo khi trong một nhóm có dưới 10 người đạt điểm từ 6 trở lên, hoặc dưới 10 người có điểm dưới 6.</w:t>
      </w:r>
    </w:p>
    <w:p>
      <w:pPr>
        <w:pStyle w:val="BodyText"/>
      </w:pPr>
      <w:r>
        <w:rPr>
          <w:vertAlign w:val="superscript"/>
        </w:rPr>
        <w:t xml:space="preserve">d</w:t>
      </w:r>
      <w:r>
        <w:t xml:space="preserve"> </w:t>
      </w:r>
      <w:r>
        <w:t xml:space="preserve">Dòng này không được báo cáo vì có dưới 10 người đã gặp tình huống này.</w:t>
      </w:r>
    </w:p>
    <w:p>
      <w:pPr>
        <w:pStyle w:val="BodyText"/>
      </w:pPr>
      <w:r>
        <w:t xml:space="preserve">Như trong Bảng 6, ở đặc tả chính, chênh lệch một đơn vị của chỉ số kỳ thị đi kèm điểm PHQ-4 cao hơn 1,85 điểm (</w:t>
      </w:r>
      <w:r>
        <w:rPr>
          <w:i/>
          <w:iCs/>
        </w:rPr>
        <w:t xml:space="preserve">SE</w:t>
      </w:r>
      <w:r>
        <w:t xml:space="preserve"> </w:t>
      </w:r>
      <w:r>
        <w:t xml:space="preserve">= 0,58, KTC 95% [0,71; 2,99],</w:t>
      </w:r>
      <w:r>
        <w:t xml:space="preserve"> </w:t>
      </w:r>
      <w:r>
        <w:rPr>
          <w:i/>
          <w:iCs/>
        </w:rPr>
        <w:t xml:space="preserve">p</w:t>
      </w:r>
      <w:r>
        <w:t xml:space="preserve"> </w:t>
      </w:r>
      <w:r>
        <w:t xml:space="preserve">= 0,002). Chênh lệch một độ lệch chuẩn của chỉ số (0,47) tương ứng 0,86 điểm PHQ-4 (KTC 95% [0,33; 1,40]), tức khoảng 0,27 độ lệch chuẩn của điểm PHQ-4, một kết quả ủng hộ H1. Khoảng tin cậy 90%, [0,89; 2,80], không nằm trong ngưỡng tương đương ±1,0, nên kết luận</w:t>
      </w:r>
      <w:r>
        <w:t xml:space="preserve"> </w:t>
      </w:r>
      <w:r>
        <w:t xml:space="preserve">“không có mối liên hệ có ý nghĩa thực tiễn”</w:t>
      </w:r>
      <w:r>
        <w:t xml:space="preserve"> </w:t>
      </w:r>
      <w:r>
        <w:t xml:space="preserve">không áp dụng, và theo quy tắc quyết định, kết quả cho thấy một mối liên hệ dương. Ước lượng điểm vượt ngưỡng hiệu ứng nhỏ nhất có ý nghĩa, nhưng cận dưới của khoảng 90% nằm ngay dưới ngưỡng, nên dữ liệu không loại trừ một mối liên hệ nhỏ hơn 1,0 điểm trên một đơn vị chỉ số một chút. Hiệu ứng nhỏ nhất có thể phát hiện sau ước lượng là khoảng 1,62 điểm.</w:t>
      </w:r>
    </w:p>
    <w:p>
      <w:pPr>
        <w:pStyle w:val="BodyText"/>
      </w:pPr>
      <w:r>
        <w:t xml:space="preserve">Thêm đặc điểm công việc không làm giảm ước lượng (η = 1,95, KTC 95% [0,52; 3,37],</w:t>
      </w:r>
      <w:r>
        <w:t xml:space="preserve"> </w:t>
      </w:r>
      <w:r>
        <w:rPr>
          <w:i/>
          <w:iCs/>
        </w:rPr>
        <w:t xml:space="preserve">n</w:t>
      </w:r>
      <w:r>
        <w:t xml:space="preserve"> </w:t>
      </w:r>
      <w:r>
        <w:t xml:space="preserve">= 206). Vì 29 người thiếu ít nhất một đặc điểm công việc, hai đặc tả dùng hai mẫu khác nhau, nên phép so sánh chỉ mang tính gần đúng. Coi</w:t>
      </w:r>
      <w:r>
        <w:t xml:space="preserve"> </w:t>
      </w:r>
      <w:r>
        <w:t xml:space="preserve">“không muốn trả lời”</w:t>
      </w:r>
      <w:r>
        <w:t xml:space="preserve"> </w:t>
      </w:r>
      <w:r>
        <w:t xml:space="preserve">là giá trị thiếu cho ước lượng tương tự (η = 1,94, KTC 95% [0,78; 3,10],</w:t>
      </w:r>
      <w:r>
        <w:t xml:space="preserve"> </w:t>
      </w:r>
      <w:r>
        <w:rPr>
          <w:i/>
          <w:iCs/>
        </w:rPr>
        <w:t xml:space="preserve">n</w:t>
      </w:r>
      <w:r>
        <w:t xml:space="preserve"> </w:t>
      </w:r>
      <w:r>
        <w:t xml:space="preserve">= 226).</w:t>
      </w:r>
    </w:p>
    <w:p>
      <w:pPr>
        <w:pStyle w:val="BodyText"/>
      </w:pPr>
      <w:r>
        <w:rPr>
          <w:b/>
          <w:bCs/>
        </w:rPr>
        <w:t xml:space="preserve">Bảng 6</w:t>
      </w:r>
      <w:r>
        <w:t xml:space="preserve"> </w:t>
      </w:r>
      <w:r>
        <w:rPr>
          <w:i/>
          <w:iCs/>
        </w:rPr>
        <w:t xml:space="preserve">Mối liên hệ giữa chỉ số kỳ thị nơi làm việc và điểm PHQ-4 (H1)</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3557"/>
        <w:gridCol w:w="749"/>
        <w:gridCol w:w="936"/>
        <w:gridCol w:w="936"/>
        <w:gridCol w:w="2059"/>
        <w:gridCol w:w="1123"/>
      </w:tblGrid>
      <w:tr>
        <w:trPr>
          <w:cantSplit/>
          <w:tblHeader/>
        </w:trPr>
        <w:tc>
          <w:tcPr>
            <w:tcW w:w="3557"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Đặc tả</w:t>
            </w:r>
          </w:p>
        </w:tc>
        <w:tc>
          <w:tcPr>
            <w:tcW w:w="749"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η</w:t>
            </w:r>
            <w:r>
              <w:rPr>
                <w:rFonts w:ascii="Times New Roman" w:hAnsi="Times New Roman"/>
                <w:sz w:val="20"/>
                <w:vertAlign w:val="superscript"/>
              </w:rPr>
              <w:t xml:space="preserve">a</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SE</w:t>
            </w:r>
          </w:p>
        </w:tc>
        <w:tc>
          <w:tcPr>
            <w:tcW w:w="2059"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KTC 95%</w:t>
            </w:r>
          </w:p>
        </w:tc>
        <w:tc>
          <w:tcPr>
            <w:tcW w:w="1123"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p</w:t>
            </w:r>
          </w:p>
        </w:tc>
      </w:tr>
      <w:tr>
        <w:trPr>
          <w:cantSplit/>
        </w:trPr>
        <w:tc>
          <w:tcPr>
            <w:tcW w:w="3557" w:type="dxa"/>
          </w:tcPr>
          <w:p>
            <w:pPr>
              <w:pStyle w:val="Compact"/>
              <w:spacing w:before="0" w:after="0" w:line="240" w:lineRule="auto"/>
              <w:ind w:firstLine="0" w:left="0"/>
              <w:jc w:val="left"/>
            </w:pPr>
            <w:r>
              <w:rPr>
                <w:rFonts w:ascii="Times New Roman" w:hAnsi="Times New Roman"/>
                <w:sz w:val="20"/>
              </w:rPr>
              <w:t xml:space="preserve">Xᴰ (chính)</w:t>
            </w:r>
            <w:r>
              <w:rPr>
                <w:rFonts w:ascii="Times New Roman" w:hAnsi="Times New Roman"/>
                <w:sz w:val="20"/>
                <w:vertAlign w:val="superscript"/>
              </w:rPr>
              <w:t xml:space="preserve">b</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1,85</w:t>
            </w:r>
          </w:p>
        </w:tc>
        <w:tc>
          <w:tcPr>
            <w:tcW w:w="936" w:type="dxa"/>
          </w:tcPr>
          <w:p>
            <w:pPr>
              <w:pStyle w:val="Compact"/>
              <w:spacing w:before="0" w:after="0" w:line="240" w:lineRule="auto"/>
              <w:ind w:firstLine="0" w:left="0"/>
              <w:jc w:val="center"/>
            </w:pPr>
            <w:r>
              <w:rPr>
                <w:rFonts w:ascii="Times New Roman" w:hAnsi="Times New Roman"/>
                <w:sz w:val="20"/>
              </w:rPr>
              <w:t xml:space="preserve">0,58</w:t>
            </w:r>
          </w:p>
        </w:tc>
        <w:tc>
          <w:tcPr>
            <w:tcW w:w="2059" w:type="dxa"/>
          </w:tcPr>
          <w:p>
            <w:pPr>
              <w:pStyle w:val="Compact"/>
              <w:spacing w:before="0" w:after="0" w:line="240" w:lineRule="auto"/>
              <w:ind w:firstLine="0" w:left="0"/>
              <w:jc w:val="center"/>
            </w:pPr>
            <w:r>
              <w:rPr>
                <w:rFonts w:ascii="Times New Roman" w:hAnsi="Times New Roman"/>
                <w:sz w:val="20"/>
              </w:rPr>
              <w:t xml:space="preserve">[0,71; 2,99]</w:t>
            </w:r>
          </w:p>
        </w:tc>
        <w:tc>
          <w:tcPr>
            <w:tcW w:w="1123" w:type="dxa"/>
          </w:tcPr>
          <w:p>
            <w:pPr>
              <w:pStyle w:val="Compact"/>
              <w:spacing w:before="0" w:after="0" w:line="240" w:lineRule="auto"/>
              <w:ind w:firstLine="0" w:left="0"/>
              <w:jc w:val="center"/>
            </w:pPr>
            <w:r>
              <w:rPr>
                <w:rFonts w:ascii="Times New Roman" w:hAnsi="Times New Roman"/>
                <w:sz w:val="20"/>
              </w:rPr>
              <w:t xml:space="preserve">0,002</w:t>
            </w:r>
          </w:p>
        </w:tc>
      </w:tr>
      <w:tr>
        <w:trPr>
          <w:cantSplit/>
        </w:trPr>
        <w:tc>
          <w:tcPr>
            <w:tcW w:w="3557" w:type="dxa"/>
          </w:tcPr>
          <w:p>
            <w:pPr>
              <w:pStyle w:val="Compact"/>
              <w:spacing w:before="0" w:after="0" w:line="240" w:lineRule="auto"/>
              <w:ind w:firstLine="0" w:left="0"/>
              <w:jc w:val="left"/>
            </w:pPr>
            <w:r>
              <w:rPr>
                <w:rFonts w:ascii="Times New Roman" w:hAnsi="Times New Roman"/>
                <w:sz w:val="20"/>
              </w:rPr>
              <w:t xml:space="preserve">Xᴰ, quy tắc thay thế</w:t>
            </w:r>
            <w:r>
              <w:rPr>
                <w:rFonts w:ascii="Times New Roman" w:hAnsi="Times New Roman"/>
                <w:sz w:val="20"/>
                <w:vertAlign w:val="superscript"/>
              </w:rPr>
              <w:t xml:space="preserve">c</w:t>
            </w:r>
          </w:p>
        </w:tc>
        <w:tc>
          <w:tcPr>
            <w:tcW w:w="749" w:type="dxa"/>
          </w:tcPr>
          <w:p>
            <w:pPr>
              <w:pStyle w:val="Compact"/>
              <w:spacing w:before="0" w:after="0" w:line="240" w:lineRule="auto"/>
              <w:ind w:firstLine="0" w:left="0"/>
              <w:jc w:val="center"/>
            </w:pPr>
            <w:r>
              <w:rPr>
                <w:rFonts w:ascii="Times New Roman" w:hAnsi="Times New Roman"/>
                <w:sz w:val="20"/>
              </w:rPr>
              <w:t xml:space="preserve">226</w:t>
            </w:r>
          </w:p>
        </w:tc>
        <w:tc>
          <w:tcPr>
            <w:tcW w:w="936" w:type="dxa"/>
          </w:tcPr>
          <w:p>
            <w:pPr>
              <w:pStyle w:val="Compact"/>
              <w:spacing w:before="0" w:after="0" w:line="240" w:lineRule="auto"/>
              <w:ind w:firstLine="0" w:left="0"/>
              <w:jc w:val="center"/>
            </w:pPr>
            <w:r>
              <w:rPr>
                <w:rFonts w:ascii="Times New Roman" w:hAnsi="Times New Roman"/>
                <w:sz w:val="20"/>
              </w:rPr>
              <w:t xml:space="preserve">1,94</w:t>
            </w:r>
          </w:p>
        </w:tc>
        <w:tc>
          <w:tcPr>
            <w:tcW w:w="936" w:type="dxa"/>
          </w:tcPr>
          <w:p>
            <w:pPr>
              <w:pStyle w:val="Compact"/>
              <w:spacing w:before="0" w:after="0" w:line="240" w:lineRule="auto"/>
              <w:ind w:firstLine="0" w:left="0"/>
              <w:jc w:val="center"/>
            </w:pPr>
            <w:r>
              <w:rPr>
                <w:rFonts w:ascii="Times New Roman" w:hAnsi="Times New Roman"/>
                <w:sz w:val="20"/>
              </w:rPr>
              <w:t xml:space="preserve">0,59</w:t>
            </w:r>
          </w:p>
        </w:tc>
        <w:tc>
          <w:tcPr>
            <w:tcW w:w="2059" w:type="dxa"/>
          </w:tcPr>
          <w:p>
            <w:pPr>
              <w:pStyle w:val="Compact"/>
              <w:spacing w:before="0" w:after="0" w:line="240" w:lineRule="auto"/>
              <w:ind w:firstLine="0" w:left="0"/>
              <w:jc w:val="center"/>
            </w:pPr>
            <w:r>
              <w:rPr>
                <w:rFonts w:ascii="Times New Roman" w:hAnsi="Times New Roman"/>
                <w:sz w:val="20"/>
              </w:rPr>
              <w:t xml:space="preserve">[0,78; 3,10]</w:t>
            </w:r>
          </w:p>
        </w:tc>
        <w:tc>
          <w:tcPr>
            <w:tcW w:w="1123" w:type="dxa"/>
          </w:tcPr>
          <w:p>
            <w:pPr>
              <w:pStyle w:val="Compact"/>
              <w:spacing w:before="0" w:after="0" w:line="240" w:lineRule="auto"/>
              <w:ind w:firstLine="0" w:left="0"/>
              <w:jc w:val="center"/>
            </w:pPr>
            <w:r>
              <w:rPr>
                <w:rFonts w:ascii="Times New Roman" w:hAnsi="Times New Roman"/>
                <w:sz w:val="20"/>
              </w:rPr>
              <w:t xml:space="preserve">0,001</w:t>
            </w:r>
          </w:p>
        </w:tc>
      </w:tr>
      <w:tr>
        <w:trPr>
          <w:cantSplit/>
        </w:trPr>
        <w:tc>
          <w:tcPr>
            <w:tcW w:w="3557" w:type="dxa"/>
          </w:tcPr>
          <w:p>
            <w:pPr>
              <w:pStyle w:val="Compact"/>
              <w:spacing w:before="0" w:after="0" w:line="240" w:lineRule="auto"/>
              <w:ind w:firstLine="0" w:left="0"/>
              <w:jc w:val="left"/>
            </w:pPr>
            <w:r>
              <w:rPr>
                <w:rFonts w:ascii="Times New Roman" w:hAnsi="Times New Roman"/>
                <w:sz w:val="20"/>
              </w:rPr>
              <w:t xml:space="preserve">Xᴰ + Xᴶ</w:t>
            </w:r>
            <w:r>
              <w:rPr>
                <w:rFonts w:ascii="Times New Roman" w:hAnsi="Times New Roman"/>
                <w:sz w:val="20"/>
                <w:vertAlign w:val="superscript"/>
              </w:rPr>
              <w:t xml:space="preserve">d</w:t>
            </w:r>
          </w:p>
        </w:tc>
        <w:tc>
          <w:tcPr>
            <w:tcW w:w="749" w:type="dxa"/>
          </w:tcPr>
          <w:p>
            <w:pPr>
              <w:pStyle w:val="Compact"/>
              <w:spacing w:before="0" w:after="0" w:line="240" w:lineRule="auto"/>
              <w:ind w:firstLine="0" w:left="0"/>
              <w:jc w:val="center"/>
            </w:pPr>
            <w:r>
              <w:rPr>
                <w:rFonts w:ascii="Times New Roman" w:hAnsi="Times New Roman"/>
                <w:sz w:val="20"/>
              </w:rPr>
              <w:t xml:space="preserve">206</w:t>
            </w:r>
          </w:p>
        </w:tc>
        <w:tc>
          <w:tcPr>
            <w:tcW w:w="936" w:type="dxa"/>
          </w:tcPr>
          <w:p>
            <w:pPr>
              <w:pStyle w:val="Compact"/>
              <w:spacing w:before="0" w:after="0" w:line="240" w:lineRule="auto"/>
              <w:ind w:firstLine="0" w:left="0"/>
              <w:jc w:val="center"/>
            </w:pPr>
            <w:r>
              <w:rPr>
                <w:rFonts w:ascii="Times New Roman" w:hAnsi="Times New Roman"/>
                <w:sz w:val="20"/>
              </w:rPr>
              <w:t xml:space="preserve">1,95</w:t>
            </w:r>
          </w:p>
        </w:tc>
        <w:tc>
          <w:tcPr>
            <w:tcW w:w="936" w:type="dxa"/>
          </w:tcPr>
          <w:p>
            <w:pPr>
              <w:pStyle w:val="Compact"/>
              <w:spacing w:before="0" w:after="0" w:line="240" w:lineRule="auto"/>
              <w:ind w:firstLine="0" w:left="0"/>
              <w:jc w:val="center"/>
            </w:pPr>
            <w:r>
              <w:rPr>
                <w:rFonts w:ascii="Times New Roman" w:hAnsi="Times New Roman"/>
                <w:sz w:val="20"/>
              </w:rPr>
              <w:t xml:space="preserve">0,72</w:t>
            </w:r>
          </w:p>
        </w:tc>
        <w:tc>
          <w:tcPr>
            <w:tcW w:w="2059" w:type="dxa"/>
          </w:tcPr>
          <w:p>
            <w:pPr>
              <w:pStyle w:val="Compact"/>
              <w:spacing w:before="0" w:after="0" w:line="240" w:lineRule="auto"/>
              <w:ind w:firstLine="0" w:left="0"/>
              <w:jc w:val="center"/>
            </w:pPr>
            <w:r>
              <w:rPr>
                <w:rFonts w:ascii="Times New Roman" w:hAnsi="Times New Roman"/>
                <w:sz w:val="20"/>
              </w:rPr>
              <w:t xml:space="preserve">[0,52; 3,37]</w:t>
            </w:r>
          </w:p>
        </w:tc>
        <w:tc>
          <w:tcPr>
            <w:tcW w:w="1123" w:type="dxa"/>
          </w:tcPr>
          <w:p>
            <w:pPr>
              <w:pStyle w:val="Compact"/>
              <w:spacing w:before="0" w:after="0" w:line="240" w:lineRule="auto"/>
              <w:ind w:firstLine="0" w:left="0"/>
              <w:jc w:val="center"/>
            </w:pPr>
            <w:r>
              <w:rPr>
                <w:rFonts w:ascii="Times New Roman" w:hAnsi="Times New Roman"/>
                <w:sz w:val="20"/>
              </w:rPr>
              <w:t xml:space="preserve">0,008</w:t>
            </w:r>
          </w:p>
        </w:tc>
      </w:tr>
      <w:tr>
        <w:trPr>
          <w:cantSplit/>
        </w:trPr>
        <w:tc>
          <w:tcPr>
            <w:tcW w:w="3557" w:type="dxa"/>
          </w:tcPr>
          <w:p>
            <w:pPr>
              <w:pStyle w:val="Compact"/>
              <w:spacing w:before="0" w:after="0" w:line="240" w:lineRule="auto"/>
              <w:ind w:firstLine="0" w:left="0"/>
              <w:jc w:val="left"/>
            </w:pPr>
            <w:r>
              <w:rPr>
                <w:rFonts w:ascii="Times New Roman" w:hAnsi="Times New Roman"/>
                <w:sz w:val="20"/>
              </w:rPr>
              <w:t xml:space="preserve">Xᴰ (chính), trên một</w:t>
            </w:r>
            <w:r>
              <w:rPr>
                <w:rFonts w:ascii="Times New Roman" w:hAnsi="Times New Roman"/>
                <w:sz w:val="20"/>
              </w:rPr>
              <w:t xml:space="preserve"> </w:t>
            </w:r>
            <w:r>
              <w:rPr>
                <w:rFonts w:ascii="Times New Roman" w:hAnsi="Times New Roman"/>
                <w:i/>
                <w:iCs/>
                <w:sz w:val="20"/>
              </w:rPr>
              <w:t xml:space="preserve">SD</w:t>
            </w:r>
            <w:r>
              <w:rPr>
                <w:rFonts w:ascii="Times New Roman" w:hAnsi="Times New Roman"/>
                <w:sz w:val="20"/>
              </w:rPr>
              <w:t xml:space="preserve"> </w:t>
            </w:r>
            <w:r>
              <w:rPr>
                <w:rFonts w:ascii="Times New Roman" w:hAnsi="Times New Roman"/>
                <w:sz w:val="20"/>
              </w:rPr>
              <w:t xml:space="preserve">của chỉ số</w:t>
            </w:r>
            <w:r>
              <w:rPr>
                <w:rFonts w:ascii="Times New Roman" w:hAnsi="Times New Roman"/>
                <w:sz w:val="20"/>
                <w:vertAlign w:val="superscript"/>
              </w:rPr>
              <w:t xml:space="preserve">e</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0,86</w:t>
            </w:r>
          </w:p>
        </w:tc>
        <w:tc>
          <w:tcPr>
            <w:tcW w:w="936" w:type="dxa"/>
          </w:tcPr>
          <w:p>
            <w:pPr>
              <w:pStyle w:val="Compact"/>
              <w:spacing w:before="0" w:after="0" w:line="240" w:lineRule="auto"/>
              <w:ind w:firstLine="0" w:left="0"/>
              <w:jc w:val="center"/>
            </w:pPr>
            <w:r>
              <w:rPr>
                <w:rFonts w:ascii="Times New Roman" w:hAnsi="Times New Roman"/>
                <w:sz w:val="20"/>
              </w:rPr>
              <w:t xml:space="preserve">0,27</w:t>
            </w:r>
          </w:p>
        </w:tc>
        <w:tc>
          <w:tcPr>
            <w:tcW w:w="2059" w:type="dxa"/>
          </w:tcPr>
          <w:p>
            <w:pPr>
              <w:pStyle w:val="Compact"/>
              <w:spacing w:before="0" w:after="0" w:line="240" w:lineRule="auto"/>
              <w:ind w:firstLine="0" w:left="0"/>
              <w:jc w:val="center"/>
            </w:pPr>
            <w:r>
              <w:rPr>
                <w:rFonts w:ascii="Times New Roman" w:hAnsi="Times New Roman"/>
                <w:sz w:val="20"/>
              </w:rPr>
              <w:t xml:space="preserve">[0,33; 1,40]</w:t>
            </w:r>
          </w:p>
        </w:tc>
        <w:tc>
          <w:tcPr>
            <w:tcW w:w="1123" w:type="dxa"/>
          </w:tcPr>
          <w:p>
            <w:pPr>
              <w:pStyle w:val="Compact"/>
              <w:spacing w:before="0" w:after="0" w:line="240" w:lineRule="auto"/>
              <w:ind w:firstLine="0" w:left="0"/>
              <w:jc w:val="center"/>
            </w:pPr>
            <w:r>
              <w:rPr>
                <w:rFonts w:ascii="Times New Roman" w:hAnsi="Times New Roman"/>
                <w:sz w:val="20"/>
              </w:rPr>
              <w:t xml:space="preserve">0,002</w:t>
            </w:r>
          </w:p>
        </w:tc>
      </w:tr>
    </w:tbl>
    <w:p>
      <w:pPr>
        <w:pStyle w:val="BodyText"/>
      </w:pPr>
      <w:r>
        <w:rPr>
          <w:vertAlign w:val="superscript"/>
        </w:rPr>
        <w:t xml:space="preserve">a</w:t>
      </w:r>
      <w:r>
        <w:t xml:space="preserve"> </w:t>
      </w:r>
      <w:r>
        <w:t xml:space="preserve">η là chênh lệch điểm PHQ-4 trên một đơn vị chỉ số kỳ thị (0–4), ước lượng bằng hồi quy OLS với sai số chuẩn HC3.</w:t>
      </w:r>
    </w:p>
    <w:p>
      <w:pPr>
        <w:pStyle w:val="BodyText"/>
      </w:pPr>
      <w:r>
        <w:rPr>
          <w:vertAlign w:val="superscript"/>
        </w:rPr>
        <w:t xml:space="preserve">b</w:t>
      </w:r>
      <w:r>
        <w:t xml:space="preserve"> </w:t>
      </w:r>
      <w:r>
        <w:t xml:space="preserve">Xᴰ là tám nhóm đặc điểm có trước phơi nhiễm. Khoảng tin cậy 90% của kiểm định tương đương là [0,89; 2,80], với ngưỡng ±1,0.</w:t>
      </w:r>
    </w:p>
    <w:p>
      <w:pPr>
        <w:pStyle w:val="BodyText"/>
      </w:pPr>
      <w:r>
        <w:rPr>
          <w:vertAlign w:val="superscript"/>
        </w:rPr>
        <w:t xml:space="preserve">c</w:t>
      </w:r>
      <w:r>
        <w:t xml:space="preserve"> </w:t>
      </w:r>
      <w:r>
        <w:t xml:space="preserve">“Không muốn trả lời”</w:t>
      </w:r>
      <w:r>
        <w:t xml:space="preserve"> </w:t>
      </w:r>
      <w:r>
        <w:t xml:space="preserve">ở biến kiểm soát được coi là giá trị thiếu.</w:t>
      </w:r>
    </w:p>
    <w:p>
      <w:pPr>
        <w:pStyle w:val="BodyText"/>
      </w:pPr>
      <w:r>
        <w:rPr>
          <w:vertAlign w:val="superscript"/>
        </w:rPr>
        <w:t xml:space="preserve">d</w:t>
      </w:r>
      <w:r>
        <w:t xml:space="preserve"> </w:t>
      </w:r>
      <w:r>
        <w:t xml:space="preserve">Xᴶ là các đặc điểm công việc. Đặc tả này được báo cáo để so sánh và không phải là kiểm định giả thuyết.</w:t>
      </w:r>
    </w:p>
    <w:p>
      <w:pPr>
        <w:pStyle w:val="BodyText"/>
      </w:pPr>
      <w:r>
        <w:rPr>
          <w:vertAlign w:val="superscript"/>
        </w:rPr>
        <w:t xml:space="preserve">e</w:t>
      </w:r>
      <w:r>
        <w:t xml:space="preserve"> </w:t>
      </w:r>
      <w:r>
        <w:t xml:space="preserve">Ước lượng được biểu diễn trên một độ lệch chuẩn của chỉ số (0,47).</w:t>
      </w:r>
    </w:p>
    <w:bookmarkEnd w:id="37"/>
    <w:bookmarkStart w:id="38" w:name="X5b07b14d00b435e9f7c1039339cffedf789433c"/>
    <w:p>
      <w:pPr>
        <w:pStyle w:val="Heading2"/>
      </w:pPr>
      <w:r>
        <w:t xml:space="preserve">Các hình thức kỳ thị và triệu chứng lo âu, trầm cảm</w:t>
      </w:r>
    </w:p>
    <w:p>
      <w:pPr>
        <w:pStyle w:val="FirstParagraph"/>
      </w:pPr>
      <w:r>
        <w:t xml:space="preserve">Bảng 7 trình bày các phân tích thăm dò cho RQ1 (</w:t>
      </w:r>
      <w:r>
        <w:rPr>
          <w:i/>
          <w:iCs/>
        </w:rPr>
        <w:t xml:space="preserve">n</w:t>
      </w:r>
      <w:r>
        <w:t xml:space="preserve"> </w:t>
      </w:r>
      <w:r>
        <w:t xml:space="preserve">= 233). Trong các mô hình riêng, chênh lệch một độ lệch chuẩn của kỳ thị trong giao tiếp đi kèm điểm PHQ-4 cao hơn 0,86 điểm (KTC 95% [0,38; 1,33],</w:t>
      </w:r>
      <w:r>
        <w:t xml:space="preserve"> </w:t>
      </w:r>
      <w:r>
        <w:rPr>
          <w:i/>
          <w:iCs/>
        </w:rPr>
        <w:t xml:space="preserve">p</w:t>
      </w:r>
      <w:r>
        <w:t xml:space="preserve"> </w:t>
      </w:r>
      <w:r>
        <w:t xml:space="preserve">đã hiệu chỉnh BH = 0,002). Hệ số của kỳ thị liên quan đến nghề nghiệp (0,49, KTC 95% [−0,12; 1,09],</w:t>
      </w:r>
      <w:r>
        <w:t xml:space="preserve"> </w:t>
      </w:r>
      <w:r>
        <w:rPr>
          <w:i/>
          <w:iCs/>
        </w:rPr>
        <w:t xml:space="preserve">p</w:t>
      </w:r>
      <w:r>
        <w:t xml:space="preserve"> </w:t>
      </w:r>
      <w:r>
        <w:t xml:space="preserve">hiệu chỉnh = 0,174) và kỳ thị về thể hiện giới (0,35, KTC 95% [−0,30; 0,99],</w:t>
      </w:r>
      <w:r>
        <w:t xml:space="preserve"> </w:t>
      </w:r>
      <w:r>
        <w:rPr>
          <w:i/>
          <w:iCs/>
        </w:rPr>
        <w:t xml:space="preserve">p</w:t>
      </w:r>
      <w:r>
        <w:t xml:space="preserve"> </w:t>
      </w:r>
      <w:r>
        <w:t xml:space="preserve">hiệu chỉnh = 0,289) cũng dương, nhưng khoảng tin cậy chứa cả không lẫn các giá trị lớn bằng hệ số của kỳ thị trong giao tiếp, nên các kết quả này chưa xác định. Khi đưa cả ba chỉ số thành phần vào cùng mô hình, hệ số của kỳ thị trong giao tiếp ít thay đổi (0,77, KTC 95% [0,25; 1,29]), còn hệ số của hai hình thức kia dịch về gần không. Không hiệu số từng cặp nào phân biệt được với không, và hiệu số lớn nhất, giữa kỳ thị trong giao tiếp và kỳ thị về thể hiện giới, là 0,71 (KTC 95% [−0,08; 1,50]). Như vậy, dữ liệu cho thấy mối liên hệ rõ ràng với kỳ thị trong giao tiếp, nhưng không cho thấy kỳ thị trong giao tiếp liên hệ với triệu chứng mạnh hơn hai hình thức còn lại.</w:t>
      </w:r>
    </w:p>
    <w:p>
      <w:pPr>
        <w:pStyle w:val="BodyText"/>
      </w:pPr>
      <w:r>
        <w:rPr>
          <w:b/>
          <w:bCs/>
        </w:rPr>
        <w:t xml:space="preserve">Bảng 7</w:t>
      </w:r>
      <w:r>
        <w:t xml:space="preserve"> </w:t>
      </w:r>
      <w:r>
        <w:rPr>
          <w:i/>
          <w:iCs/>
        </w:rPr>
        <w:t xml:space="preserve">Các hình thức kỳ thị và điểm PHQ-4 (RQ1, thăm dò; n = 233)</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591"/>
        <w:gridCol w:w="2527"/>
        <w:gridCol w:w="1123"/>
        <w:gridCol w:w="749"/>
        <w:gridCol w:w="1498"/>
        <w:gridCol w:w="936"/>
        <w:gridCol w:w="936"/>
      </w:tblGrid>
      <w:tr>
        <w:trPr>
          <w:cantSplit/>
          <w:tblHeader/>
        </w:trPr>
        <w:tc>
          <w:tcPr>
            <w:tcW w:w="1591"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Mô hình</w:t>
            </w:r>
          </w:p>
        </w:tc>
        <w:tc>
          <w:tcPr>
            <w:tcW w:w="2527"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Biến</w:t>
            </w:r>
          </w:p>
        </w:tc>
        <w:tc>
          <w:tcPr>
            <w:tcW w:w="1123"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Hệ số</w:t>
            </w:r>
            <w:r>
              <w:rPr>
                <w:rFonts w:ascii="Times New Roman" w:hAnsi="Times New Roman"/>
                <w:sz w:val="20"/>
                <w:vertAlign w:val="superscript"/>
              </w:rPr>
              <w:t xml:space="preserve">a</w:t>
            </w:r>
          </w:p>
        </w:tc>
        <w:tc>
          <w:tcPr>
            <w:tcW w:w="749"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SE</w:t>
            </w:r>
          </w:p>
        </w:tc>
        <w:tc>
          <w:tcPr>
            <w:tcW w:w="1498"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KTC 95%</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p</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p</w:t>
            </w:r>
            <w:r>
              <w:rPr>
                <w:rFonts w:ascii="Times New Roman" w:hAnsi="Times New Roman"/>
                <w:sz w:val="20"/>
              </w:rPr>
              <w:t xml:space="preserve"> </w:t>
            </w:r>
            <w:r>
              <w:rPr>
                <w:rFonts w:ascii="Times New Roman" w:hAnsi="Times New Roman"/>
                <w:sz w:val="20"/>
              </w:rPr>
              <w:t xml:space="preserve">BH</w:t>
            </w:r>
            <w:r>
              <w:rPr>
                <w:rFonts w:ascii="Times New Roman" w:hAnsi="Times New Roman"/>
                <w:sz w:val="20"/>
                <w:vertAlign w:val="superscript"/>
              </w:rPr>
              <w:t xml:space="preserve">b</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Mô hình riêng</w:t>
            </w:r>
          </w:p>
        </w:tc>
        <w:tc>
          <w:tcPr>
            <w:tcW w:w="2527" w:type="dxa"/>
          </w:tcPr>
          <w:p>
            <w:pPr>
              <w:pStyle w:val="Compact"/>
              <w:spacing w:before="0" w:after="0" w:line="240" w:lineRule="auto"/>
              <w:ind w:firstLine="0" w:left="0"/>
              <w:jc w:val="left"/>
            </w:pPr>
            <w:r>
              <w:rPr>
                <w:rFonts w:ascii="Times New Roman" w:hAnsi="Times New Roman"/>
                <w:sz w:val="20"/>
              </w:rPr>
              <w:t xml:space="preserve">Trong giao tiếp (1–3)</w:t>
            </w:r>
          </w:p>
        </w:tc>
        <w:tc>
          <w:tcPr>
            <w:tcW w:w="1123" w:type="dxa"/>
          </w:tcPr>
          <w:p>
            <w:pPr>
              <w:pStyle w:val="Compact"/>
              <w:spacing w:before="0" w:after="0" w:line="240" w:lineRule="auto"/>
              <w:ind w:firstLine="0" w:left="0"/>
              <w:jc w:val="center"/>
            </w:pPr>
            <w:r>
              <w:rPr>
                <w:rFonts w:ascii="Times New Roman" w:hAnsi="Times New Roman"/>
                <w:sz w:val="20"/>
              </w:rPr>
              <w:t xml:space="preserve">0,86</w:t>
            </w:r>
          </w:p>
        </w:tc>
        <w:tc>
          <w:tcPr>
            <w:tcW w:w="749" w:type="dxa"/>
          </w:tcPr>
          <w:p>
            <w:pPr>
              <w:pStyle w:val="Compact"/>
              <w:spacing w:before="0" w:after="0" w:line="240" w:lineRule="auto"/>
              <w:ind w:firstLine="0" w:left="0"/>
              <w:jc w:val="center"/>
            </w:pPr>
            <w:r>
              <w:rPr>
                <w:rFonts w:ascii="Times New Roman" w:hAnsi="Times New Roman"/>
                <w:sz w:val="20"/>
              </w:rPr>
              <w:t xml:space="preserve">0,24</w:t>
            </w:r>
          </w:p>
        </w:tc>
        <w:tc>
          <w:tcPr>
            <w:tcW w:w="1498" w:type="dxa"/>
          </w:tcPr>
          <w:p>
            <w:pPr>
              <w:pStyle w:val="Compact"/>
              <w:spacing w:before="0" w:after="0" w:line="240" w:lineRule="auto"/>
              <w:ind w:firstLine="0" w:left="0"/>
              <w:jc w:val="center"/>
            </w:pPr>
            <w:r>
              <w:rPr>
                <w:rFonts w:ascii="Times New Roman" w:hAnsi="Times New Roman"/>
                <w:sz w:val="20"/>
              </w:rPr>
              <w:t xml:space="preserve">[0,38; 1,33]</w:t>
            </w:r>
          </w:p>
        </w:tc>
        <w:tc>
          <w:tcPr>
            <w:tcW w:w="936" w:type="dxa"/>
          </w:tcPr>
          <w:p>
            <w:pPr>
              <w:pStyle w:val="Compact"/>
              <w:spacing w:before="0" w:after="0" w:line="240" w:lineRule="auto"/>
              <w:ind w:firstLine="0" w:left="0"/>
              <w:jc w:val="center"/>
            </w:pPr>
            <w:r>
              <w:rPr>
                <w:rFonts w:ascii="Times New Roman" w:hAnsi="Times New Roman"/>
                <w:sz w:val="20"/>
              </w:rPr>
              <w:t xml:space="preserve">&lt; 0,001</w:t>
            </w:r>
          </w:p>
        </w:tc>
        <w:tc>
          <w:tcPr>
            <w:tcW w:w="936" w:type="dxa"/>
          </w:tcPr>
          <w:p>
            <w:pPr>
              <w:pStyle w:val="Compact"/>
              <w:spacing w:before="0" w:after="0" w:line="240" w:lineRule="auto"/>
              <w:ind w:firstLine="0" w:left="0"/>
              <w:jc w:val="center"/>
            </w:pPr>
            <w:r>
              <w:rPr>
                <w:rFonts w:ascii="Times New Roman" w:hAnsi="Times New Roman"/>
                <w:sz w:val="20"/>
              </w:rPr>
              <w:t xml:space="preserve">0,002</w:t>
            </w:r>
          </w:p>
        </w:tc>
      </w:tr>
      <w:tr>
        <w:trPr>
          <w:cantSplit/>
        </w:trPr>
        <w:tc>
          <w:tcPr>
            <w:tcW w:w="1591" w:type="dxa"/>
          </w:tcPr>
          <w:p>
            <w:pPr>
              <w:pStyle w:val="Compact"/>
              <w:spacing w:before="0" w:after="0" w:line="240" w:lineRule="auto"/>
              <w:ind w:firstLine="0" w:left="0"/>
              <w:jc w:val="left"/>
            </w:pPr>
          </w:p>
        </w:tc>
        <w:tc>
          <w:tcPr>
            <w:tcW w:w="2527" w:type="dxa"/>
          </w:tcPr>
          <w:p>
            <w:pPr>
              <w:pStyle w:val="Compact"/>
              <w:spacing w:before="0" w:after="0" w:line="240" w:lineRule="auto"/>
              <w:ind w:firstLine="0" w:left="0"/>
              <w:jc w:val="left"/>
            </w:pPr>
            <w:r>
              <w:rPr>
                <w:rFonts w:ascii="Times New Roman" w:hAnsi="Times New Roman"/>
                <w:sz w:val="20"/>
              </w:rPr>
              <w:t xml:space="preserve">Liên quan đến nghề nghiệp (4–6)</w:t>
            </w:r>
          </w:p>
        </w:tc>
        <w:tc>
          <w:tcPr>
            <w:tcW w:w="1123" w:type="dxa"/>
          </w:tcPr>
          <w:p>
            <w:pPr>
              <w:pStyle w:val="Compact"/>
              <w:spacing w:before="0" w:after="0" w:line="240" w:lineRule="auto"/>
              <w:ind w:firstLine="0" w:left="0"/>
              <w:jc w:val="center"/>
            </w:pPr>
            <w:r>
              <w:rPr>
                <w:rFonts w:ascii="Times New Roman" w:hAnsi="Times New Roman"/>
                <w:sz w:val="20"/>
              </w:rPr>
              <w:t xml:space="preserve">0,49</w:t>
            </w:r>
          </w:p>
        </w:tc>
        <w:tc>
          <w:tcPr>
            <w:tcW w:w="749" w:type="dxa"/>
          </w:tcPr>
          <w:p>
            <w:pPr>
              <w:pStyle w:val="Compact"/>
              <w:spacing w:before="0" w:after="0" w:line="240" w:lineRule="auto"/>
              <w:ind w:firstLine="0" w:left="0"/>
              <w:jc w:val="center"/>
            </w:pPr>
            <w:r>
              <w:rPr>
                <w:rFonts w:ascii="Times New Roman" w:hAnsi="Times New Roman"/>
                <w:sz w:val="20"/>
              </w:rPr>
              <w:t xml:space="preserve">0,31</w:t>
            </w:r>
          </w:p>
        </w:tc>
        <w:tc>
          <w:tcPr>
            <w:tcW w:w="1498" w:type="dxa"/>
          </w:tcPr>
          <w:p>
            <w:pPr>
              <w:pStyle w:val="Compact"/>
              <w:spacing w:before="0" w:after="0" w:line="240" w:lineRule="auto"/>
              <w:ind w:firstLine="0" w:left="0"/>
              <w:jc w:val="center"/>
            </w:pPr>
            <w:r>
              <w:rPr>
                <w:rFonts w:ascii="Times New Roman" w:hAnsi="Times New Roman"/>
                <w:sz w:val="20"/>
              </w:rPr>
              <w:t xml:space="preserve">[−0,12; 1,09]</w:t>
            </w:r>
          </w:p>
        </w:tc>
        <w:tc>
          <w:tcPr>
            <w:tcW w:w="936" w:type="dxa"/>
          </w:tcPr>
          <w:p>
            <w:pPr>
              <w:pStyle w:val="Compact"/>
              <w:spacing w:before="0" w:after="0" w:line="240" w:lineRule="auto"/>
              <w:ind w:firstLine="0" w:left="0"/>
              <w:jc w:val="center"/>
            </w:pPr>
            <w:r>
              <w:rPr>
                <w:rFonts w:ascii="Times New Roman" w:hAnsi="Times New Roman"/>
                <w:sz w:val="20"/>
              </w:rPr>
              <w:t xml:space="preserve">0,116</w:t>
            </w:r>
          </w:p>
        </w:tc>
        <w:tc>
          <w:tcPr>
            <w:tcW w:w="936" w:type="dxa"/>
          </w:tcPr>
          <w:p>
            <w:pPr>
              <w:pStyle w:val="Compact"/>
              <w:spacing w:before="0" w:after="0" w:line="240" w:lineRule="auto"/>
              <w:ind w:firstLine="0" w:left="0"/>
              <w:jc w:val="center"/>
            </w:pPr>
            <w:r>
              <w:rPr>
                <w:rFonts w:ascii="Times New Roman" w:hAnsi="Times New Roman"/>
                <w:sz w:val="20"/>
              </w:rPr>
              <w:t xml:space="preserve">0,174</w:t>
            </w:r>
          </w:p>
        </w:tc>
      </w:tr>
      <w:tr>
        <w:trPr>
          <w:cantSplit/>
        </w:trPr>
        <w:tc>
          <w:tcPr>
            <w:tcW w:w="1591" w:type="dxa"/>
          </w:tcPr>
          <w:p>
            <w:pPr>
              <w:pStyle w:val="Compact"/>
              <w:spacing w:before="0" w:after="0" w:line="240" w:lineRule="auto"/>
              <w:ind w:firstLine="0" w:left="0"/>
              <w:jc w:val="left"/>
            </w:pPr>
          </w:p>
        </w:tc>
        <w:tc>
          <w:tcPr>
            <w:tcW w:w="2527" w:type="dxa"/>
          </w:tcPr>
          <w:p>
            <w:pPr>
              <w:pStyle w:val="Compact"/>
              <w:spacing w:before="0" w:after="0" w:line="240" w:lineRule="auto"/>
              <w:ind w:firstLine="0" w:left="0"/>
              <w:jc w:val="left"/>
            </w:pPr>
            <w:r>
              <w:rPr>
                <w:rFonts w:ascii="Times New Roman" w:hAnsi="Times New Roman"/>
                <w:sz w:val="20"/>
              </w:rPr>
              <w:t xml:space="preserve">Thể hiện giới (7–8)</w:t>
            </w:r>
          </w:p>
        </w:tc>
        <w:tc>
          <w:tcPr>
            <w:tcW w:w="1123" w:type="dxa"/>
          </w:tcPr>
          <w:p>
            <w:pPr>
              <w:pStyle w:val="Compact"/>
              <w:spacing w:before="0" w:after="0" w:line="240" w:lineRule="auto"/>
              <w:ind w:firstLine="0" w:left="0"/>
              <w:jc w:val="center"/>
            </w:pPr>
            <w:r>
              <w:rPr>
                <w:rFonts w:ascii="Times New Roman" w:hAnsi="Times New Roman"/>
                <w:sz w:val="20"/>
              </w:rPr>
              <w:t xml:space="preserve">0,35</w:t>
            </w:r>
          </w:p>
        </w:tc>
        <w:tc>
          <w:tcPr>
            <w:tcW w:w="749" w:type="dxa"/>
          </w:tcPr>
          <w:p>
            <w:pPr>
              <w:pStyle w:val="Compact"/>
              <w:spacing w:before="0" w:after="0" w:line="240" w:lineRule="auto"/>
              <w:ind w:firstLine="0" w:left="0"/>
              <w:jc w:val="center"/>
            </w:pPr>
            <w:r>
              <w:rPr>
                <w:rFonts w:ascii="Times New Roman" w:hAnsi="Times New Roman"/>
                <w:sz w:val="20"/>
              </w:rPr>
              <w:t xml:space="preserve">0,33</w:t>
            </w:r>
          </w:p>
        </w:tc>
        <w:tc>
          <w:tcPr>
            <w:tcW w:w="1498" w:type="dxa"/>
          </w:tcPr>
          <w:p>
            <w:pPr>
              <w:pStyle w:val="Compact"/>
              <w:spacing w:before="0" w:after="0" w:line="240" w:lineRule="auto"/>
              <w:ind w:firstLine="0" w:left="0"/>
              <w:jc w:val="center"/>
            </w:pPr>
            <w:r>
              <w:rPr>
                <w:rFonts w:ascii="Times New Roman" w:hAnsi="Times New Roman"/>
                <w:sz w:val="20"/>
              </w:rPr>
              <w:t xml:space="preserve">[−0,30; 0,99]</w:t>
            </w:r>
          </w:p>
        </w:tc>
        <w:tc>
          <w:tcPr>
            <w:tcW w:w="936" w:type="dxa"/>
          </w:tcPr>
          <w:p>
            <w:pPr>
              <w:pStyle w:val="Compact"/>
              <w:spacing w:before="0" w:after="0" w:line="240" w:lineRule="auto"/>
              <w:ind w:firstLine="0" w:left="0"/>
              <w:jc w:val="center"/>
            </w:pPr>
            <w:r>
              <w:rPr>
                <w:rFonts w:ascii="Times New Roman" w:hAnsi="Times New Roman"/>
                <w:sz w:val="20"/>
              </w:rPr>
              <w:t xml:space="preserve">0,289</w:t>
            </w:r>
          </w:p>
        </w:tc>
        <w:tc>
          <w:tcPr>
            <w:tcW w:w="936" w:type="dxa"/>
          </w:tcPr>
          <w:p>
            <w:pPr>
              <w:pStyle w:val="Compact"/>
              <w:spacing w:before="0" w:after="0" w:line="240" w:lineRule="auto"/>
              <w:ind w:firstLine="0" w:left="0"/>
              <w:jc w:val="center"/>
            </w:pPr>
            <w:r>
              <w:rPr>
                <w:rFonts w:ascii="Times New Roman" w:hAnsi="Times New Roman"/>
                <w:sz w:val="20"/>
              </w:rPr>
              <w:t xml:space="preserve">0,289</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Mô hình chung</w:t>
            </w:r>
          </w:p>
        </w:tc>
        <w:tc>
          <w:tcPr>
            <w:tcW w:w="2527" w:type="dxa"/>
          </w:tcPr>
          <w:p>
            <w:pPr>
              <w:pStyle w:val="Compact"/>
              <w:spacing w:before="0" w:after="0" w:line="240" w:lineRule="auto"/>
              <w:ind w:firstLine="0" w:left="0"/>
              <w:jc w:val="left"/>
            </w:pPr>
            <w:r>
              <w:rPr>
                <w:rFonts w:ascii="Times New Roman" w:hAnsi="Times New Roman"/>
                <w:sz w:val="20"/>
              </w:rPr>
              <w:t xml:space="preserve">Trong giao tiếp (1–3)</w:t>
            </w:r>
          </w:p>
        </w:tc>
        <w:tc>
          <w:tcPr>
            <w:tcW w:w="1123" w:type="dxa"/>
          </w:tcPr>
          <w:p>
            <w:pPr>
              <w:pStyle w:val="Compact"/>
              <w:spacing w:before="0" w:after="0" w:line="240" w:lineRule="auto"/>
              <w:ind w:firstLine="0" w:left="0"/>
              <w:jc w:val="center"/>
            </w:pPr>
            <w:r>
              <w:rPr>
                <w:rFonts w:ascii="Times New Roman" w:hAnsi="Times New Roman"/>
                <w:sz w:val="20"/>
              </w:rPr>
              <w:t xml:space="preserve">0,77</w:t>
            </w:r>
          </w:p>
        </w:tc>
        <w:tc>
          <w:tcPr>
            <w:tcW w:w="749" w:type="dxa"/>
          </w:tcPr>
          <w:p>
            <w:pPr>
              <w:pStyle w:val="Compact"/>
              <w:spacing w:before="0" w:after="0" w:line="240" w:lineRule="auto"/>
              <w:ind w:firstLine="0" w:left="0"/>
              <w:jc w:val="center"/>
            </w:pPr>
            <w:r>
              <w:rPr>
                <w:rFonts w:ascii="Times New Roman" w:hAnsi="Times New Roman"/>
                <w:sz w:val="20"/>
              </w:rPr>
              <w:t xml:space="preserve">0,26</w:t>
            </w:r>
          </w:p>
        </w:tc>
        <w:tc>
          <w:tcPr>
            <w:tcW w:w="1498" w:type="dxa"/>
          </w:tcPr>
          <w:p>
            <w:pPr>
              <w:pStyle w:val="Compact"/>
              <w:spacing w:before="0" w:after="0" w:line="240" w:lineRule="auto"/>
              <w:ind w:firstLine="0" w:left="0"/>
              <w:jc w:val="center"/>
            </w:pPr>
            <w:r>
              <w:rPr>
                <w:rFonts w:ascii="Times New Roman" w:hAnsi="Times New Roman"/>
                <w:sz w:val="20"/>
              </w:rPr>
              <w:t xml:space="preserve">[0,25; 1,29]</w:t>
            </w:r>
          </w:p>
        </w:tc>
        <w:tc>
          <w:tcPr>
            <w:tcW w:w="936" w:type="dxa"/>
          </w:tcPr>
          <w:p>
            <w:pPr>
              <w:pStyle w:val="Compact"/>
              <w:spacing w:before="0" w:after="0" w:line="240" w:lineRule="auto"/>
              <w:ind w:firstLine="0" w:left="0"/>
              <w:jc w:val="center"/>
            </w:pPr>
            <w:r>
              <w:rPr>
                <w:rFonts w:ascii="Times New Roman" w:hAnsi="Times New Roman"/>
                <w:sz w:val="20"/>
              </w:rPr>
              <w:t xml:space="preserve">0,004</w:t>
            </w:r>
          </w:p>
        </w:tc>
        <w:tc>
          <w:tcPr>
            <w:tcW w:w="936" w:type="dxa"/>
          </w:tcPr>
          <w:p>
            <w:pPr>
              <w:pStyle w:val="Compact"/>
              <w:spacing w:before="0" w:after="0" w:line="240" w:lineRule="auto"/>
              <w:ind w:firstLine="0" w:left="0"/>
              <w:jc w:val="center"/>
            </w:pPr>
          </w:p>
        </w:tc>
      </w:tr>
      <w:tr>
        <w:trPr>
          <w:cantSplit/>
        </w:trPr>
        <w:tc>
          <w:tcPr>
            <w:tcW w:w="1591" w:type="dxa"/>
          </w:tcPr>
          <w:p>
            <w:pPr>
              <w:pStyle w:val="Compact"/>
              <w:spacing w:before="0" w:after="0" w:line="240" w:lineRule="auto"/>
              <w:ind w:firstLine="0" w:left="0"/>
              <w:jc w:val="left"/>
            </w:pPr>
          </w:p>
        </w:tc>
        <w:tc>
          <w:tcPr>
            <w:tcW w:w="2527" w:type="dxa"/>
          </w:tcPr>
          <w:p>
            <w:pPr>
              <w:pStyle w:val="Compact"/>
              <w:spacing w:before="0" w:after="0" w:line="240" w:lineRule="auto"/>
              <w:ind w:firstLine="0" w:left="0"/>
              <w:jc w:val="left"/>
            </w:pPr>
            <w:r>
              <w:rPr>
                <w:rFonts w:ascii="Times New Roman" w:hAnsi="Times New Roman"/>
                <w:sz w:val="20"/>
              </w:rPr>
              <w:t xml:space="preserve">Liên quan đến nghề nghiệp (4–6)</w:t>
            </w:r>
          </w:p>
        </w:tc>
        <w:tc>
          <w:tcPr>
            <w:tcW w:w="1123" w:type="dxa"/>
          </w:tcPr>
          <w:p>
            <w:pPr>
              <w:pStyle w:val="Compact"/>
              <w:spacing w:before="0" w:after="0" w:line="240" w:lineRule="auto"/>
              <w:ind w:firstLine="0" w:left="0"/>
              <w:jc w:val="center"/>
            </w:pPr>
            <w:r>
              <w:rPr>
                <w:rFonts w:ascii="Times New Roman" w:hAnsi="Times New Roman"/>
                <w:sz w:val="20"/>
              </w:rPr>
              <w:t xml:space="preserve">0,18</w:t>
            </w:r>
          </w:p>
        </w:tc>
        <w:tc>
          <w:tcPr>
            <w:tcW w:w="749" w:type="dxa"/>
          </w:tcPr>
          <w:p>
            <w:pPr>
              <w:pStyle w:val="Compact"/>
              <w:spacing w:before="0" w:after="0" w:line="240" w:lineRule="auto"/>
              <w:ind w:firstLine="0" w:left="0"/>
              <w:jc w:val="center"/>
            </w:pPr>
            <w:r>
              <w:rPr>
                <w:rFonts w:ascii="Times New Roman" w:hAnsi="Times New Roman"/>
                <w:sz w:val="20"/>
              </w:rPr>
              <w:t xml:space="preserve">0,38</w:t>
            </w:r>
          </w:p>
        </w:tc>
        <w:tc>
          <w:tcPr>
            <w:tcW w:w="1498" w:type="dxa"/>
          </w:tcPr>
          <w:p>
            <w:pPr>
              <w:pStyle w:val="Compact"/>
              <w:spacing w:before="0" w:after="0" w:line="240" w:lineRule="auto"/>
              <w:ind w:firstLine="0" w:left="0"/>
              <w:jc w:val="center"/>
            </w:pPr>
            <w:r>
              <w:rPr>
                <w:rFonts w:ascii="Times New Roman" w:hAnsi="Times New Roman"/>
                <w:sz w:val="20"/>
              </w:rPr>
              <w:t xml:space="preserve">[−0,56; 0,92]</w:t>
            </w:r>
          </w:p>
        </w:tc>
        <w:tc>
          <w:tcPr>
            <w:tcW w:w="936" w:type="dxa"/>
          </w:tcPr>
          <w:p>
            <w:pPr>
              <w:pStyle w:val="Compact"/>
              <w:spacing w:before="0" w:after="0" w:line="240" w:lineRule="auto"/>
              <w:ind w:firstLine="0" w:left="0"/>
              <w:jc w:val="center"/>
            </w:pPr>
            <w:r>
              <w:rPr>
                <w:rFonts w:ascii="Times New Roman" w:hAnsi="Times New Roman"/>
                <w:sz w:val="20"/>
              </w:rPr>
              <w:t xml:space="preserve">0,640</w:t>
            </w:r>
          </w:p>
        </w:tc>
        <w:tc>
          <w:tcPr>
            <w:tcW w:w="936" w:type="dxa"/>
          </w:tcPr>
          <w:p>
            <w:pPr>
              <w:pStyle w:val="Compact"/>
              <w:spacing w:before="0" w:after="0" w:line="240" w:lineRule="auto"/>
              <w:ind w:firstLine="0" w:left="0"/>
              <w:jc w:val="center"/>
            </w:pPr>
          </w:p>
        </w:tc>
      </w:tr>
      <w:tr>
        <w:trPr>
          <w:cantSplit/>
        </w:trPr>
        <w:tc>
          <w:tcPr>
            <w:tcW w:w="1591" w:type="dxa"/>
          </w:tcPr>
          <w:p>
            <w:pPr>
              <w:pStyle w:val="Compact"/>
              <w:spacing w:before="0" w:after="0" w:line="240" w:lineRule="auto"/>
              <w:ind w:firstLine="0" w:left="0"/>
              <w:jc w:val="left"/>
            </w:pPr>
          </w:p>
        </w:tc>
        <w:tc>
          <w:tcPr>
            <w:tcW w:w="2527" w:type="dxa"/>
          </w:tcPr>
          <w:p>
            <w:pPr>
              <w:pStyle w:val="Compact"/>
              <w:spacing w:before="0" w:after="0" w:line="240" w:lineRule="auto"/>
              <w:ind w:firstLine="0" w:left="0"/>
              <w:jc w:val="left"/>
            </w:pPr>
            <w:r>
              <w:rPr>
                <w:rFonts w:ascii="Times New Roman" w:hAnsi="Times New Roman"/>
                <w:sz w:val="20"/>
              </w:rPr>
              <w:t xml:space="preserve">Thể hiện giới (7–8)</w:t>
            </w:r>
          </w:p>
        </w:tc>
        <w:tc>
          <w:tcPr>
            <w:tcW w:w="1123" w:type="dxa"/>
          </w:tcPr>
          <w:p>
            <w:pPr>
              <w:pStyle w:val="Compact"/>
              <w:spacing w:before="0" w:after="0" w:line="240" w:lineRule="auto"/>
              <w:ind w:firstLine="0" w:left="0"/>
              <w:jc w:val="center"/>
            </w:pPr>
            <w:r>
              <w:rPr>
                <w:rFonts w:ascii="Times New Roman" w:hAnsi="Times New Roman"/>
                <w:sz w:val="20"/>
              </w:rPr>
              <w:t xml:space="preserve">0,06</w:t>
            </w:r>
          </w:p>
        </w:tc>
        <w:tc>
          <w:tcPr>
            <w:tcW w:w="749" w:type="dxa"/>
          </w:tcPr>
          <w:p>
            <w:pPr>
              <w:pStyle w:val="Compact"/>
              <w:spacing w:before="0" w:after="0" w:line="240" w:lineRule="auto"/>
              <w:ind w:firstLine="0" w:left="0"/>
              <w:jc w:val="center"/>
            </w:pPr>
            <w:r>
              <w:rPr>
                <w:rFonts w:ascii="Times New Roman" w:hAnsi="Times New Roman"/>
                <w:sz w:val="20"/>
              </w:rPr>
              <w:t xml:space="preserve">0,31</w:t>
            </w:r>
          </w:p>
        </w:tc>
        <w:tc>
          <w:tcPr>
            <w:tcW w:w="1498" w:type="dxa"/>
          </w:tcPr>
          <w:p>
            <w:pPr>
              <w:pStyle w:val="Compact"/>
              <w:spacing w:before="0" w:after="0" w:line="240" w:lineRule="auto"/>
              <w:ind w:firstLine="0" w:left="0"/>
              <w:jc w:val="center"/>
            </w:pPr>
            <w:r>
              <w:rPr>
                <w:rFonts w:ascii="Times New Roman" w:hAnsi="Times New Roman"/>
                <w:sz w:val="20"/>
              </w:rPr>
              <w:t xml:space="preserve">[−0,56; 0,68]</w:t>
            </w:r>
          </w:p>
        </w:tc>
        <w:tc>
          <w:tcPr>
            <w:tcW w:w="936" w:type="dxa"/>
          </w:tcPr>
          <w:p>
            <w:pPr>
              <w:pStyle w:val="Compact"/>
              <w:spacing w:before="0" w:after="0" w:line="240" w:lineRule="auto"/>
              <w:ind w:firstLine="0" w:left="0"/>
              <w:jc w:val="center"/>
            </w:pPr>
            <w:r>
              <w:rPr>
                <w:rFonts w:ascii="Times New Roman" w:hAnsi="Times New Roman"/>
                <w:sz w:val="20"/>
              </w:rPr>
              <w:t xml:space="preserve">0,848</w:t>
            </w:r>
          </w:p>
        </w:tc>
        <w:tc>
          <w:tcPr>
            <w:tcW w:w="936" w:type="dxa"/>
          </w:tcPr>
          <w:p>
            <w:pPr>
              <w:pStyle w:val="Compact"/>
              <w:spacing w:before="0" w:after="0" w:line="240" w:lineRule="auto"/>
              <w:ind w:firstLine="0" w:left="0"/>
              <w:jc w:val="center"/>
            </w:pP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Mô hình chung, hiệu số</w:t>
            </w:r>
            <w:r>
              <w:rPr>
                <w:rFonts w:ascii="Times New Roman" w:hAnsi="Times New Roman"/>
                <w:sz w:val="20"/>
                <w:vertAlign w:val="superscript"/>
              </w:rPr>
              <w:t xml:space="preserve">c</w:t>
            </w:r>
          </w:p>
        </w:tc>
        <w:tc>
          <w:tcPr>
            <w:tcW w:w="2527" w:type="dxa"/>
          </w:tcPr>
          <w:p>
            <w:pPr>
              <w:pStyle w:val="Compact"/>
              <w:spacing w:before="0" w:after="0" w:line="240" w:lineRule="auto"/>
              <w:ind w:firstLine="0" w:left="0"/>
              <w:jc w:val="left"/>
            </w:pPr>
            <w:r>
              <w:rPr>
                <w:rFonts w:ascii="Times New Roman" w:hAnsi="Times New Roman"/>
                <w:sz w:val="20"/>
              </w:rPr>
              <w:t xml:space="preserve">Giao tiếp trừ nghề nghiệp</w:t>
            </w:r>
          </w:p>
        </w:tc>
        <w:tc>
          <w:tcPr>
            <w:tcW w:w="1123" w:type="dxa"/>
          </w:tcPr>
          <w:p>
            <w:pPr>
              <w:pStyle w:val="Compact"/>
              <w:spacing w:before="0" w:after="0" w:line="240" w:lineRule="auto"/>
              <w:ind w:firstLine="0" w:left="0"/>
              <w:jc w:val="center"/>
            </w:pPr>
            <w:r>
              <w:rPr>
                <w:rFonts w:ascii="Times New Roman" w:hAnsi="Times New Roman"/>
                <w:sz w:val="20"/>
              </w:rPr>
              <w:t xml:space="preserve">0,59</w:t>
            </w:r>
          </w:p>
        </w:tc>
        <w:tc>
          <w:tcPr>
            <w:tcW w:w="749" w:type="dxa"/>
          </w:tcPr>
          <w:p>
            <w:pPr>
              <w:pStyle w:val="Compact"/>
              <w:spacing w:before="0" w:after="0" w:line="240" w:lineRule="auto"/>
              <w:ind w:firstLine="0" w:left="0"/>
              <w:jc w:val="center"/>
            </w:pPr>
            <w:r>
              <w:rPr>
                <w:rFonts w:ascii="Times New Roman" w:hAnsi="Times New Roman"/>
                <w:sz w:val="20"/>
              </w:rPr>
              <w:t xml:space="preserve">0,53</w:t>
            </w:r>
          </w:p>
        </w:tc>
        <w:tc>
          <w:tcPr>
            <w:tcW w:w="1498" w:type="dxa"/>
          </w:tcPr>
          <w:p>
            <w:pPr>
              <w:pStyle w:val="Compact"/>
              <w:spacing w:before="0" w:after="0" w:line="240" w:lineRule="auto"/>
              <w:ind w:firstLine="0" w:left="0"/>
              <w:jc w:val="center"/>
            </w:pPr>
            <w:r>
              <w:rPr>
                <w:rFonts w:ascii="Times New Roman" w:hAnsi="Times New Roman"/>
                <w:sz w:val="20"/>
              </w:rPr>
              <w:t xml:space="preserve">[−0,46; 1,65]</w:t>
            </w:r>
          </w:p>
        </w:tc>
        <w:tc>
          <w:tcPr>
            <w:tcW w:w="936" w:type="dxa"/>
          </w:tcPr>
          <w:p>
            <w:pPr>
              <w:pStyle w:val="Compact"/>
              <w:spacing w:before="0" w:after="0" w:line="240" w:lineRule="auto"/>
              <w:ind w:firstLine="0" w:left="0"/>
              <w:jc w:val="center"/>
            </w:pPr>
            <w:r>
              <w:rPr>
                <w:rFonts w:ascii="Times New Roman" w:hAnsi="Times New Roman"/>
                <w:sz w:val="20"/>
              </w:rPr>
              <w:t xml:space="preserve">0,267</w:t>
            </w:r>
          </w:p>
        </w:tc>
        <w:tc>
          <w:tcPr>
            <w:tcW w:w="936" w:type="dxa"/>
          </w:tcPr>
          <w:p>
            <w:pPr>
              <w:pStyle w:val="Compact"/>
              <w:spacing w:before="0" w:after="0" w:line="240" w:lineRule="auto"/>
              <w:ind w:firstLine="0" w:left="0"/>
              <w:jc w:val="center"/>
            </w:pPr>
          </w:p>
        </w:tc>
      </w:tr>
      <w:tr>
        <w:trPr>
          <w:cantSplit/>
        </w:trPr>
        <w:tc>
          <w:tcPr>
            <w:tcW w:w="1591" w:type="dxa"/>
          </w:tcPr>
          <w:p>
            <w:pPr>
              <w:pStyle w:val="Compact"/>
              <w:spacing w:before="0" w:after="0" w:line="240" w:lineRule="auto"/>
              <w:ind w:firstLine="0" w:left="0"/>
              <w:jc w:val="left"/>
            </w:pPr>
          </w:p>
        </w:tc>
        <w:tc>
          <w:tcPr>
            <w:tcW w:w="2527" w:type="dxa"/>
          </w:tcPr>
          <w:p>
            <w:pPr>
              <w:pStyle w:val="Compact"/>
              <w:spacing w:before="0" w:after="0" w:line="240" w:lineRule="auto"/>
              <w:ind w:firstLine="0" w:left="0"/>
              <w:jc w:val="left"/>
            </w:pPr>
            <w:r>
              <w:rPr>
                <w:rFonts w:ascii="Times New Roman" w:hAnsi="Times New Roman"/>
                <w:sz w:val="20"/>
              </w:rPr>
              <w:t xml:space="preserve">Giao tiếp trừ thể hiện giới</w:t>
            </w:r>
          </w:p>
        </w:tc>
        <w:tc>
          <w:tcPr>
            <w:tcW w:w="1123" w:type="dxa"/>
          </w:tcPr>
          <w:p>
            <w:pPr>
              <w:pStyle w:val="Compact"/>
              <w:spacing w:before="0" w:after="0" w:line="240" w:lineRule="auto"/>
              <w:ind w:firstLine="0" w:left="0"/>
              <w:jc w:val="center"/>
            </w:pPr>
            <w:r>
              <w:rPr>
                <w:rFonts w:ascii="Times New Roman" w:hAnsi="Times New Roman"/>
                <w:sz w:val="20"/>
              </w:rPr>
              <w:t xml:space="preserve">0,71</w:t>
            </w:r>
          </w:p>
        </w:tc>
        <w:tc>
          <w:tcPr>
            <w:tcW w:w="749" w:type="dxa"/>
          </w:tcPr>
          <w:p>
            <w:pPr>
              <w:pStyle w:val="Compact"/>
              <w:spacing w:before="0" w:after="0" w:line="240" w:lineRule="auto"/>
              <w:ind w:firstLine="0" w:left="0"/>
              <w:jc w:val="center"/>
            </w:pPr>
            <w:r>
              <w:rPr>
                <w:rFonts w:ascii="Times New Roman" w:hAnsi="Times New Roman"/>
                <w:sz w:val="20"/>
              </w:rPr>
              <w:t xml:space="preserve">0,40</w:t>
            </w:r>
          </w:p>
        </w:tc>
        <w:tc>
          <w:tcPr>
            <w:tcW w:w="1498" w:type="dxa"/>
          </w:tcPr>
          <w:p>
            <w:pPr>
              <w:pStyle w:val="Compact"/>
              <w:spacing w:before="0" w:after="0" w:line="240" w:lineRule="auto"/>
              <w:ind w:firstLine="0" w:left="0"/>
              <w:jc w:val="center"/>
            </w:pPr>
            <w:r>
              <w:rPr>
                <w:rFonts w:ascii="Times New Roman" w:hAnsi="Times New Roman"/>
                <w:sz w:val="20"/>
              </w:rPr>
              <w:t xml:space="preserve">[−0,08; 1,50]</w:t>
            </w:r>
          </w:p>
        </w:tc>
        <w:tc>
          <w:tcPr>
            <w:tcW w:w="936" w:type="dxa"/>
          </w:tcPr>
          <w:p>
            <w:pPr>
              <w:pStyle w:val="Compact"/>
              <w:spacing w:before="0" w:after="0" w:line="240" w:lineRule="auto"/>
              <w:ind w:firstLine="0" w:left="0"/>
              <w:jc w:val="center"/>
            </w:pPr>
            <w:r>
              <w:rPr>
                <w:rFonts w:ascii="Times New Roman" w:hAnsi="Times New Roman"/>
                <w:sz w:val="20"/>
              </w:rPr>
              <w:t xml:space="preserve">0,079</w:t>
            </w:r>
          </w:p>
        </w:tc>
        <w:tc>
          <w:tcPr>
            <w:tcW w:w="936" w:type="dxa"/>
          </w:tcPr>
          <w:p>
            <w:pPr>
              <w:pStyle w:val="Compact"/>
              <w:spacing w:before="0" w:after="0" w:line="240" w:lineRule="auto"/>
              <w:ind w:firstLine="0" w:left="0"/>
              <w:jc w:val="center"/>
            </w:pPr>
          </w:p>
        </w:tc>
      </w:tr>
      <w:tr>
        <w:trPr>
          <w:cantSplit/>
        </w:trPr>
        <w:tc>
          <w:tcPr>
            <w:tcW w:w="1591" w:type="dxa"/>
          </w:tcPr>
          <w:p>
            <w:pPr>
              <w:pStyle w:val="Compact"/>
              <w:spacing w:before="0" w:after="0" w:line="240" w:lineRule="auto"/>
              <w:ind w:firstLine="0" w:left="0"/>
              <w:jc w:val="left"/>
            </w:pPr>
          </w:p>
        </w:tc>
        <w:tc>
          <w:tcPr>
            <w:tcW w:w="2527" w:type="dxa"/>
          </w:tcPr>
          <w:p>
            <w:pPr>
              <w:pStyle w:val="Compact"/>
              <w:spacing w:before="0" w:after="0" w:line="240" w:lineRule="auto"/>
              <w:ind w:firstLine="0" w:left="0"/>
              <w:jc w:val="left"/>
            </w:pPr>
            <w:r>
              <w:rPr>
                <w:rFonts w:ascii="Times New Roman" w:hAnsi="Times New Roman"/>
                <w:sz w:val="20"/>
              </w:rPr>
              <w:t xml:space="preserve">Nghề nghiệp trừ thể hiện giới</w:t>
            </w:r>
          </w:p>
        </w:tc>
        <w:tc>
          <w:tcPr>
            <w:tcW w:w="1123" w:type="dxa"/>
          </w:tcPr>
          <w:p>
            <w:pPr>
              <w:pStyle w:val="Compact"/>
              <w:spacing w:before="0" w:after="0" w:line="240" w:lineRule="auto"/>
              <w:ind w:firstLine="0" w:left="0"/>
              <w:jc w:val="center"/>
            </w:pPr>
            <w:r>
              <w:rPr>
                <w:rFonts w:ascii="Times New Roman" w:hAnsi="Times New Roman"/>
                <w:sz w:val="20"/>
              </w:rPr>
              <w:t xml:space="preserve">0,12</w:t>
            </w:r>
          </w:p>
        </w:tc>
        <w:tc>
          <w:tcPr>
            <w:tcW w:w="749" w:type="dxa"/>
          </w:tcPr>
          <w:p>
            <w:pPr>
              <w:pStyle w:val="Compact"/>
              <w:spacing w:before="0" w:after="0" w:line="240" w:lineRule="auto"/>
              <w:ind w:firstLine="0" w:left="0"/>
              <w:jc w:val="center"/>
            </w:pPr>
            <w:r>
              <w:rPr>
                <w:rFonts w:ascii="Times New Roman" w:hAnsi="Times New Roman"/>
                <w:sz w:val="20"/>
              </w:rPr>
              <w:t xml:space="preserve">0,57</w:t>
            </w:r>
          </w:p>
        </w:tc>
        <w:tc>
          <w:tcPr>
            <w:tcW w:w="1498" w:type="dxa"/>
          </w:tcPr>
          <w:p>
            <w:pPr>
              <w:pStyle w:val="Compact"/>
              <w:spacing w:before="0" w:after="0" w:line="240" w:lineRule="auto"/>
              <w:ind w:firstLine="0" w:left="0"/>
              <w:jc w:val="center"/>
            </w:pPr>
            <w:r>
              <w:rPr>
                <w:rFonts w:ascii="Times New Roman" w:hAnsi="Times New Roman"/>
                <w:sz w:val="20"/>
              </w:rPr>
              <w:t xml:space="preserve">[−1,00; 1,23]</w:t>
            </w:r>
          </w:p>
        </w:tc>
        <w:tc>
          <w:tcPr>
            <w:tcW w:w="936" w:type="dxa"/>
          </w:tcPr>
          <w:p>
            <w:pPr>
              <w:pStyle w:val="Compact"/>
              <w:spacing w:before="0" w:after="0" w:line="240" w:lineRule="auto"/>
              <w:ind w:firstLine="0" w:left="0"/>
              <w:jc w:val="center"/>
            </w:pPr>
            <w:r>
              <w:rPr>
                <w:rFonts w:ascii="Times New Roman" w:hAnsi="Times New Roman"/>
                <w:sz w:val="20"/>
              </w:rPr>
              <w:t xml:space="preserve">0,838</w:t>
            </w:r>
          </w:p>
        </w:tc>
        <w:tc>
          <w:tcPr>
            <w:tcW w:w="936" w:type="dxa"/>
          </w:tcPr>
          <w:p>
            <w:pPr>
              <w:pStyle w:val="Compact"/>
              <w:spacing w:before="0" w:after="0" w:line="240" w:lineRule="auto"/>
              <w:ind w:firstLine="0" w:left="0"/>
              <w:jc w:val="center"/>
            </w:pPr>
          </w:p>
        </w:tc>
      </w:tr>
    </w:tbl>
    <w:p>
      <w:pPr>
        <w:pStyle w:val="BodyText"/>
      </w:pPr>
      <w:r>
        <w:rPr>
          <w:vertAlign w:val="superscript"/>
        </w:rPr>
        <w:t xml:space="preserve">a</w:t>
      </w:r>
      <w:r>
        <w:t xml:space="preserve"> </w:t>
      </w:r>
      <w:r>
        <w:t xml:space="preserve">Hệ số là chênh lệch điểm PHQ-4 trên một độ lệch chuẩn của mỗi chỉ số thành phần (lần lượt 0,76, 0,45 và 0,61), từ hồi quy OLS với sai số chuẩn HC3 có điều chỉnh các đặc điểm có trước phơi nhiễm.</w:t>
      </w:r>
    </w:p>
    <w:p>
      <w:pPr>
        <w:pStyle w:val="BodyText"/>
      </w:pPr>
      <w:r>
        <w:rPr>
          <w:vertAlign w:val="superscript"/>
        </w:rPr>
        <w:t xml:space="preserve">b</w:t>
      </w:r>
      <w:r>
        <w:t xml:space="preserve"> </w:t>
      </w:r>
      <w:r>
        <w:t xml:space="preserve">Giá trị</w:t>
      </w:r>
      <w:r>
        <w:t xml:space="preserve"> </w:t>
      </w:r>
      <w:r>
        <w:rPr>
          <w:i/>
          <w:iCs/>
        </w:rPr>
        <w:t xml:space="preserve">p</w:t>
      </w:r>
      <w:r>
        <w:t xml:space="preserve"> </w:t>
      </w:r>
      <w:r>
        <w:t xml:space="preserve">hiệu chỉnh bằng thủ tục Benjamini-Hochberg trên ba mô hình riêng.</w:t>
      </w:r>
    </w:p>
    <w:p>
      <w:pPr>
        <w:pStyle w:val="BodyText"/>
      </w:pPr>
      <w:r>
        <w:rPr>
          <w:vertAlign w:val="superscript"/>
        </w:rPr>
        <w:t xml:space="preserve">c</w:t>
      </w:r>
      <w:r>
        <w:t xml:space="preserve"> </w:t>
      </w:r>
      <w:r>
        <w:t xml:space="preserve">Hiệu số giữa các hệ số được kiểm định trực tiếp trong mô hình chung.</w:t>
      </w:r>
    </w:p>
    <w:p>
      <w:pPr>
        <w:pStyle w:val="BodyText"/>
      </w:pPr>
      <w:r>
        <w:t xml:space="preserve">Các mô hình cho từng tình huống cho thấy cùng một xu hướng (Bảng S4). Lời đùa hoặc bình luận xúc phạm (</w:t>
      </w:r>
      <w:r>
        <w:rPr>
          <w:i/>
          <w:iCs/>
        </w:rPr>
        <w:t xml:space="preserve">b</w:t>
      </w:r>
      <w:r>
        <w:t xml:space="preserve"> </w:t>
      </w:r>
      <w:r>
        <w:t xml:space="preserve">= 1,86, KTC 95% [0,81; 2,91]) và câu hỏi riêng tư không mong muốn (</w:t>
      </w:r>
      <w:r>
        <w:rPr>
          <w:i/>
          <w:iCs/>
        </w:rPr>
        <w:t xml:space="preserve">b</w:t>
      </w:r>
      <w:r>
        <w:t xml:space="preserve"> </w:t>
      </w:r>
      <w:r>
        <w:t xml:space="preserve">= 1,87, KTC 95% [0,84; 2,89]) đi kèm điểm PHQ-4 cao hơn sau hiệu chỉnh Benjamini-Hochberg (</w:t>
      </w:r>
      <w:r>
        <w:rPr>
          <w:i/>
          <w:iCs/>
        </w:rPr>
        <w:t xml:space="preserve">p</w:t>
      </w:r>
      <w:r>
        <w:t xml:space="preserve"> </w:t>
      </w:r>
      <w:r>
        <w:t xml:space="preserve">hiệu chỉnh = 0,002 cho cả hai). Hệ số của các tình huống khác đều dương, nhưng khoảng tin cậy chứa không (</w:t>
      </w:r>
      <w:r>
        <w:rPr>
          <w:i/>
          <w:iCs/>
        </w:rPr>
        <w:t xml:space="preserve">p</w:t>
      </w:r>
      <w:r>
        <w:t xml:space="preserve"> </w:t>
      </w:r>
      <w:r>
        <w:t xml:space="preserve">hiệu chỉnh ≥ 0,19), và vì các tình huống này ít gặp hơn nên hệ số được ước lượng kém chính xác hơn. Bị loại khỏi đào tạo không được ước lượng vì có dưới 10 người báo cáo. Khi chia chỉ số thành ba mức, người có phơi nhiễm cao (chỉ số trên 0,43, trung vị ở những người có phơi nhiễm) có điểm cao hơn người không phơi nhiễm 2,32 điểm (KTC 95% [1,08; 3,56]), còn ước lượng cho phơi nhiễm thấp là 1,05 (KTC 95% [−0,08; 2,19]) và chưa xác định.</w:t>
      </w:r>
    </w:p>
    <w:bookmarkEnd w:id="38"/>
    <w:bookmarkStart w:id="42" w:name="phân-tích-độ-nhạy"/>
    <w:p>
      <w:pPr>
        <w:pStyle w:val="Heading2"/>
      </w:pPr>
      <w:r>
        <w:t xml:space="preserve">Phân tích độ nhạy</w:t>
      </w:r>
    </w:p>
    <w:p>
      <w:pPr>
        <w:pStyle w:val="FirstParagraph"/>
      </w:pPr>
      <w:r>
        <w:t xml:space="preserve">Bảng 8 trình bày các phân tích độ nhạy. Ở mọi phân tích giữ chỉ số kỳ thị dưới dạng một biến duy nhất, hệ số đều dương, dao động từ 1,56 đến 2,04 so với 1,85 ở đặc tả chính, và có khoảng tin cậy không chứa không. Ngoại lệ duy nhất là phân tích tách việc có phơi nhiễm khỏi cường độ phơi nhiễm ở những người có phơi nhiễm: cả hai thành phần đều dương nhưng không thành phần nào tự nó phân biệt được với không (có phơi nhiễm: 0,95, KTC 95% [−0,32; 2,22]; cường độ: 1,24, KTC 95% [−0,24; 2,72]). Hàm spline bậc ba có ràng buộc không cho bằng chứng về quan hệ phi tuyến (</w:t>
      </w:r>
      <w:r>
        <w:rPr>
          <w:i/>
          <w:iCs/>
        </w:rPr>
        <w:t xml:space="preserve">p</w:t>
      </w:r>
      <w:r>
        <w:t xml:space="preserve"> </w:t>
      </w:r>
      <w:r>
        <w:t xml:space="preserve">= 0,335). Mô hình logit phân số (1,71, KTC 95% [0,90; 2,53]) và mô hình không có ngành (1,83, KTC 95% [0,71; 2,95]) cho ước lượng gần với ước lượng chính, và wild bootstrap có ràng buộc cho khoảng tin cậy 95% là [0,75; 3,05]. Ước lượng từ gán giá trị đa lần (2,04, KTC 95% [0,99; 3,08],</w:t>
      </w:r>
      <w:r>
        <w:t xml:space="preserve"> </w:t>
      </w:r>
      <w:r>
        <w:rPr>
          <w:i/>
          <w:iCs/>
        </w:rPr>
        <w:t xml:space="preserve">n</w:t>
      </w:r>
      <w:r>
        <w:t xml:space="preserve"> </w:t>
      </w:r>
      <w:r>
        <w:t xml:space="preserve">= 300) không khác đáng kể so với ước lượng trên các trường hợp đủ dữ liệu.</w:t>
      </w:r>
    </w:p>
    <w:p>
      <w:pPr>
        <w:pStyle w:val="BodyText"/>
      </w:pPr>
      <w:r>
        <w:rPr>
          <w:b/>
          <w:bCs/>
        </w:rPr>
        <w:t xml:space="preserve">Bảng 8</w:t>
      </w:r>
      <w:r>
        <w:t xml:space="preserve"> </w:t>
      </w:r>
      <w:r>
        <w:rPr>
          <w:i/>
          <w:iCs/>
        </w:rPr>
        <w:t xml:space="preserve">Phân tích độ nhạy cho mối liên hệ giữa chỉ số kỳ thị và điểm PHQ-4</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680"/>
        <w:gridCol w:w="749"/>
        <w:gridCol w:w="936"/>
        <w:gridCol w:w="1872"/>
        <w:gridCol w:w="1123"/>
      </w:tblGrid>
      <w:tr>
        <w:trPr>
          <w:cantSplit/>
          <w:tblHeader/>
        </w:trPr>
        <w:tc>
          <w:tcPr>
            <w:tcW w:w="4680"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Phân tích</w:t>
            </w:r>
          </w:p>
        </w:tc>
        <w:tc>
          <w:tcPr>
            <w:tcW w:w="749"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η</w:t>
            </w:r>
            <w:r>
              <w:rPr>
                <w:rFonts w:ascii="Times New Roman" w:hAnsi="Times New Roman"/>
                <w:sz w:val="20"/>
                <w:vertAlign w:val="superscript"/>
              </w:rPr>
              <w:t xml:space="preserve">a</w:t>
            </w:r>
          </w:p>
        </w:tc>
        <w:tc>
          <w:tcPr>
            <w:tcW w:w="1872"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KTC 95%</w:t>
            </w:r>
          </w:p>
        </w:tc>
        <w:tc>
          <w:tcPr>
            <w:tcW w:w="1123"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p</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Đặc tả chính</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1,85</w:t>
            </w:r>
          </w:p>
        </w:tc>
        <w:tc>
          <w:tcPr>
            <w:tcW w:w="1872" w:type="dxa"/>
          </w:tcPr>
          <w:p>
            <w:pPr>
              <w:pStyle w:val="Compact"/>
              <w:spacing w:before="0" w:after="0" w:line="240" w:lineRule="auto"/>
              <w:ind w:firstLine="0" w:left="0"/>
              <w:jc w:val="center"/>
            </w:pPr>
            <w:r>
              <w:rPr>
                <w:rFonts w:ascii="Times New Roman" w:hAnsi="Times New Roman"/>
                <w:sz w:val="20"/>
              </w:rPr>
              <w:t xml:space="preserve">[0,71; 2,99]</w:t>
            </w:r>
          </w:p>
        </w:tc>
        <w:tc>
          <w:tcPr>
            <w:tcW w:w="1123" w:type="dxa"/>
          </w:tcPr>
          <w:p>
            <w:pPr>
              <w:pStyle w:val="Compact"/>
              <w:spacing w:before="0" w:after="0" w:line="240" w:lineRule="auto"/>
              <w:ind w:firstLine="0" w:left="0"/>
              <w:jc w:val="center"/>
            </w:pPr>
            <w:r>
              <w:rPr>
                <w:rFonts w:ascii="Times New Roman" w:hAnsi="Times New Roman"/>
                <w:sz w:val="20"/>
              </w:rPr>
              <w:t xml:space="preserve">0,002</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1. Thêm đặc điểm công việc (Xᴶ)</w:t>
            </w:r>
          </w:p>
        </w:tc>
        <w:tc>
          <w:tcPr>
            <w:tcW w:w="749" w:type="dxa"/>
          </w:tcPr>
          <w:p>
            <w:pPr>
              <w:pStyle w:val="Compact"/>
              <w:spacing w:before="0" w:after="0" w:line="240" w:lineRule="auto"/>
              <w:ind w:firstLine="0" w:left="0"/>
              <w:jc w:val="center"/>
            </w:pPr>
            <w:r>
              <w:rPr>
                <w:rFonts w:ascii="Times New Roman" w:hAnsi="Times New Roman"/>
                <w:sz w:val="20"/>
              </w:rPr>
              <w:t xml:space="preserve">206</w:t>
            </w:r>
          </w:p>
        </w:tc>
        <w:tc>
          <w:tcPr>
            <w:tcW w:w="936" w:type="dxa"/>
          </w:tcPr>
          <w:p>
            <w:pPr>
              <w:pStyle w:val="Compact"/>
              <w:spacing w:before="0" w:after="0" w:line="240" w:lineRule="auto"/>
              <w:ind w:firstLine="0" w:left="0"/>
              <w:jc w:val="center"/>
            </w:pPr>
            <w:r>
              <w:rPr>
                <w:rFonts w:ascii="Times New Roman" w:hAnsi="Times New Roman"/>
                <w:sz w:val="20"/>
              </w:rPr>
              <w:t xml:space="preserve">1,95</w:t>
            </w:r>
          </w:p>
        </w:tc>
        <w:tc>
          <w:tcPr>
            <w:tcW w:w="1872" w:type="dxa"/>
          </w:tcPr>
          <w:p>
            <w:pPr>
              <w:pStyle w:val="Compact"/>
              <w:spacing w:before="0" w:after="0" w:line="240" w:lineRule="auto"/>
              <w:ind w:firstLine="0" w:left="0"/>
              <w:jc w:val="center"/>
            </w:pPr>
            <w:r>
              <w:rPr>
                <w:rFonts w:ascii="Times New Roman" w:hAnsi="Times New Roman"/>
                <w:sz w:val="20"/>
              </w:rPr>
              <w:t xml:space="preserve">[0,52; 3,37]</w:t>
            </w:r>
          </w:p>
        </w:tc>
        <w:tc>
          <w:tcPr>
            <w:tcW w:w="1123" w:type="dxa"/>
          </w:tcPr>
          <w:p>
            <w:pPr>
              <w:pStyle w:val="Compact"/>
              <w:spacing w:before="0" w:after="0" w:line="240" w:lineRule="auto"/>
              <w:ind w:firstLine="0" w:left="0"/>
              <w:jc w:val="center"/>
            </w:pPr>
            <w:r>
              <w:rPr>
                <w:rFonts w:ascii="Times New Roman" w:hAnsi="Times New Roman"/>
                <w:sz w:val="20"/>
              </w:rPr>
              <w:t xml:space="preserve">0,008</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2.</w:t>
            </w:r>
            <w:r>
              <w:rPr>
                <w:rFonts w:ascii="Times New Roman" w:hAnsi="Times New Roman"/>
                <w:sz w:val="20"/>
              </w:rPr>
              <w:t xml:space="preserve"> </w:t>
            </w:r>
            <w:r>
              <w:rPr>
                <w:rFonts w:ascii="Times New Roman" w:hAnsi="Times New Roman"/>
                <w:sz w:val="20"/>
              </w:rPr>
              <w:t xml:space="preserve">“Không muốn trả lời”</w:t>
            </w:r>
            <w:r>
              <w:rPr>
                <w:rFonts w:ascii="Times New Roman" w:hAnsi="Times New Roman"/>
                <w:sz w:val="20"/>
              </w:rPr>
              <w:t xml:space="preserve"> </w:t>
            </w:r>
            <w:r>
              <w:rPr>
                <w:rFonts w:ascii="Times New Roman" w:hAnsi="Times New Roman"/>
                <w:sz w:val="20"/>
              </w:rPr>
              <w:t xml:space="preserve">là giá trị thiếu</w:t>
            </w:r>
          </w:p>
        </w:tc>
        <w:tc>
          <w:tcPr>
            <w:tcW w:w="749" w:type="dxa"/>
          </w:tcPr>
          <w:p>
            <w:pPr>
              <w:pStyle w:val="Compact"/>
              <w:spacing w:before="0" w:after="0" w:line="240" w:lineRule="auto"/>
              <w:ind w:firstLine="0" w:left="0"/>
              <w:jc w:val="center"/>
            </w:pPr>
            <w:r>
              <w:rPr>
                <w:rFonts w:ascii="Times New Roman" w:hAnsi="Times New Roman"/>
                <w:sz w:val="20"/>
              </w:rPr>
              <w:t xml:space="preserve">226</w:t>
            </w:r>
          </w:p>
        </w:tc>
        <w:tc>
          <w:tcPr>
            <w:tcW w:w="936" w:type="dxa"/>
          </w:tcPr>
          <w:p>
            <w:pPr>
              <w:pStyle w:val="Compact"/>
              <w:spacing w:before="0" w:after="0" w:line="240" w:lineRule="auto"/>
              <w:ind w:firstLine="0" w:left="0"/>
              <w:jc w:val="center"/>
            </w:pPr>
            <w:r>
              <w:rPr>
                <w:rFonts w:ascii="Times New Roman" w:hAnsi="Times New Roman"/>
                <w:sz w:val="20"/>
              </w:rPr>
              <w:t xml:space="preserve">1,94</w:t>
            </w:r>
          </w:p>
        </w:tc>
        <w:tc>
          <w:tcPr>
            <w:tcW w:w="1872" w:type="dxa"/>
          </w:tcPr>
          <w:p>
            <w:pPr>
              <w:pStyle w:val="Compact"/>
              <w:spacing w:before="0" w:after="0" w:line="240" w:lineRule="auto"/>
              <w:ind w:firstLine="0" w:left="0"/>
              <w:jc w:val="center"/>
            </w:pPr>
            <w:r>
              <w:rPr>
                <w:rFonts w:ascii="Times New Roman" w:hAnsi="Times New Roman"/>
                <w:sz w:val="20"/>
              </w:rPr>
              <w:t xml:space="preserve">[0,78; 3,10]</w:t>
            </w:r>
          </w:p>
        </w:tc>
        <w:tc>
          <w:tcPr>
            <w:tcW w:w="1123" w:type="dxa"/>
          </w:tcPr>
          <w:p>
            <w:pPr>
              <w:pStyle w:val="Compact"/>
              <w:spacing w:before="0" w:after="0" w:line="240" w:lineRule="auto"/>
              <w:ind w:firstLine="0" w:left="0"/>
              <w:jc w:val="center"/>
            </w:pPr>
            <w:r>
              <w:rPr>
                <w:rFonts w:ascii="Times New Roman" w:hAnsi="Times New Roman"/>
                <w:sz w:val="20"/>
              </w:rPr>
              <w:t xml:space="preserve">0,001</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3a. Có phơi nhiễm (biến chỉ báo)</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0,95</w:t>
            </w:r>
          </w:p>
        </w:tc>
        <w:tc>
          <w:tcPr>
            <w:tcW w:w="1872" w:type="dxa"/>
          </w:tcPr>
          <w:p>
            <w:pPr>
              <w:pStyle w:val="Compact"/>
              <w:spacing w:before="0" w:after="0" w:line="240" w:lineRule="auto"/>
              <w:ind w:firstLine="0" w:left="0"/>
              <w:jc w:val="center"/>
            </w:pPr>
            <w:r>
              <w:rPr>
                <w:rFonts w:ascii="Times New Roman" w:hAnsi="Times New Roman"/>
                <w:sz w:val="20"/>
              </w:rPr>
              <w:t xml:space="preserve">[−0,32; 2,22]</w:t>
            </w:r>
          </w:p>
        </w:tc>
        <w:tc>
          <w:tcPr>
            <w:tcW w:w="1123" w:type="dxa"/>
          </w:tcPr>
          <w:p>
            <w:pPr>
              <w:pStyle w:val="Compact"/>
              <w:spacing w:before="0" w:after="0" w:line="240" w:lineRule="auto"/>
              <w:ind w:firstLine="0" w:left="0"/>
              <w:jc w:val="center"/>
            </w:pPr>
            <w:r>
              <w:rPr>
                <w:rFonts w:ascii="Times New Roman" w:hAnsi="Times New Roman"/>
                <w:sz w:val="20"/>
              </w:rPr>
              <w:t xml:space="preserve">0,141</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3b. Cường độ ở người có phơi nhiễm, cùng mô hình</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1,24</w:t>
            </w:r>
          </w:p>
        </w:tc>
        <w:tc>
          <w:tcPr>
            <w:tcW w:w="1872" w:type="dxa"/>
          </w:tcPr>
          <w:p>
            <w:pPr>
              <w:pStyle w:val="Compact"/>
              <w:spacing w:before="0" w:after="0" w:line="240" w:lineRule="auto"/>
              <w:ind w:firstLine="0" w:left="0"/>
              <w:jc w:val="center"/>
            </w:pPr>
            <w:r>
              <w:rPr>
                <w:rFonts w:ascii="Times New Roman" w:hAnsi="Times New Roman"/>
                <w:sz w:val="20"/>
              </w:rPr>
              <w:t xml:space="preserve">[−0,24; 2,72]</w:t>
            </w:r>
          </w:p>
        </w:tc>
        <w:tc>
          <w:tcPr>
            <w:tcW w:w="1123" w:type="dxa"/>
          </w:tcPr>
          <w:p>
            <w:pPr>
              <w:pStyle w:val="Compact"/>
              <w:spacing w:before="0" w:after="0" w:line="240" w:lineRule="auto"/>
              <w:ind w:firstLine="0" w:left="0"/>
              <w:jc w:val="center"/>
            </w:pPr>
            <w:r>
              <w:rPr>
                <w:rFonts w:ascii="Times New Roman" w:hAnsi="Times New Roman"/>
                <w:sz w:val="20"/>
              </w:rPr>
              <w:t xml:space="preserve">0,099</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3c. Spline bậc ba có ràng buộc, kiểm định phi tuyến</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p>
        </w:tc>
        <w:tc>
          <w:tcPr>
            <w:tcW w:w="1872"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r>
              <w:rPr>
                <w:rFonts w:ascii="Times New Roman" w:hAnsi="Times New Roman"/>
                <w:sz w:val="20"/>
              </w:rPr>
              <w:t xml:space="preserve">0,335</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4. Logit phân số, AME × 12</w:t>
            </w:r>
            <w:r>
              <w:rPr>
                <w:rFonts w:ascii="Times New Roman" w:hAnsi="Times New Roman"/>
                <w:sz w:val="20"/>
                <w:vertAlign w:val="superscript"/>
              </w:rPr>
              <w:t xml:space="preserve">b</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1,71</w:t>
            </w:r>
          </w:p>
        </w:tc>
        <w:tc>
          <w:tcPr>
            <w:tcW w:w="1872" w:type="dxa"/>
          </w:tcPr>
          <w:p>
            <w:pPr>
              <w:pStyle w:val="Compact"/>
              <w:spacing w:before="0" w:after="0" w:line="240" w:lineRule="auto"/>
              <w:ind w:firstLine="0" w:left="0"/>
              <w:jc w:val="center"/>
            </w:pPr>
            <w:r>
              <w:rPr>
                <w:rFonts w:ascii="Times New Roman" w:hAnsi="Times New Roman"/>
                <w:sz w:val="20"/>
              </w:rPr>
              <w:t xml:space="preserve">[0,90; 2,53]</w:t>
            </w:r>
          </w:p>
        </w:tc>
        <w:tc>
          <w:tcPr>
            <w:tcW w:w="1123" w:type="dxa"/>
          </w:tcPr>
          <w:p>
            <w:pPr>
              <w:pStyle w:val="Compact"/>
              <w:spacing w:before="0" w:after="0" w:line="240" w:lineRule="auto"/>
              <w:ind w:firstLine="0" w:left="0"/>
              <w:jc w:val="center"/>
            </w:pPr>
            <w:r>
              <w:rPr>
                <w:rFonts w:ascii="Times New Roman" w:hAnsi="Times New Roman"/>
                <w:sz w:val="20"/>
              </w:rPr>
              <w:t xml:space="preserve">&lt; 0,001</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5. Gán giá trị đa lần (</w:t>
            </w: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 20)</w:t>
            </w:r>
            <w:r>
              <w:rPr>
                <w:rFonts w:ascii="Times New Roman" w:hAnsi="Times New Roman"/>
                <w:sz w:val="20"/>
                <w:vertAlign w:val="superscript"/>
              </w:rPr>
              <w:t xml:space="preserve">c</w:t>
            </w:r>
          </w:p>
        </w:tc>
        <w:tc>
          <w:tcPr>
            <w:tcW w:w="749" w:type="dxa"/>
          </w:tcPr>
          <w:p>
            <w:pPr>
              <w:pStyle w:val="Compact"/>
              <w:spacing w:before="0" w:after="0" w:line="240" w:lineRule="auto"/>
              <w:ind w:firstLine="0" w:left="0"/>
              <w:jc w:val="center"/>
            </w:pPr>
            <w:r>
              <w:rPr>
                <w:rFonts w:ascii="Times New Roman" w:hAnsi="Times New Roman"/>
                <w:sz w:val="20"/>
              </w:rPr>
              <w:t xml:space="preserve">300</w:t>
            </w:r>
          </w:p>
        </w:tc>
        <w:tc>
          <w:tcPr>
            <w:tcW w:w="936" w:type="dxa"/>
          </w:tcPr>
          <w:p>
            <w:pPr>
              <w:pStyle w:val="Compact"/>
              <w:spacing w:before="0" w:after="0" w:line="240" w:lineRule="auto"/>
              <w:ind w:firstLine="0" w:left="0"/>
              <w:jc w:val="center"/>
            </w:pPr>
            <w:r>
              <w:rPr>
                <w:rFonts w:ascii="Times New Roman" w:hAnsi="Times New Roman"/>
                <w:sz w:val="20"/>
              </w:rPr>
              <w:t xml:space="preserve">2,04</w:t>
            </w:r>
          </w:p>
        </w:tc>
        <w:tc>
          <w:tcPr>
            <w:tcW w:w="1872" w:type="dxa"/>
          </w:tcPr>
          <w:p>
            <w:pPr>
              <w:pStyle w:val="Compact"/>
              <w:spacing w:before="0" w:after="0" w:line="240" w:lineRule="auto"/>
              <w:ind w:firstLine="0" w:left="0"/>
              <w:jc w:val="center"/>
            </w:pPr>
            <w:r>
              <w:rPr>
                <w:rFonts w:ascii="Times New Roman" w:hAnsi="Times New Roman"/>
                <w:sz w:val="20"/>
              </w:rPr>
              <w:t xml:space="preserve">[0,99; 3,08]</w:t>
            </w:r>
          </w:p>
        </w:tc>
        <w:tc>
          <w:tcPr>
            <w:tcW w:w="1123" w:type="dxa"/>
          </w:tcPr>
          <w:p>
            <w:pPr>
              <w:pStyle w:val="Compact"/>
              <w:spacing w:before="0" w:after="0" w:line="240" w:lineRule="auto"/>
              <w:ind w:firstLine="0" w:left="0"/>
              <w:jc w:val="center"/>
            </w:pPr>
            <w:r>
              <w:rPr>
                <w:rFonts w:ascii="Times New Roman" w:hAnsi="Times New Roman"/>
                <w:sz w:val="20"/>
              </w:rPr>
              <w:t xml:space="preserve">&lt; 0,001</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6. Loại phiếu bị gắn cờ</w:t>
            </w:r>
          </w:p>
        </w:tc>
        <w:tc>
          <w:tcPr>
            <w:tcW w:w="749" w:type="dxa"/>
          </w:tcPr>
          <w:p>
            <w:pPr>
              <w:pStyle w:val="Compact"/>
              <w:spacing w:before="0" w:after="0" w:line="240" w:lineRule="auto"/>
              <w:ind w:firstLine="0" w:left="0"/>
              <w:jc w:val="center"/>
            </w:pPr>
            <w:r>
              <w:rPr>
                <w:rFonts w:ascii="Times New Roman" w:hAnsi="Times New Roman"/>
                <w:sz w:val="20"/>
              </w:rPr>
              <w:t xml:space="preserve">223</w:t>
            </w:r>
          </w:p>
        </w:tc>
        <w:tc>
          <w:tcPr>
            <w:tcW w:w="936" w:type="dxa"/>
          </w:tcPr>
          <w:p>
            <w:pPr>
              <w:pStyle w:val="Compact"/>
              <w:spacing w:before="0" w:after="0" w:line="240" w:lineRule="auto"/>
              <w:ind w:firstLine="0" w:left="0"/>
              <w:jc w:val="center"/>
            </w:pPr>
            <w:r>
              <w:rPr>
                <w:rFonts w:ascii="Times New Roman" w:hAnsi="Times New Roman"/>
                <w:sz w:val="20"/>
              </w:rPr>
              <w:t xml:space="preserve">1,89</w:t>
            </w:r>
          </w:p>
        </w:tc>
        <w:tc>
          <w:tcPr>
            <w:tcW w:w="1872" w:type="dxa"/>
          </w:tcPr>
          <w:p>
            <w:pPr>
              <w:pStyle w:val="Compact"/>
              <w:spacing w:before="0" w:after="0" w:line="240" w:lineRule="auto"/>
              <w:ind w:firstLine="0" w:left="0"/>
              <w:jc w:val="center"/>
            </w:pPr>
            <w:r>
              <w:rPr>
                <w:rFonts w:ascii="Times New Roman" w:hAnsi="Times New Roman"/>
                <w:sz w:val="20"/>
              </w:rPr>
              <w:t xml:space="preserve">[0,70; 3,07]</w:t>
            </w:r>
          </w:p>
        </w:tc>
        <w:tc>
          <w:tcPr>
            <w:tcW w:w="1123" w:type="dxa"/>
          </w:tcPr>
          <w:p>
            <w:pPr>
              <w:pStyle w:val="Compact"/>
              <w:spacing w:before="0" w:after="0" w:line="240" w:lineRule="auto"/>
              <w:ind w:firstLine="0" w:left="0"/>
              <w:jc w:val="center"/>
            </w:pPr>
            <w:r>
              <w:rPr>
                <w:rFonts w:ascii="Times New Roman" w:hAnsi="Times New Roman"/>
                <w:sz w:val="20"/>
              </w:rPr>
              <w:t xml:space="preserve">0,002</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7. Loại quan sát có khoảng cách Cook &gt; 4/</w:t>
            </w:r>
            <w:r>
              <w:rPr>
                <w:rFonts w:ascii="Times New Roman" w:hAnsi="Times New Roman"/>
                <w:i/>
                <w:iCs/>
                <w:sz w:val="20"/>
              </w:rPr>
              <w:t xml:space="preserve">n</w:t>
            </w:r>
          </w:p>
        </w:tc>
        <w:tc>
          <w:tcPr>
            <w:tcW w:w="749" w:type="dxa"/>
          </w:tcPr>
          <w:p>
            <w:pPr>
              <w:pStyle w:val="Compact"/>
              <w:spacing w:before="0" w:after="0" w:line="240" w:lineRule="auto"/>
              <w:ind w:firstLine="0" w:left="0"/>
              <w:jc w:val="center"/>
            </w:pPr>
            <w:r>
              <w:rPr>
                <w:rFonts w:ascii="Times New Roman" w:hAnsi="Times New Roman"/>
                <w:sz w:val="20"/>
              </w:rPr>
              <w:t xml:space="preserve">216</w:t>
            </w:r>
          </w:p>
        </w:tc>
        <w:tc>
          <w:tcPr>
            <w:tcW w:w="936" w:type="dxa"/>
          </w:tcPr>
          <w:p>
            <w:pPr>
              <w:pStyle w:val="Compact"/>
              <w:spacing w:before="0" w:after="0" w:line="240" w:lineRule="auto"/>
              <w:ind w:firstLine="0" w:left="0"/>
              <w:jc w:val="center"/>
            </w:pPr>
            <w:r>
              <w:rPr>
                <w:rFonts w:ascii="Times New Roman" w:hAnsi="Times New Roman"/>
                <w:sz w:val="20"/>
              </w:rPr>
              <w:t xml:space="preserve">1,56</w:t>
            </w:r>
          </w:p>
        </w:tc>
        <w:tc>
          <w:tcPr>
            <w:tcW w:w="1872" w:type="dxa"/>
          </w:tcPr>
          <w:p>
            <w:pPr>
              <w:pStyle w:val="Compact"/>
              <w:spacing w:before="0" w:after="0" w:line="240" w:lineRule="auto"/>
              <w:ind w:firstLine="0" w:left="0"/>
              <w:jc w:val="center"/>
            </w:pPr>
            <w:r>
              <w:rPr>
                <w:rFonts w:ascii="Times New Roman" w:hAnsi="Times New Roman"/>
                <w:sz w:val="20"/>
              </w:rPr>
              <w:t xml:space="preserve">[0,66; 2,46]</w:t>
            </w:r>
          </w:p>
        </w:tc>
        <w:tc>
          <w:tcPr>
            <w:tcW w:w="1123" w:type="dxa"/>
          </w:tcPr>
          <w:p>
            <w:pPr>
              <w:pStyle w:val="Compact"/>
              <w:spacing w:before="0" w:after="0" w:line="240" w:lineRule="auto"/>
              <w:ind w:firstLine="0" w:left="0"/>
              <w:jc w:val="center"/>
            </w:pPr>
            <w:r>
              <w:rPr>
                <w:rFonts w:ascii="Times New Roman" w:hAnsi="Times New Roman"/>
                <w:sz w:val="20"/>
              </w:rPr>
              <w:t xml:space="preserve">&lt; 0,001</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8. Wild bootstrap có ràng buộc</w:t>
            </w:r>
            <w:r>
              <w:rPr>
                <w:rFonts w:ascii="Times New Roman" w:hAnsi="Times New Roman"/>
                <w:sz w:val="20"/>
                <w:vertAlign w:val="superscript"/>
              </w:rPr>
              <w:t xml:space="preserve">d</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1,85</w:t>
            </w:r>
          </w:p>
        </w:tc>
        <w:tc>
          <w:tcPr>
            <w:tcW w:w="1872" w:type="dxa"/>
          </w:tcPr>
          <w:p>
            <w:pPr>
              <w:pStyle w:val="Compact"/>
              <w:spacing w:before="0" w:after="0" w:line="240" w:lineRule="auto"/>
              <w:ind w:firstLine="0" w:left="0"/>
              <w:jc w:val="center"/>
            </w:pPr>
            <w:r>
              <w:rPr>
                <w:rFonts w:ascii="Times New Roman" w:hAnsi="Times New Roman"/>
                <w:sz w:val="20"/>
              </w:rPr>
              <w:t xml:space="preserve">[0,75; 3,05]</w:t>
            </w:r>
          </w:p>
        </w:tc>
        <w:tc>
          <w:tcPr>
            <w:tcW w:w="1123" w:type="dxa"/>
          </w:tcPr>
          <w:p>
            <w:pPr>
              <w:pStyle w:val="Compact"/>
              <w:spacing w:before="0" w:after="0" w:line="240" w:lineRule="auto"/>
              <w:ind w:firstLine="0" w:left="0"/>
              <w:jc w:val="center"/>
            </w:pPr>
            <w:r>
              <w:rPr>
                <w:rFonts w:ascii="Times New Roman" w:hAnsi="Times New Roman"/>
                <w:sz w:val="20"/>
              </w:rPr>
              <w:t xml:space="preserve">0,001</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9. Biến kiểm soát không có ngành</w:t>
            </w:r>
          </w:p>
        </w:tc>
        <w:tc>
          <w:tcPr>
            <w:tcW w:w="749"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1,83</w:t>
            </w:r>
          </w:p>
        </w:tc>
        <w:tc>
          <w:tcPr>
            <w:tcW w:w="1872" w:type="dxa"/>
          </w:tcPr>
          <w:p>
            <w:pPr>
              <w:pStyle w:val="Compact"/>
              <w:spacing w:before="0" w:after="0" w:line="240" w:lineRule="auto"/>
              <w:ind w:firstLine="0" w:left="0"/>
              <w:jc w:val="center"/>
            </w:pPr>
            <w:r>
              <w:rPr>
                <w:rFonts w:ascii="Times New Roman" w:hAnsi="Times New Roman"/>
                <w:sz w:val="20"/>
              </w:rPr>
              <w:t xml:space="preserve">[0,71; 2,95]</w:t>
            </w:r>
          </w:p>
        </w:tc>
        <w:tc>
          <w:tcPr>
            <w:tcW w:w="1123" w:type="dxa"/>
          </w:tcPr>
          <w:p>
            <w:pPr>
              <w:pStyle w:val="Compact"/>
              <w:spacing w:before="0" w:after="0" w:line="240" w:lineRule="auto"/>
              <w:ind w:firstLine="0" w:left="0"/>
              <w:jc w:val="center"/>
            </w:pPr>
            <w:r>
              <w:rPr>
                <w:rFonts w:ascii="Times New Roman" w:hAnsi="Times New Roman"/>
                <w:sz w:val="20"/>
              </w:rPr>
              <w:t xml:space="preserve">0,002</w:t>
            </w:r>
          </w:p>
        </w:tc>
      </w:tr>
    </w:tbl>
    <w:p>
      <w:pPr>
        <w:pStyle w:val="BodyText"/>
      </w:pPr>
      <w:r>
        <w:rPr>
          <w:vertAlign w:val="superscript"/>
        </w:rPr>
        <w:t xml:space="preserve">a</w:t>
      </w:r>
      <w:r>
        <w:t xml:space="preserve"> </w:t>
      </w:r>
      <w:r>
        <w:t xml:space="preserve">Mọi mô hình điều chỉnh các đặc điểm có trước phơi nhiễm và dùng sai số chuẩn HC3, trừ khi có ghi chú khác.</w:t>
      </w:r>
    </w:p>
    <w:p>
      <w:pPr>
        <w:pStyle w:val="BodyText"/>
      </w:pPr>
      <w:r>
        <w:rPr>
          <w:vertAlign w:val="superscript"/>
        </w:rPr>
        <w:t xml:space="preserve">b</w:t>
      </w:r>
      <w:r>
        <w:t xml:space="preserve"> </w:t>
      </w:r>
      <w:r>
        <w:t xml:space="preserve">Mô hình logit phân số được ước lượng trên điểm PHQ-4 chia cho 12, và hiệu ứng biên trung bình (AME) được nhân với 12 để trở về thang PHQ-4. Khoảng tin cậy dựa trên phân phối</w:t>
      </w:r>
      <w:r>
        <w:t xml:space="preserve"> </w:t>
      </w:r>
      <w:r>
        <w:rPr>
          <w:i/>
          <w:iCs/>
        </w:rPr>
        <w:t xml:space="preserve">z</w:t>
      </w:r>
      <w:r>
        <w:t xml:space="preserve">.</w:t>
      </w:r>
    </w:p>
    <w:p>
      <w:pPr>
        <w:pStyle w:val="BodyText"/>
      </w:pPr>
      <w:r>
        <w:rPr>
          <w:vertAlign w:val="superscript"/>
        </w:rPr>
        <w:t xml:space="preserve">c</w:t>
      </w:r>
      <w:r>
        <w:t xml:space="preserve"> </w:t>
      </w:r>
      <w:r>
        <w:t xml:space="preserve">Ước lượng được kết hợp theo quy tắc Rubin.</w:t>
      </w:r>
    </w:p>
    <w:p>
      <w:pPr>
        <w:pStyle w:val="BodyText"/>
      </w:pPr>
      <w:r>
        <w:rPr>
          <w:vertAlign w:val="superscript"/>
        </w:rPr>
        <w:t xml:space="preserve">d</w:t>
      </w:r>
      <w:r>
        <w:t xml:space="preserve"> </w:t>
      </w:r>
      <w:r>
        <w:t xml:space="preserve">Bootstrap dùng trọng số Webb với 9.999 lần lặp, và cho ra khoảng tin cậy cùng giá trị</w:t>
      </w:r>
      <w:r>
        <w:t xml:space="preserve"> </w:t>
      </w:r>
      <w:r>
        <w:rPr>
          <w:i/>
          <w:iCs/>
        </w:rPr>
        <w:t xml:space="preserve">p</w:t>
      </w:r>
      <w:r>
        <w:t xml:space="preserve">.</w:t>
      </w:r>
    </w:p>
    <w:p>
      <w:pPr>
        <w:pStyle w:val="BodyText"/>
      </w:pPr>
      <w:r>
        <w:t xml:space="preserve">Các chẩn đoán của mô hình chính (Bảng S2) cho thấy có phương sai thay đổi (Breusch-Pagan χ²(1) = 11,94,</w:t>
      </w:r>
      <w:r>
        <w:t xml:space="preserve"> </w:t>
      </w:r>
      <w:r>
        <w:rPr>
          <w:i/>
          <w:iCs/>
        </w:rPr>
        <w:t xml:space="preserve">p</w:t>
      </w:r>
      <w:r>
        <w:t xml:space="preserve"> </w:t>
      </w:r>
      <w:r>
        <w:t xml:space="preserve">&lt; 0,001), vấn đề mà sai số chuẩn HC3 đã xử lý, và không có dấu hiệu rõ ràng về đặc tả sai (RESET</w:t>
      </w:r>
      <w:r>
        <w:t xml:space="preserve"> </w:t>
      </w:r>
      <w:r>
        <w:rPr>
          <w:i/>
          <w:iCs/>
        </w:rPr>
        <w:t xml:space="preserve">F</w:t>
      </w:r>
      <w:r>
        <w:t xml:space="preserve">(3, 206) = 2,34,</w:t>
      </w:r>
      <w:r>
        <w:t xml:space="preserve"> </w:t>
      </w:r>
      <w:r>
        <w:rPr>
          <w:i/>
          <w:iCs/>
        </w:rPr>
        <w:t xml:space="preserve">p</w:t>
      </w:r>
      <w:r>
        <w:t xml:space="preserve"> </w:t>
      </w:r>
      <w:r>
        <w:t xml:space="preserve">= 0,075). Đa cộng tuyến thấp: mọi hệ số phóng đại phương sai tổng quát (Fox &amp; Monette, 1992), biểu diễn dưới dạng GVIF</w:t>
      </w:r>
      <w:r>
        <w:rPr>
          <w:vertAlign w:val="superscript"/>
        </w:rPr>
        <w:t xml:space="preserve">1/(2df)</w:t>
      </w:r>
      <w:r>
        <w:t xml:space="preserve">, đều không quá 1,24, trừ giới tính khi sinh (1,72), biến trùng lặp một phần với nhóm xu hướng tính dục.</w:t>
      </w:r>
    </w:p>
    <w:p>
      <w:pPr>
        <w:pStyle w:val="BodyText"/>
      </w:pPr>
      <w:r>
        <w:t xml:space="preserve">Cả 32 đặc tả của đường cong đặc tả đều cho ước lượng dương (Hình 2; Bảng S5). Tính trên một độ lệch chuẩn của chỉ số tương ứng, các ước lượng dao động từ 0,81 đến 1,23 điểm PHQ-4, so với 0,86 ở đặc tả chính, và khoảng tin cậy 95% không chứa không ở 28 đặc tả. Mỗi trường hợp trong bốn ngoại lệ đều kết hợp hai lựa chọn, là giới hạn chỉ số ở những người trả lời đủ tám tình huống và thêm đặc điểm công việc, khiến mẫu chỉ còn từ 85 đến 96 người. Không lựa chọn nào khác làm thay đổi kết luận suy diễn, và chỉ số dựa trên tình huống 1 đến 7 cho ước lượng gần với chỉ số chính.</w:t>
      </w:r>
    </w:p>
    <w:p>
      <w:pPr>
        <w:pStyle w:val="BodyText"/>
      </w:pPr>
      <w:r>
        <w:rPr>
          <w:b/>
          <w:bCs/>
        </w:rPr>
        <w:t xml:space="preserve">Hình 2</w:t>
      </w:r>
      <w:r>
        <w:t xml:space="preserve"> </w:t>
      </w:r>
      <w:r>
        <w:rPr>
          <w:i/>
          <w:iCs/>
        </w:rPr>
        <w:t xml:space="preserve">Đường cong đặc tả</w:t>
      </w:r>
    </w:p>
    <w:p>
      <w:pPr>
        <w:pStyle w:val="BodyText"/>
      </w:pPr>
      <w:r>
        <w:drawing>
          <wp:inline>
            <wp:extent cx="5334000" cy="3674533"/>
            <wp:effectExtent b="0" l="0" r="0" t="0"/>
            <wp:docPr descr="Đường cong đặc tả" title="" id="40" name="Picture"/>
            <a:graphic>
              <a:graphicData uri="http://schemas.openxmlformats.org/drawingml/2006/picture">
                <pic:pic>
                  <pic:nvPicPr>
                    <pic:cNvPr descr="figures/fig2_specification_curve.png" id="41" name="Picture"/>
                    <pic:cNvPicPr>
                      <a:picLocks noChangeArrowheads="1" noChangeAspect="1"/>
                    </pic:cNvPicPr>
                  </pic:nvPicPr>
                  <pic:blipFill>
                    <a:blip r:embed="rId39"/>
                    <a:stretch>
                      <a:fillRect/>
                    </a:stretch>
                  </pic:blipFill>
                  <pic:spPr bwMode="auto">
                    <a:xfrm>
                      <a:off x="0" y="0"/>
                      <a:ext cx="5334000" cy="3674533"/>
                    </a:xfrm>
                    <a:prstGeom prst="rect">
                      <a:avLst/>
                    </a:prstGeom>
                    <a:noFill/>
                    <a:ln w="9525">
                      <a:noFill/>
                      <a:headEnd/>
                      <a:tailEnd/>
                    </a:ln>
                  </pic:spPr>
                </pic:pic>
              </a:graphicData>
            </a:graphic>
          </wp:inline>
        </w:drawing>
      </w:r>
    </w:p>
    <w:p>
      <w:pPr>
        <w:pStyle w:val="BodyText"/>
      </w:pPr>
      <w:r>
        <w:rPr>
          <w:i/>
          <w:iCs/>
        </w:rPr>
        <w:t xml:space="preserve">Chú thích.</w:t>
      </w:r>
      <w:r>
        <w:t xml:space="preserve"> </w:t>
      </w:r>
      <w:r>
        <w:t xml:space="preserve">Phần trên cho thấy chênh lệch ước lượng của điểm PHQ-4 trên một độ lệch chuẩn của chỉ số kỳ thị, kèm khoảng tin cậy 95%, cho 32 đặc tả xếp theo ước lượng; phần dưới đánh dấu các lựa chọn trong mỗi đặc tả.</w:t>
      </w:r>
      <w:r>
        <w:t xml:space="preserve"> </w:t>
      </w:r>
      <w:r>
        <w:t xml:space="preserve">“LGBT: self-identification + SOGI”</w:t>
      </w:r>
      <w:r>
        <w:t xml:space="preserve"> </w:t>
      </w:r>
      <w:r>
        <w:t xml:space="preserve">nghĩa là vừa tự nhận LGBT vừa có xu hướng không dị tính hoặc bản dạng giới thiểu số. Các nhóm biến kiểm soát thưa được gộp trong các mẫu ước lượng chính chứ không gộp riêng trong từng đặc tả.</w:t>
      </w:r>
    </w:p>
    <w:p>
      <w:pPr>
        <w:pStyle w:val="BodyText"/>
      </w:pPr>
      <w:r>
        <w:t xml:space="preserve">Trong phân tích độ nhạy với nhiễu không đo được (Bảng S3), chỉ số kỳ thị giải thích 6,9% phương sai phần dư của điểm PHQ-4. Một biến nhiễu không đo được phải giải thích 23,7% phương sai phần dư của cả chỉ số kỳ thị lẫn điểm PHQ-4 thì mới đưa ước lượng về không, và 12,6% thì mới làm khoảng tin cậy 95% chứa không. Học vấn, đưa vào như một nhóm biến, giải thích 1,0% phương sai phần dư của chỉ số kỳ thị và 2,9% phương sai phần dư của điểm PHQ-4, và một biến nhiễu mạnh gấp ba lần học vấn sẽ làm ước lượng giảm còn 1,49 (KTC 95% [0,59; 2,38]). Giới tính khi sinh hầu như không giải thích phương sai của chỉ số kỳ thị nên chỉ là một mốc so sánh không đáng kể. Các giá trị này dựa trên sai số chuẩn cổ điển và chỉ mang tính chỉ báo, không phải kiểm định chính thức.</w:t>
      </w:r>
    </w:p>
    <w:p>
      <w:pPr>
        <w:pStyle w:val="BodyText"/>
      </w:pPr>
      <w:r>
        <w:t xml:space="preserve">Trong các phân tích hậu kiểm (Bảng S6), ước lượng chưa điều chỉnh nhỏ hơn (1,47, KTC 95% [0,30; 2,65]), còn việc thêm mức độ công khai tại nơi làm việc (1,93), thêm kinh nghiệm làm việc (1,90) hoặc bỏ tình trạng quan hệ và địa bàn làm việc (1,83) ít làm thay đổi ước lượng đã điều chỉnh. Cuối cùng, 37 trong 272 người của mẫu phân tích thiếu ít nhất một biến kiểm soát có trước phơi nhiễm. Điểm PHQ-4 trung bình của họ tương tự người có đủ dữ liệu biến kiểm soát (3,76,</w:t>
      </w:r>
      <w:r>
        <w:t xml:space="preserve"> </w:t>
      </w:r>
      <w:r>
        <w:rPr>
          <w:i/>
          <w:iCs/>
        </w:rPr>
        <w:t xml:space="preserve">SD</w:t>
      </w:r>
      <w:r>
        <w:t xml:space="preserve"> </w:t>
      </w:r>
      <w:r>
        <w:t xml:space="preserve">= 3,48, so với 3,43,</w:t>
      </w:r>
      <w:r>
        <w:t xml:space="preserve"> </w:t>
      </w:r>
      <w:r>
        <w:rPr>
          <w:i/>
          <w:iCs/>
        </w:rPr>
        <w:t xml:space="preserve">SD</w:t>
      </w:r>
      <w:r>
        <w:t xml:space="preserve"> </w:t>
      </w:r>
      <w:r>
        <w:t xml:space="preserve">= 3,25), và chỉ số kỳ thị trung bình của họ thấp hơn một chút (0,28 so với 0,33). Trong 300 người LGBT, 22 người không hoàn thành PHQ-4, và ở 19 người trong số đó có chỉ số kỳ thị hợp lệ, chỉ số trung bình là 0,21, so với 0,32 ở những người có đủ dữ liệu PHQ-4.</w:t>
      </w:r>
    </w:p>
    <w:bookmarkEnd w:id="42"/>
    <w:bookmarkEnd w:id="43"/>
    <w:bookmarkStart w:id="49" w:name="thảo-luận-discussion"/>
    <w:p>
      <w:pPr>
        <w:pStyle w:val="Heading1"/>
      </w:pPr>
      <w:r>
        <w:t xml:space="preserve">Thảo luận (Discussion)</w:t>
      </w:r>
    </w:p>
    <w:p>
      <w:pPr>
        <w:pStyle w:val="FirstParagraph"/>
      </w:pPr>
      <w:r>
        <w:t xml:space="preserve">Nghiên cứu này ủng hộ H1 và, theo hiểu biết của chúng tôi, là mô tả đầu tiên về các hình thức kỳ thị thể hiện mà người lao động LGBT tại Việt Nam gặp ở nơi làm việc. Hơn một nửa số người tham gia đã gặp ít nhất một tình huống kỳ thị trong 12 tháng qua, và kỳ thị trong giao tiếp, nhất là câu hỏi riêng tư không mong muốn và lời đùa xúc phạm, là hình thức phổ biến nhất. Đúng như giả thuyết, người báo cáo kỳ thị thường xuyên hơn cũng báo cáo triệu chứng lo âu và trầm cảm nặng hơn, và ước lượng ít thay đổi qua các bộ biến kiểm soát, các cách mã hóa câu trả lời thiếu, các phương pháp ước lượng, các kiểm tra quan sát có ảnh hưởng lớn và 32 đặc tả thay thế. Trong các phân tích thăm dò, mối liên hệ rõ ràng với kỳ thị trong giao tiếp và chưa xác định với kỳ thị liên quan đến nghề nghiệp và kỳ thị về thể hiện giới. Các kết quả này bổ sung cho các nghiên cứu về căng thẳng thiểu số tại nơi làm việc (Tomic và cộng sự, 2025; Velez và cộng sự, 2013; Waldo, 1999) và mở rộng sang một bối cảnh mà luật lao động không có quy định bảo vệ riêng cho người lao động LGBT.</w:t>
      </w:r>
    </w:p>
    <w:bookmarkStart w:id="44" w:name="Xd5b66f3ecefa817d038ac2f7ae60ca5f5dd98a6"/>
    <w:p>
      <w:pPr>
        <w:pStyle w:val="Heading2"/>
      </w:pPr>
      <w:r>
        <w:t xml:space="preserve">Các hình thức kỳ thị nơi làm việc ở người lao động LGBT tại Việt Nam</w:t>
      </w:r>
    </w:p>
    <w:p>
      <w:pPr>
        <w:pStyle w:val="FirstParagraph"/>
      </w:pPr>
      <w:r>
        <w:t xml:space="preserve">Kỳ thị ở nơi làm việc phổ biến nhưng phần lớn không thường xuyên: hầu hết người có phơi nhiễm báo cáo một hoặc hai tình huống, và chưa đến ba phần mười số người tham gia gặp tình huống nào đó ở mức thường xuyên. Tỷ lệ người tham gia báo cáo ít nhất một tình huống (57,0%) cao hơn tỷ lệ người trả lời trong một khảo sát toàn quốc báo cáo bị phân biệt đối xử ở bất kỳ lĩnh vực nào của đời sống trong 12 tháng trước đó, khoảng một phần ba (Luong &amp; Pham, 2015). Tuy nhiên, hai con số không so sánh trực tiếp được, vì thước đo của nghiên cứu này gồm cả những hành vi như câu hỏi xâm phạm đời tư và lời đùa, mà người trả lời có thể không gọi là phân biệt đối xử, và vì hai mẫu được tuyển theo những cách khác nhau.</w:t>
      </w:r>
    </w:p>
    <w:p>
      <w:pPr>
        <w:pStyle w:val="BodyText"/>
      </w:pPr>
      <w:r>
        <w:t xml:space="preserve">Sự phân bố giữa các hình thức là phát hiện mô tả rõ nét nhất của nghiên cứu. Kỳ thị trong giao tiếp được báo cáo nhiều gấp hơn hai lần kỳ thị liên quan đến nghề nghiệp, hình thức duy nhất mà Bộ luật Lao động Việt Nam sẽ công nhận là phân biệt đối xử. Xu hướng này giống với bằng chứng rằng định kiến trong giao tiếp vẫn tồn tại ở những tình huống không quan sát thấy phân biệt đối xử chính thức (Hebl và cộng sự, 2002). Ba đặc điểm của bối cảnh và của cách đo có thể góp phần tạo ra xu hướng này. Thứ nhất, các sự kiện trong giao tiếp nhận ra được ngay khi xảy ra, còn một quyết định về đào tạo hay tiền lương chỉ được tính là kỳ thị nếu người lao động quy nó cho bản dạng của mình, và người lao động thường không quan sát được đồng nghiệp được đối xử ra sao (Lewis và cộng sự, 2015). Thứ hai, vì luật Việt Nam không thừa nhận hôn nhân giữa những người cùng giới tính (National Assembly of Vietnam, 2014), những câu hỏi thường ngày về đời sống tình cảm và dự định kết hôn có thể liên tục đặt người lao động LGBT trước lựa chọn giữa che giấu và công khai. Thứ ba, người lao động che giấu bản dạng có thể tránh được kỳ thị nhắm vào bản dạng đó, nên tỷ lệ thấp của một số hình thức có thể phần nào phản ánh sự che giấu chứ không phải sự chấp nhận; ở các quốc gia có kỳ thị cấu trúc cao, che giấu đã được ghi nhận là bảo vệ một phần người thiểu số về tính dục khỏi phân biệt đối xử và bạo lực (Pachankis &amp; Bränström, 2018).</w:t>
      </w:r>
    </w:p>
    <w:p>
      <w:pPr>
        <w:pStyle w:val="BodyText"/>
      </w:pPr>
      <w:r>
        <w:t xml:space="preserve">Các phát hiện về kỳ thị về thể hiện giới cần được đọc đặc biệt thận trọng, vì khoảng một phần năm người tham gia bỏ trống tần suất của tình huống 8, có lẽ vì tình huống này chủ yếu áp dụng cho người chuyển giới và phi nhị nguyên. Vì vậy, mẫu hiện tại không ước lượng được tỷ lệ của tình huống này ở những người lao động mà nó áp dụng, và vì nhóm người chuyển giới, phi nhị nguyên nhỏ, trải nghiệm của những người lao động này cần các nghiên cứu có tuyển chọn chủ đích.</w:t>
      </w:r>
    </w:p>
    <w:bookmarkEnd w:id="44"/>
    <w:bookmarkStart w:id="45" w:name="gradient-triệu-chứng-bên-trong-nhóm-lgbt"/>
    <w:p>
      <w:pPr>
        <w:pStyle w:val="Heading2"/>
      </w:pPr>
      <w:r>
        <w:t xml:space="preserve">Gradient triệu chứng bên trong nhóm LGBT</w:t>
      </w:r>
    </w:p>
    <w:p>
      <w:pPr>
        <w:pStyle w:val="FirstParagraph"/>
      </w:pPr>
      <w:r>
        <w:t xml:space="preserve">Gradient bên trong nhóm là dự báo phân biệt hai cách diễn giải nêu ở phần Đặt vấn đề. Cả cách diễn giải dựa trên bản dạng lẫn cách diễn giải định kiến đều dự báo người LGBT báo cáo nhiều triệu chứng hơn người dị tính và người hợp giới, nhưng chỉ cách diễn giải định kiến kỳ vọng triệu chứng thay đổi theo mức phơi nhiễm kỳ thị giữa những người cùng mang bản dạng LGBT. Vì vậy, gradient quan sát được trong nghiên cứu này phù hợp với lý thuyết căng thẳng thiểu số (I. H. Meyer, 2003) và với cách lý thuyết giải thích tác nhân xa, và không được dự báo bởi cách giải thích đặt nguồn gốc đau khổ vào chính bản dạng thiểu số về tính dục hay giới. Hệ số tương quan hai biến giữa chỉ số kỳ thị và điểm PHQ-4 (</w:t>
      </w:r>
      <w:r>
        <w:rPr>
          <w:i/>
          <w:iCs/>
        </w:rPr>
        <w:t xml:space="preserve">r</w:t>
      </w:r>
      <w:r>
        <w:t xml:space="preserve"> </w:t>
      </w:r>
      <w:r>
        <w:t xml:space="preserve">= 0,21) có cùng độ lớn với mức liên hệ trung bình giữa phân biệt đối xử được cảm nhận và trạng thái tinh thần trong phân tích tổng hợp của Schmitt và cộng sự (2014), và cùng chiều với các nghiên cứu nơi làm việc ở Hoa Kỳ (Velez và cộng sự, 2013; Waldo, 1999). Dạng của mối liên hệ gần như tuyến tính, vì phơi nhiễm cao đi kèm điểm cao hơn rõ rệt và hàm spline không cho bằng chứng về quan hệ phi tuyến, nhưng dữ liệu không phân biệt được mối liên hệ phản ánh việc có bất kỳ trải nghiệm kỳ thị nào hay phản ánh tần suất của các trải nghiệm đó.</w:t>
      </w:r>
    </w:p>
    <w:p>
      <w:pPr>
        <w:pStyle w:val="BodyText"/>
      </w:pPr>
      <w:r>
        <w:t xml:space="preserve">Gradient là điều kiện cần cho cách diễn giải định kiến, nhưng chưa đủ để kết luận kỳ thị làm tăng triệu chứng, vì vẫn còn ba cách giải thích khác. Thứ nhất, chiều của mối liên hệ có thể một phần đi từ triệu chứng đến báo cáo: người có nhiều triệu chứng hơn có thể nhớ lại hoặc hiểu nhiều sự kiện hơn là kỳ thị, hoặc có thể bị đồng nghiệp đối xử tệ hơn. Thứ hai, một yếu tố mà mô hình không đo, như bị gia đình từ chối hoặc bị kỳ thị trong các lĩnh vực khác của đời sống, có thể chi phối cả trải nghiệm ở nơi làm việc lẫn triệu chứng. Thứ ba, vì phần kỳ thị đứng ngay trước PHQ-4, việc nhớ lại các sự kiện kỳ thị có thể làm điểm triệu chứng phía sau cao lên (Schwarz, 1999). Các phân tích chỉ xử lý được một phần những cách giải thích này. Phân tích độ nhạy cho thấy một biến nhiễu phải liên hệ với kỳ thị và triệu chứng mạnh gấp nhiều lần học vấn mới xóa được mối liên hệ, nhưng không chứng minh được rằng không có biến nhiễu như vậy, và sự từ chối của gia đình hoàn toàn có thể mạnh đến mức đó. Dữ liệu cũng không tách được cách giải thích thứ nhất và thứ ba khỏi một ảnh hưởng của kỳ thị lên triệu chứng.</w:t>
      </w:r>
    </w:p>
    <w:bookmarkEnd w:id="45"/>
    <w:bookmarkStart w:id="46" w:name="X39725a0d94f0631d5e982a38ce7b220574337ce"/>
    <w:p>
      <w:pPr>
        <w:pStyle w:val="Heading2"/>
      </w:pPr>
      <w:r>
        <w:t xml:space="preserve">Kỳ thị trong giao tiếp và sức khỏe tâm thần</w:t>
      </w:r>
    </w:p>
    <w:p>
      <w:pPr>
        <w:pStyle w:val="FirstParagraph"/>
      </w:pPr>
      <w:r>
        <w:t xml:space="preserve">Mối liên hệ rõ ràng với kỳ thị trong giao tiếp, gồm lời đùa hoặc bình luận xúc phạm, câu hỏi riêng tư không mong muốn về xu hướng tính dục, bản dạng giới hoặc đời sống tình cảm, và việc bị tiết lộ khi chưa đồng ý. Các tình huống trong giao tiếp cũng là phổ biến nhất, nên mối liên hệ của chúng với triệu chứng được ước lượng chính xác nhất. Khoảng tin cậy của kỳ thị liên quan đến nghề nghiệp và kỳ thị về thể hiện giới chứa các giá trị lớn bằng hệ số của kỳ thị trong giao tiếp, không hiệu số từng cặp nào phân biệt được với không, và độ nhất quán nội tại thấp của các chỉ số thành phần làm cả ba ước lượng nhiễu hơn. Vì vậy, kết quả không cho thấy phân biệt đối xử chính thức hay kỳ thị về thể hiện giới liên hệ yếu hơn với triệu chứng. Kết quả cho thấy hình thức kỳ thị phổ biến nhất trong mẫu này cũng là hình thức đi kèm triệu chứng một cách rõ ràng.</w:t>
      </w:r>
    </w:p>
    <w:p>
      <w:pPr>
        <w:pStyle w:val="BodyText"/>
      </w:pPr>
      <w:r>
        <w:t xml:space="preserve">Phát hiện này phù hợp với bằng chứng rằng các vi hành vi gây hấn đi kèm đau khổ tâm lý (Nadal và cộng sự, 2016), và khớp với bối cảnh Việt Nam đã mô tả ở phần Đặt vấn đề. Khi luật lao động không nêu xu hướng tính dục hay bản dạng giới, lời đùa và câu hỏi xâm phạm đời tư càng dễ bị coi là chuyện riêng giữa đồng nghiệp, và người bị nhắm đến có ít cách phản ứng chính thức. Như vậy, những hành vi có thể bị xem nhẹ lại là hình thức kỳ thị được người lao động LGBT báo cáo nhiều nhất, và chúng đi kèm rõ ràng với triệu chứng lo âu và trầm cảm.</w:t>
      </w:r>
    </w:p>
    <w:bookmarkEnd w:id="46"/>
    <w:bookmarkStart w:id="47" w:name="hàm-ý-chính-sách"/>
    <w:p>
      <w:pPr>
        <w:pStyle w:val="Heading2"/>
      </w:pPr>
      <w:r>
        <w:t xml:space="preserve">Hàm ý chính sách</w:t>
      </w:r>
    </w:p>
    <w:p>
      <w:pPr>
        <w:pStyle w:val="FirstParagraph"/>
      </w:pPr>
      <w:r>
        <w:t xml:space="preserve">Hàm ý thứ nhất liên quan đến cách diễn giải chênh lệch về sức khỏe tâm thần. Mức triệu chứng cao hơn ở người LGBT đôi khi được đọc như bằng chứng rằng bản dạng LGBT là bệnh lý. Tuy nhiên, trong mẫu này, mức triệu chứng thay đổi theo tần suất người lao động bị kỳ thị ở nơi làm việc, điều mà cách giải thích dựa trên bản dạng không dự báo. Phát hiện này phù hợp với quan điểm của Bộ Y tế (Ministry of Health of Vietnam, 2022) rằng bản dạng thiểu số về tính dục và giới không được coi là bệnh, và gợi ý rằng các chương trình y tế và chương trình tại nơi làm việc nên nhắm vào những điều kiện mà người lao động LGBT phải đối mặt thay vì coi bản dạng LGBT tự nó là một yếu tố nguy cơ.</w:t>
      </w:r>
    </w:p>
    <w:p>
      <w:pPr>
        <w:pStyle w:val="BodyText"/>
      </w:pPr>
      <w:r>
        <w:t xml:space="preserve">Hàm ý thứ hai liên quan đến luật lao động, vì khoản 8 Điều 3 Bộ luật Lao động định nghĩa phân biệt đối xử trong lao động qua một danh sách căn cứ không nêu xu hướng tính dục hay bản dạng giới (National Assembly of Vietnam, 2019). Bổ sung các căn cứ này sẽ cho người lao động cơ sở để khiếu nại các quyết định chính thức như về đào tạo, đánh giá và tiền lương. Tuy nhiên, các hình thức kỳ thị mà người lao động LGBT báo cáo nhiều nhất lại thuộc về giao tiếp, và nằm ngoài định nghĩa hẹp về phân biệt đối xử là sự phân biệt, loại trừ hoặc ưu tiên. Vì vậy, bảo vệ hiệu quả còn cần các quy định về ứng xử nơi làm việc bao quát lời đùa miệt thị, việc hỏi han xâm phạm đời tư và việc tiết lộ xu hướng tính dục hay bản dạng giới của người lao động khi chưa được đồng ý.</w:t>
      </w:r>
    </w:p>
    <w:p>
      <w:pPr>
        <w:pStyle w:val="BodyText"/>
      </w:pPr>
      <w:r>
        <w:t xml:space="preserve">Hàm ý thứ ba liên quan đến người sử dụng lao động, những người có thể hành động mà không cần chờ luật thay đổi, vì ở Việt Nam mức bảo vệ chủ yếu phụ thuộc vào từng tổ chức. Bộ quy tắc ứng xử có thể nêu rõ lời đùa miệt thị và câu hỏi xâm phạm về xu hướng tính dục, bản dạng giới và đời tư là không được chấp nhận, bảo vệ thông tin về bản dạng của người lao động, và tạo một kênh phản ánh mà người lao động thấy an toàn. Nghiên cứu này không cho biết các biện pháp như vậy có làm yếu mối liên hệ giữa kỳ thị và triệu chứng hay không, nên cần lồng việc đánh giá vào khi triển khai chúng. Mọi hàm ý trên đều giả định rằng mối liên hệ ít nhất một phần phản ánh ảnh hưởng của kỳ thị lên triệu chứng, điều mà thiết kế cắt ngang không xác lập được, và cần được đọc kèm lưu ý đó.</w:t>
      </w:r>
    </w:p>
    <w:bookmarkEnd w:id="47"/>
    <w:bookmarkStart w:id="48" w:name="hạn-chế-và-hướng-nghiên-cứu-tiếp-theo"/>
    <w:p>
      <w:pPr>
        <w:pStyle w:val="Heading2"/>
      </w:pPr>
      <w:r>
        <w:t xml:space="preserve">Hạn chế và hướng nghiên cứu tiếp theo</w:t>
      </w:r>
    </w:p>
    <w:p>
      <w:pPr>
        <w:pStyle w:val="FirstParagraph"/>
      </w:pPr>
      <w:r>
        <w:t xml:space="preserve">Dù nghiên cứu cung cấp bằng chứng mới về các hình thức kỳ thị nơi làm việc mà người lao động LGBT tại Việt Nam gặp và mối liên hệ của chúng với sức khỏe tâm thần, kết quả cần được xem xét cùng một số hạn chế. Thứ nhất, thiết kế cắt ngang nên không xác lập được chiều của mối liên hệ. Các thiết kế theo dõi đo kỳ thị và triệu chứng nhiều lần, kể cả thiết kế nhật ký ghi nhận sự kiện gần thời điểm xảy ra, sẽ cho phép xem xét thứ tự thời gian. Thứ hai, phơi nhiễm và kết quả do cùng một người báo cáo trong một bảng hỏi, và vì phần kỳ thị đứng ngay trước PHQ-4, dữ liệu không kiểm định được thứ tự này có làm điểm triệu chứng cao lên hay không. Các khảo sát sau nên tách hai phần hoặc xáo trộn thứ tự.</w:t>
      </w:r>
    </w:p>
    <w:p>
      <w:pPr>
        <w:pStyle w:val="BodyText"/>
      </w:pPr>
      <w:r>
        <w:t xml:space="preserve">Thứ ba, người tham gia được tuyển theo phương pháp thuận tiện và quả cầu tuyết. Việc tham gia có thể phụ thuộc vào cả kỳ thị lẫn đau khổ tâm lý (Hernán và cộng sự, 2004), và tiêu chí đang có việc làm đã loại những người đã nghỉ việc, có thể chính vì kỳ thị hoặc đau khổ. Mẫu tập trung ở Thành phố Hồ Chí Minh, ở người có bằng đại học và ở ngành giáo dục, truyền thông, nên các ước lượng tỷ lệ có thể không khái quát được cho người lao động LGBT ở nông thôn, trong khu vực phi chính thức hoặc ở các ngành khác. Tuyển chọn quả cầu tuyết cũng có thể tạo ra sai số tương quan giữa những người cùng mạng lưới hoặc cùng nơi làm việc. Vì không ghi nhận mã mạng lưới hay nơi làm việc, sai số chuẩn không thể được tính theo cụm và có thể bị đánh giá thấp; wild bootstrap xử lý suy diễn trong mẫu nhỏ nhưng không xử lý tính cụm.</w:t>
      </w:r>
    </w:p>
    <w:p>
      <w:pPr>
        <w:pStyle w:val="BodyText"/>
      </w:pPr>
      <w:r>
        <w:t xml:space="preserve">Thứ tư, các thước đo có hạn chế: các tình huống kỳ thị chưa được thẩm định chính thức, và mỗi hình thức chỉ có hai hoặc ba tình huống, dẫn đến các chỉ số thành phần có độ nhất quán nội tại thấp. Bị loại khỏi đào tạo quá hiếm để phân tích, và số ít sự kiện liên quan đến nghề nghiệp làm giảm độ chính xác của ước lượng cho hình thức này. Tình huống 8 chủ yếu áp dụng cho người chuyển giới và phi nhị nguyên, và tuy mã hóa</w:t>
      </w:r>
      <w:r>
        <w:t xml:space="preserve"> </w:t>
      </w:r>
      <w:r>
        <w:t xml:space="preserve">“không áp dụng”</w:t>
      </w:r>
      <w:r>
        <w:t xml:space="preserve"> </w:t>
      </w:r>
      <w:r>
        <w:t xml:space="preserve">là giá trị thiếu tránh được việc coi đó là không có kỳ thị, chỉ số của khoảng một phần năm người tham gia chỉ dựa trên các tình huống còn lại. Ngoài ra, chưa có nghiên cứu thẩm định PHQ-4 tiếng Việt. Nghiên cứu sau nên thẩm định một thang đo kỳ thị nơi làm việc tiếng Việt có nhiều tình huống hơn cho mỗi hình thức và dùng các thang triệu chứng dài hơn.</w:t>
      </w:r>
    </w:p>
    <w:p>
      <w:pPr>
        <w:pStyle w:val="BodyText"/>
      </w:pPr>
      <w:r>
        <w:t xml:space="preserve">Thứ năm, các biến kiểm soát không bao quát căng thẳng thiểu số ngoài nơi làm việc, như bị gia đình từ chối. Tình trạng quan hệ có thể phần nào phản ánh triệu chứng, và địa bàn làm việc, ngành có thể phản ánh việc chuyển đến những nơi hay ngành được cảm nhận là cởi mở hơn, tuy bỏ ngành, hoặc bỏ tình trạng quan hệ và địa bàn, ít làm thay đổi ước lượng. Các mô hình điều chỉnh tám nhóm biến trên mẫu 235 người, nên phải gộp các nhóm thưa, và phân tích độ nhạy cho biết một biến nhiễu bị bỏ sót phải mạnh đến mức nào, nhưng không chứng minh được rằng không có biến như vậy. Cuối cùng, nhóm người chuyển giới và phi nhị nguyên quá nhỏ để phân tích riêng, và các rào cản liên quan đến bản dạng giới mà những người lao động này gặp có thể khác về bản chất so với kỳ thị mà người lao động LGBT hợp giới gặp. Lặp lại nghiên cứu trên một mẫu mới, lớn hơn, có tuyển chọn chủ đích người lao động chuyển giới và phi nhị nguyên, sẽ là một kiểm định mạnh hơn cho các mối liên hệ được báo cáo ở đây.</w:t>
      </w:r>
    </w:p>
    <w:bookmarkEnd w:id="48"/>
    <w:bookmarkEnd w:id="49"/>
    <w:bookmarkStart w:id="50" w:name="kết-luận-conclusions"/>
    <w:p>
      <w:pPr>
        <w:pStyle w:val="Heading1"/>
      </w:pPr>
      <w:r>
        <w:t xml:space="preserve">Kết luận (Conclusions)</w:t>
      </w:r>
    </w:p>
    <w:p>
      <w:pPr>
        <w:pStyle w:val="FirstParagraph"/>
      </w:pPr>
      <w:r>
        <w:t xml:space="preserve">Tóm lại, nghiên cứu này ghi nhận rằng hơn một nửa số người lao động LGBT trong mẫu ở Việt Nam đã gặp kỳ thị tại nơi làm việc trong 12 tháng qua, thường gặp nhất dưới dạng câu hỏi riêng tư không mong muốn và lời đùa xúc phạm. Người lao động gặp kỳ thị thường xuyên hơn báo cáo nhiều triệu chứng lo âu và trầm cảm hơn, và mối liên hệ này giữ tương tự qua nhiều lựa chọn phân tích. Trong các phân tích thăm dò, mối liên hệ rõ ràng với kỳ thị trong giao tiếp, còn kết quả với kỳ thị liên quan đến nghề nghiệp và kỳ thị về thể hiện giới chưa xác định. Một gradient như vậy bên trong nhóm được lý thuyết căng thẳng thiểu số dự báo, và không được dự báo bởi cách giải thích coi bản dạng thiểu số về tính dục hay giới là nguồn gốc của đau khổ. Dù thiết kế cắt ngang để ngỏ chiều của mối liên hệ, các phát hiện hướng sự chú ý ra khỏi bản dạng LGBT và về phía cách người lao động LGBT bị đối xử, kể cả những hành vi giao tiếp thường ngày mà luật lao động Việt Nam hiện chưa điều chỉnh.</w:t>
      </w:r>
    </w:p>
    <w:bookmarkEnd w:id="50"/>
    <w:bookmarkStart w:id="51" w:name="khai-báo-declarations"/>
    <w:p>
      <w:pPr>
        <w:pStyle w:val="Heading1"/>
      </w:pPr>
      <w:r>
        <w:t xml:space="preserve">Khai báo (Declarations)</w:t>
      </w:r>
    </w:p>
    <w:p>
      <w:pPr>
        <w:pStyle w:val="FirstParagraph"/>
      </w:pPr>
      <w:r>
        <w:rPr>
          <w:b/>
          <w:bCs/>
        </w:rPr>
        <w:t xml:space="preserve">Tài trợ (Funding).</w:t>
      </w:r>
      <w:r>
        <w:t xml:space="preserve"> </w:t>
      </w:r>
      <w:r>
        <w:t xml:space="preserve">Đã ẩn để bình duyệt kín. Thông tin tài trợ nằm ở trang tiêu đề riêng.</w:t>
      </w:r>
    </w:p>
    <w:p>
      <w:pPr>
        <w:pStyle w:val="BodyText"/>
      </w:pPr>
      <w:r>
        <w:rPr>
          <w:b/>
          <w:bCs/>
        </w:rPr>
        <w:t xml:space="preserve">Xung đột lợi ích (Conflicts of Interest/Competing Interests).</w:t>
      </w:r>
      <w:r>
        <w:t xml:space="preserve"> </w:t>
      </w:r>
      <w:r>
        <w:t xml:space="preserve">Các tác giả không có lợi ích tài chính hay phi tài chính liên quan nào cần khai báo.</w:t>
      </w:r>
    </w:p>
    <w:p>
      <w:pPr>
        <w:pStyle w:val="BodyText"/>
      </w:pPr>
      <w:r>
        <w:rPr>
          <w:b/>
          <w:bCs/>
        </w:rPr>
        <w:t xml:space="preserve">Tính sẵn có của dữ liệu và tư liệu (Availability of Data and Material).</w:t>
      </w:r>
      <w:r>
        <w:t xml:space="preserve"> </w:t>
      </w:r>
      <w:r>
        <w:t xml:space="preserve">Dữ liệu chứa dữ liệu cá nhân nhạy cảm về xu hướng tính dục, bản dạng giới và sức khỏe theo Luật Bảo vệ dữ liệu cá nhân của Việt Nam (Luật số 91/2025/QH15) và Nghị định số 356/2025/NĐ-CP, nên không thể công bố công khai. Kết quả tổng hợp, với các ô dưới 10 người đã được ẩn, được cung cấp khi có yêu cầu hợp lý gửi tác giả liên hệ.</w:t>
      </w:r>
    </w:p>
    <w:p>
      <w:pPr>
        <w:pStyle w:val="BodyText"/>
      </w:pPr>
      <w:r>
        <w:rPr>
          <w:b/>
          <w:bCs/>
        </w:rPr>
        <w:t xml:space="preserve">Tính sẵn có của mã (Code Availability).</w:t>
      </w:r>
      <w:r>
        <w:t xml:space="preserve"> </w:t>
      </w:r>
      <w:r>
        <w:t xml:space="preserve">Mọi phân tích được thực hiện bằng Stata 17 và được tái lập độc lập bằng Python. Mã phân tích được cung cấp khi có yêu cầu hợp lý gửi tác giả liên hệ.</w:t>
      </w:r>
    </w:p>
    <w:p>
      <w:pPr>
        <w:pStyle w:val="BodyText"/>
      </w:pPr>
      <w:r>
        <w:rPr>
          <w:b/>
          <w:bCs/>
        </w:rPr>
        <w:t xml:space="preserve">Đóng góp của tác giả (Authors’ Contributions).</w:t>
      </w:r>
      <w:r>
        <w:t xml:space="preserve"> </w:t>
      </w:r>
      <w:r>
        <w:t xml:space="preserve">Đã ẩn để bình duyệt kín. Phần đóng góp nằm ở trang tiêu đề riêng.</w:t>
      </w:r>
    </w:p>
    <w:bookmarkEnd w:id="51"/>
    <w:bookmarkStart w:id="52" w:name="X8788a3397d4556c61e9003fa0b88c2ea259c59d"/>
    <w:p>
      <w:pPr>
        <w:pStyle w:val="Heading1"/>
      </w:pPr>
      <w:r>
        <w:t xml:space="preserve">Tuân thủ chuẩn mực đạo đức (Compliance with Ethical Standards)</w:t>
      </w:r>
    </w:p>
    <w:p>
      <w:pPr>
        <w:pStyle w:val="FirstParagraph"/>
      </w:pPr>
      <w:r>
        <w:rPr>
          <w:b/>
          <w:bCs/>
        </w:rPr>
        <w:t xml:space="preserve">Công bố xung đột lợi ích tiềm năng.</w:t>
      </w:r>
      <w:r>
        <w:t xml:space="preserve"> </w:t>
      </w:r>
      <w:r>
        <w:t xml:space="preserve">Các tác giả tuyên bố không có xung đột lợi ích.</w:t>
      </w:r>
    </w:p>
    <w:p>
      <w:pPr>
        <w:pStyle w:val="BodyText"/>
      </w:pPr>
      <w:r>
        <w:rPr>
          <w:b/>
          <w:bCs/>
        </w:rPr>
        <w:t xml:space="preserve">Nghiên cứu có người tham gia.</w:t>
      </w:r>
      <w:r>
        <w:t xml:space="preserve"> </w:t>
      </w:r>
      <w:r>
        <w:t xml:space="preserve">[Tác giả: chèn câu về phê duyệt hoặc miễn xét duyệt đạo đức, kèm số và ngày, và câu về Tuyên bố Helsinki. Trong bản ẩn danh, tên hội đồng ghi</w:t>
      </w:r>
      <w:r>
        <w:t xml:space="preserve"> </w:t>
      </w:r>
      <w:r>
        <w:t xml:space="preserve">“masked for review”</w:t>
      </w:r>
      <w:r>
        <w:t xml:space="preserve">.]</w:t>
      </w:r>
    </w:p>
    <w:p>
      <w:pPr>
        <w:pStyle w:val="BodyText"/>
      </w:pPr>
      <w:r>
        <w:rPr>
          <w:b/>
          <w:bCs/>
        </w:rPr>
        <w:t xml:space="preserve">Đồng ý tham gia.</w:t>
      </w:r>
      <w:r>
        <w:t xml:space="preserve"> </w:t>
      </w:r>
      <w:r>
        <w:t xml:space="preserve">Trước khi trả lời, người tham gia đọc một trang thông tin mô tả nghiên cứu, cảnh báo rằng bảng hỏi có câu hỏi nhạy cảm, và giải thích rằng họ có thể bỏ qua bất kỳ câu nào hoặc dừng bất cứ lúc nào. Người tham gia đồng ý có hiểu biết bằng cách tiếp tục trả lời bảng hỏi, và không có thông tin định danh nào được thu thập.</w:t>
      </w:r>
    </w:p>
    <w:bookmarkEnd w:id="52"/>
    <w:bookmarkStart w:id="53" w:name="lời-cảm-ơn-acknowledgments"/>
    <w:p>
      <w:pPr>
        <w:pStyle w:val="Heading1"/>
      </w:pPr>
      <w:r>
        <w:t xml:space="preserve">Lời cảm ơn (Acknowledgments)</w:t>
      </w:r>
    </w:p>
    <w:p>
      <w:pPr>
        <w:pStyle w:val="FirstParagraph"/>
      </w:pPr>
      <w:r>
        <w:t xml:space="preserve">Chúng tôi cảm ơn những người tham gia và các tổ chức cộng đồng đã giúp lan tỏa bảng hỏi. Các lời cảm ơn khác đã được ẩn để bình duyệt kín.</w:t>
      </w:r>
    </w:p>
    <w:bookmarkEnd w:id="53"/>
    <w:bookmarkStart w:id="54" w:name="tài-liệu-tham-khảo"/>
    <w:p>
      <w:pPr>
        <w:pStyle w:val="Heading1"/>
      </w:pPr>
      <w:r>
        <w:t xml:space="preserve">Tài liệu tham khảo</w:t>
      </w:r>
    </w:p>
    <w:p>
      <w:pPr>
        <w:pStyle w:val="FirstParagraph"/>
      </w:pPr>
      <w:r>
        <w:t xml:space="preserve">Giữ nguyên tiếng Anh, xem</w:t>
      </w:r>
      <w:r>
        <w:t xml:space="preserve"> </w:t>
      </w:r>
      <w:r>
        <w:rPr>
          <w:rStyle w:val="VerbatimChar"/>
        </w:rPr>
        <w:t xml:space="preserve">docs/bai_nckh/srsp/Manuscript.docx</w:t>
      </w:r>
      <w:r>
        <w:t xml:space="preserve">.</w:t>
      </w:r>
    </w:p>
    <w:bookmarkEnd w:id="54"/>
    <w:bookmarkStart w:id="57" w:name="tài-liệu-bổ-sung-supplementary-material"/>
    <w:p>
      <w:pPr>
        <w:pStyle w:val="Heading1"/>
      </w:pPr>
      <w:r>
        <w:t xml:space="preserve">Tài liệu bổ sung (Supplementary Material)</w:t>
      </w:r>
    </w:p>
    <w:p>
      <w:pPr>
        <w:pStyle w:val="FirstParagraph"/>
      </w:pPr>
      <w:r>
        <w:t xml:space="preserve">Các tài liệu được trích trong phần bổ sung nằm trong danh mục tài liệu tham khảo của bài chính.</w:t>
      </w:r>
    </w:p>
    <w:bookmarkStart w:id="55" w:name="X86f768ee56b2a108187221ca3a2a5d2326579f1"/>
    <w:p>
      <w:pPr>
        <w:pStyle w:val="Heading2"/>
      </w:pPr>
      <w:r>
        <w:t xml:space="preserve">Phương pháp bổ sung (Supplementary Methods)</w:t>
      </w:r>
    </w:p>
    <w:p>
      <w:pPr>
        <w:pStyle w:val="FirstParagraph"/>
      </w:pPr>
      <w:r>
        <w:rPr>
          <w:b/>
          <w:bCs/>
        </w:rPr>
        <w:t xml:space="preserve">S1. Gộp các nhóm thưa của biến kiểm soát.</w:t>
      </w:r>
      <w:r>
        <w:t xml:space="preserve"> </w:t>
      </w:r>
      <w:r>
        <w:t xml:space="preserve">Trong mỗi mẫu ước lượng, một nhóm của biến kiểm soát có dưới năm người được gộp trước khi ước lượng. Với biến có thứ bậc (nhóm tuổi, học vấn, kinh nghiệm làm việc, quy mô tổ chức và số giờ làm việc), nhóm đó được gộp với nhóm liền kề gần trung vị hơn. Với biến định danh, nhóm đó được gộp vào nhóm</w:t>
      </w:r>
      <w:r>
        <w:t xml:space="preserve"> </w:t>
      </w:r>
      <w:r>
        <w:t xml:space="preserve">“khác”</w:t>
      </w:r>
      <w:r>
        <w:t xml:space="preserve"> </w:t>
      </w:r>
      <w:r>
        <w:t xml:space="preserve">chung. Một nhóm</w:t>
      </w:r>
      <w:r>
        <w:t xml:space="preserve"> </w:t>
      </w:r>
      <w:r>
        <w:t xml:space="preserve">“không muốn trả lời”</w:t>
      </w:r>
      <w:r>
        <w:t xml:space="preserve"> </w:t>
      </w:r>
      <w:r>
        <w:t xml:space="preserve">thưa được gộp vào nhóm chung nếu có, nếu không thì vào nhóm lớn nhất. Quy tắc chỉ dựa trên số đếm. Trong mẫu chính, nhóm</w:t>
      </w:r>
      <w:r>
        <w:t xml:space="preserve"> </w:t>
      </w:r>
      <w:r>
        <w:t xml:space="preserve">“không muốn trả lời”</w:t>
      </w:r>
      <w:r>
        <w:t xml:space="preserve"> </w:t>
      </w:r>
      <w:r>
        <w:t xml:space="preserve">của nhóm tuổi được gộp vào nhóm 25–34, và nhóm tương ứng của nhóm xu hướng tính dục được gộp vào nhóm xu hướng khác hoặc đang tìm hiểu. Trong các đặc điểm công việc, các nhóm thưa của kinh nghiệm làm việc, vị trí, quan hệ lao động, loại hình tổ chức, bảo hiểm xã hội và số giờ làm việc đã được gộp.</w:t>
      </w:r>
    </w:p>
    <w:p>
      <w:pPr>
        <w:pStyle w:val="BodyText"/>
      </w:pPr>
      <w:r>
        <w:rPr>
          <w:b/>
          <w:bCs/>
        </w:rPr>
        <w:t xml:space="preserve">S2. Các phân tích độ nhạy và đường cong đặc tả.</w:t>
      </w:r>
      <w:r>
        <w:t xml:space="preserve"> </w:t>
      </w:r>
      <w:r>
        <w:t xml:space="preserve">Các phân tích độ nhạy trong Bảng 8 (1) thêm đặc điểm công việc; (2) coi</w:t>
      </w:r>
      <w:r>
        <w:t xml:space="preserve"> </w:t>
      </w:r>
      <w:r>
        <w:t xml:space="preserve">“không muốn trả lời”</w:t>
      </w:r>
      <w:r>
        <w:t xml:space="preserve"> </w:t>
      </w:r>
      <w:r>
        <w:t xml:space="preserve">là giá trị thiếu; (3) tách việc có phơi nhiễm khỏi cường độ ở những người có phơi nhiễm và ước lượng hàm spline bậc ba có ràng buộc với các nút ở bách phân vị thứ 10, 50 và 90 của</w:t>
      </w:r>
      <w:r>
        <w:t xml:space="preserve"> </w:t>
      </w:r>
      <w:r>
        <w:rPr>
          <w:i/>
          <w:iCs/>
        </w:rPr>
        <w:t xml:space="preserve">S</w:t>
      </w:r>
      <w:r>
        <w:t xml:space="preserve"> </w:t>
      </w:r>
      <w:r>
        <w:t xml:space="preserve">trong số những người có phơi nhiễm; (4) ước lượng mô hình logit phân số cho điểm PHQ-4 chia 12 và báo cáo hiệu ứng biên trung bình nhân 12 (Papke &amp; Wooldridge, 1996); (5) gán giá trị đa lần theo chuỗi phương trình với 20 bộ dữ liệu trên 300 người LGBT, gán cho điểm PHQ-4,</w:t>
      </w:r>
      <w:r>
        <w:t xml:space="preserve"> </w:t>
      </w:r>
      <w:r>
        <w:rPr>
          <w:i/>
          <w:iCs/>
        </w:rPr>
        <w:t xml:space="preserve">S</w:t>
      </w:r>
      <w:r>
        <w:t xml:space="preserve"> </w:t>
      </w:r>
      <w:r>
        <w:t xml:space="preserve">và các biến kiểm soát bị thiếu (White và cộng sự, 2011); (6) loại các phiếu bị gắn cờ; (7) loại các quan sát có khoảng cách Cook lớn hơn 4/</w:t>
      </w:r>
      <w:r>
        <w:rPr>
          <w:i/>
          <w:iCs/>
        </w:rPr>
        <w:t xml:space="preserve">n</w:t>
      </w:r>
      <w:r>
        <w:t xml:space="preserve">; (8) dùng wild bootstrap có ràng buộc với trọng số Webb và 9.999 lần lặp (Davidson &amp; Flachaire, 2008; Roodman và cộng sự, 2019); và (9) bỏ ngành khỏi các biến kiểm soát. Đường cong đặc tả (Simonsohn và cộng sự, 2020; Bảng S5) kết hợp bốn cách dựng chỉ số kỳ thị (trung bình tám tình huống; trung bình tình huống 1 đến 7 với ít nhất bốn câu được trả lời; số tình huống đã gặp; và trung bình tám tình huống ở những người trả lời đủ tám), hai bộ biến kiểm soát (chỉ Xᴰ, hoặc Xᴰ cùng Xᴶ), hai định nghĩa nhóm LGBT (chỉ tự nhận, hoặc tự nhận đồng thời có xu hướng không dị tính hay bản dạng giới thiểu số), và việc giữ hoặc loại người chuyển giới, phi nhị nguyên.</w:t>
      </w:r>
    </w:p>
    <w:p>
      <w:pPr>
        <w:pStyle w:val="BodyText"/>
      </w:pPr>
      <w:r>
        <w:rPr>
          <w:b/>
          <w:bCs/>
        </w:rPr>
        <w:t xml:space="preserve">S3. Nhiễu không đo được và chẩn đoán.</w:t>
      </w:r>
      <w:r>
        <w:t xml:space="preserve"> </w:t>
      </w:r>
      <w:r>
        <w:t xml:space="preserve">Khung sai lệch do biến bị bỏ sót của Cinelli và Hazlett (2020) báo cáo</w:t>
      </w:r>
      <w:r>
        <w:t xml:space="preserve"> </w:t>
      </w:r>
      <w:r>
        <w:rPr>
          <w:i/>
          <w:iCs/>
        </w:rPr>
        <w:t xml:space="preserve">R</w:t>
      </w:r>
      <w:r>
        <w:t xml:space="preserve">² riêng phần của</w:t>
      </w:r>
      <w:r>
        <w:t xml:space="preserve"> </w:t>
      </w:r>
      <w:r>
        <w:rPr>
          <w:i/>
          <w:iCs/>
        </w:rPr>
        <w:t xml:space="preserve">S</w:t>
      </w:r>
      <w:r>
        <w:t xml:space="preserve"> </w:t>
      </w:r>
      <w:r>
        <w:t xml:space="preserve">với điểm PHQ-4 và các giá trị độ bền, tức mức mà một biến nhiễu bị bỏ sót phải đạt để đưa η về không hoặc làm khoảng tin cậy 95% của nó chứa không (Bảng S3). Các giá trị này được so sánh với sức giải thích của giới tính khi sinh và của học vấn, mỗi biến đưa vào như một nhóm biến giả, ở mức một, hai và ba lần sức mạnh quan sát được. Các chẩn đoán của mô hình chính gồm kiểm định Breusch-Pagan, hệ số phóng đại phương sai tổng quát (Fox &amp; Monette, 1992), kiểm định RESET của Ramsey, khoảng cách Cook và giá trị đòn bẩy (Bảng S2). Các chẩn đoán chỉ mang tính mô tả và không làm thay đổi phương pháp ước lượng, vì sai số chuẩn HC3 đã được chọn trước khi ước lượng.</w:t>
      </w:r>
    </w:p>
    <w:p>
      <w:pPr>
        <w:pStyle w:val="BodyText"/>
      </w:pPr>
      <w:r>
        <w:rPr>
          <w:b/>
          <w:bCs/>
        </w:rPr>
        <w:t xml:space="preserve">S4. Các cách tiếp cận không sử dụng.</w:t>
      </w:r>
      <w:r>
        <w:t xml:space="preserve"> </w:t>
      </w:r>
      <w:r>
        <w:t xml:space="preserve">Biến công cụ không được dùng vì không có biến nào hợp lý vừa ảnh hưởng đến kỳ thị vừa không ảnh hưởng trực tiếp đến triệu chứng. Ghép điểm xu hướng dựa trên cùng giả định chọn theo biến quan sát được như điều chỉnh hồi quy, và không phù hợp với một phơi nhiễm liên tục. Mô hình chọn mẫu Heckman cần dữ liệu về những người không tham gia, mà khảo sát này không có. Kiểm định một nhân tố của Harman không phát hiện được sai lệch do cùng phương pháp đo (Podsakoff và cộng sự, 2003), và cách tiếp cận ổn định hệ số của Oster (2019) dựa trên giả định chọn theo tỷ lệ, khó biện minh với một kết quả tâm lý do người tham gia tự báo cáo.</w:t>
      </w:r>
    </w:p>
    <w:bookmarkEnd w:id="55"/>
    <w:bookmarkStart w:id="56" w:name="bảng-bổ-sung-supplementary-tables"/>
    <w:p>
      <w:pPr>
        <w:pStyle w:val="Heading2"/>
      </w:pPr>
      <w:r>
        <w:t xml:space="preserve">Bảng bổ sung (Supplementary Tables)</w:t>
      </w:r>
    </w:p>
    <w:p>
      <w:pPr>
        <w:pStyle w:val="FirstParagraph"/>
      </w:pPr>
      <w:r>
        <w:rPr>
          <w:b/>
          <w:bCs/>
        </w:rPr>
        <w:t xml:space="preserve">Bảng S1</w:t>
      </w:r>
      <w:r>
        <w:t xml:space="preserve"> </w:t>
      </w:r>
      <w:r>
        <w:rPr>
          <w:i/>
          <w:iCs/>
        </w:rPr>
        <w:t xml:space="preserve">Điểm PHQ-4 theo các đặc điểm có trước phơi nhiễm (mẫu chính, n = 235)</w:t>
      </w:r>
    </w:p>
    <w:tbl>
      <w:tblPr>
        <w:tblStyle w:val="Table"/>
        <w:tblW w:w="9359"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118"/>
        <w:gridCol w:w="1310"/>
        <w:gridCol w:w="936"/>
        <w:gridCol w:w="1872"/>
        <w:gridCol w:w="1123"/>
      </w:tblGrid>
      <w:tr>
        <w:trPr>
          <w:cantSplit/>
          <w:tblHeader/>
        </w:trPr>
        <w:tc>
          <w:tcPr>
            <w:tcW w:w="4118"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Đặc điểm</w:t>
            </w:r>
          </w:p>
        </w:tc>
        <w:tc>
          <w:tcPr>
            <w:tcW w:w="1310"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Hệ số</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SE</w:t>
            </w:r>
          </w:p>
        </w:tc>
        <w:tc>
          <w:tcPr>
            <w:tcW w:w="1872"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KTC 95%</w:t>
            </w:r>
          </w:p>
        </w:tc>
        <w:tc>
          <w:tcPr>
            <w:tcW w:w="1123"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p</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Tuổi 25–34 (tham chiếu 18–24)</w:t>
            </w:r>
          </w:p>
        </w:tc>
        <w:tc>
          <w:tcPr>
            <w:tcW w:w="1310" w:type="dxa"/>
          </w:tcPr>
          <w:p>
            <w:pPr>
              <w:pStyle w:val="Compact"/>
              <w:spacing w:before="0" w:after="0" w:line="240" w:lineRule="auto"/>
              <w:ind w:firstLine="0" w:left="0"/>
              <w:jc w:val="center"/>
            </w:pPr>
            <w:r>
              <w:rPr>
                <w:rFonts w:ascii="Times New Roman" w:hAnsi="Times New Roman"/>
                <w:sz w:val="20"/>
              </w:rPr>
              <w:t xml:space="preserve">0,57</w:t>
            </w:r>
          </w:p>
        </w:tc>
        <w:tc>
          <w:tcPr>
            <w:tcW w:w="936" w:type="dxa"/>
          </w:tcPr>
          <w:p>
            <w:pPr>
              <w:pStyle w:val="Compact"/>
              <w:spacing w:before="0" w:after="0" w:line="240" w:lineRule="auto"/>
              <w:ind w:firstLine="0" w:left="0"/>
              <w:jc w:val="center"/>
            </w:pPr>
            <w:r>
              <w:rPr>
                <w:rFonts w:ascii="Times New Roman" w:hAnsi="Times New Roman"/>
                <w:sz w:val="20"/>
              </w:rPr>
              <w:t xml:space="preserve">0,56</w:t>
            </w:r>
          </w:p>
        </w:tc>
        <w:tc>
          <w:tcPr>
            <w:tcW w:w="1872" w:type="dxa"/>
          </w:tcPr>
          <w:p>
            <w:pPr>
              <w:pStyle w:val="Compact"/>
              <w:spacing w:before="0" w:after="0" w:line="240" w:lineRule="auto"/>
              <w:ind w:firstLine="0" w:left="0"/>
              <w:jc w:val="center"/>
            </w:pPr>
            <w:r>
              <w:rPr>
                <w:rFonts w:ascii="Times New Roman" w:hAnsi="Times New Roman"/>
                <w:sz w:val="20"/>
              </w:rPr>
              <w:t xml:space="preserve">[−0,54; 1,69]</w:t>
            </w:r>
          </w:p>
        </w:tc>
        <w:tc>
          <w:tcPr>
            <w:tcW w:w="1123" w:type="dxa"/>
          </w:tcPr>
          <w:p>
            <w:pPr>
              <w:pStyle w:val="Compact"/>
              <w:spacing w:before="0" w:after="0" w:line="240" w:lineRule="auto"/>
              <w:ind w:firstLine="0" w:left="0"/>
              <w:jc w:val="center"/>
            </w:pPr>
            <w:r>
              <w:rPr>
                <w:rFonts w:ascii="Times New Roman" w:hAnsi="Times New Roman"/>
                <w:sz w:val="20"/>
              </w:rPr>
              <w:t xml:space="preserve">0,311</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Tuổi 35–44</w:t>
            </w:r>
          </w:p>
        </w:tc>
        <w:tc>
          <w:tcPr>
            <w:tcW w:w="1310" w:type="dxa"/>
          </w:tcPr>
          <w:p>
            <w:pPr>
              <w:pStyle w:val="Compact"/>
              <w:spacing w:before="0" w:after="0" w:line="240" w:lineRule="auto"/>
              <w:ind w:firstLine="0" w:left="0"/>
              <w:jc w:val="center"/>
            </w:pPr>
            <w:r>
              <w:rPr>
                <w:rFonts w:ascii="Times New Roman" w:hAnsi="Times New Roman"/>
                <w:sz w:val="20"/>
              </w:rPr>
              <w:t xml:space="preserve">1,05</w:t>
            </w:r>
          </w:p>
        </w:tc>
        <w:tc>
          <w:tcPr>
            <w:tcW w:w="936" w:type="dxa"/>
          </w:tcPr>
          <w:p>
            <w:pPr>
              <w:pStyle w:val="Compact"/>
              <w:spacing w:before="0" w:after="0" w:line="240" w:lineRule="auto"/>
              <w:ind w:firstLine="0" w:left="0"/>
              <w:jc w:val="center"/>
            </w:pPr>
            <w:r>
              <w:rPr>
                <w:rFonts w:ascii="Times New Roman" w:hAnsi="Times New Roman"/>
                <w:sz w:val="20"/>
              </w:rPr>
              <w:t xml:space="preserve">0,88</w:t>
            </w:r>
          </w:p>
        </w:tc>
        <w:tc>
          <w:tcPr>
            <w:tcW w:w="1872" w:type="dxa"/>
          </w:tcPr>
          <w:p>
            <w:pPr>
              <w:pStyle w:val="Compact"/>
              <w:spacing w:before="0" w:after="0" w:line="240" w:lineRule="auto"/>
              <w:ind w:firstLine="0" w:left="0"/>
              <w:jc w:val="center"/>
            </w:pPr>
            <w:r>
              <w:rPr>
                <w:rFonts w:ascii="Times New Roman" w:hAnsi="Times New Roman"/>
                <w:sz w:val="20"/>
              </w:rPr>
              <w:t xml:space="preserve">[−0,68; 2,79]</w:t>
            </w:r>
          </w:p>
        </w:tc>
        <w:tc>
          <w:tcPr>
            <w:tcW w:w="1123" w:type="dxa"/>
          </w:tcPr>
          <w:p>
            <w:pPr>
              <w:pStyle w:val="Compact"/>
              <w:spacing w:before="0" w:after="0" w:line="240" w:lineRule="auto"/>
              <w:ind w:firstLine="0" w:left="0"/>
              <w:jc w:val="center"/>
            </w:pPr>
            <w:r>
              <w:rPr>
                <w:rFonts w:ascii="Times New Roman" w:hAnsi="Times New Roman"/>
                <w:sz w:val="20"/>
              </w:rPr>
              <w:t xml:space="preserve">0,231</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Tuổi 45 trở lên</w:t>
            </w:r>
          </w:p>
        </w:tc>
        <w:tc>
          <w:tcPr>
            <w:tcW w:w="1310" w:type="dxa"/>
          </w:tcPr>
          <w:p>
            <w:pPr>
              <w:pStyle w:val="Compact"/>
              <w:spacing w:before="0" w:after="0" w:line="240" w:lineRule="auto"/>
              <w:ind w:firstLine="0" w:left="0"/>
              <w:jc w:val="center"/>
            </w:pPr>
            <w:r>
              <w:rPr>
                <w:rFonts w:ascii="Times New Roman" w:hAnsi="Times New Roman"/>
                <w:sz w:val="20"/>
              </w:rPr>
              <w:t xml:space="preserve">−1,17</w:t>
            </w:r>
          </w:p>
        </w:tc>
        <w:tc>
          <w:tcPr>
            <w:tcW w:w="936" w:type="dxa"/>
          </w:tcPr>
          <w:p>
            <w:pPr>
              <w:pStyle w:val="Compact"/>
              <w:spacing w:before="0" w:after="0" w:line="240" w:lineRule="auto"/>
              <w:ind w:firstLine="0" w:left="0"/>
              <w:jc w:val="center"/>
            </w:pPr>
            <w:r>
              <w:rPr>
                <w:rFonts w:ascii="Times New Roman" w:hAnsi="Times New Roman"/>
                <w:sz w:val="20"/>
              </w:rPr>
              <w:t xml:space="preserve">0,68</w:t>
            </w:r>
          </w:p>
        </w:tc>
        <w:tc>
          <w:tcPr>
            <w:tcW w:w="1872" w:type="dxa"/>
          </w:tcPr>
          <w:p>
            <w:pPr>
              <w:pStyle w:val="Compact"/>
              <w:spacing w:before="0" w:after="0" w:line="240" w:lineRule="auto"/>
              <w:ind w:firstLine="0" w:left="0"/>
              <w:jc w:val="center"/>
            </w:pPr>
            <w:r>
              <w:rPr>
                <w:rFonts w:ascii="Times New Roman" w:hAnsi="Times New Roman"/>
                <w:sz w:val="20"/>
              </w:rPr>
              <w:t xml:space="preserve">[−2,50; 0,17]</w:t>
            </w:r>
          </w:p>
        </w:tc>
        <w:tc>
          <w:tcPr>
            <w:tcW w:w="1123" w:type="dxa"/>
          </w:tcPr>
          <w:p>
            <w:pPr>
              <w:pStyle w:val="Compact"/>
              <w:spacing w:before="0" w:after="0" w:line="240" w:lineRule="auto"/>
              <w:ind w:firstLine="0" w:left="0"/>
              <w:jc w:val="center"/>
            </w:pPr>
            <w:r>
              <w:rPr>
                <w:rFonts w:ascii="Times New Roman" w:hAnsi="Times New Roman"/>
                <w:sz w:val="20"/>
              </w:rPr>
              <w:t xml:space="preserve">0,086</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Cao đẳng (tham chiếu trung học phổ thông trở xuống)</w:t>
            </w:r>
          </w:p>
        </w:tc>
        <w:tc>
          <w:tcPr>
            <w:tcW w:w="1310" w:type="dxa"/>
          </w:tcPr>
          <w:p>
            <w:pPr>
              <w:pStyle w:val="Compact"/>
              <w:spacing w:before="0" w:after="0" w:line="240" w:lineRule="auto"/>
              <w:ind w:firstLine="0" w:left="0"/>
              <w:jc w:val="center"/>
            </w:pPr>
            <w:r>
              <w:rPr>
                <w:rFonts w:ascii="Times New Roman" w:hAnsi="Times New Roman"/>
                <w:sz w:val="20"/>
              </w:rPr>
              <w:t xml:space="preserve">0,57</w:t>
            </w:r>
          </w:p>
        </w:tc>
        <w:tc>
          <w:tcPr>
            <w:tcW w:w="936" w:type="dxa"/>
          </w:tcPr>
          <w:p>
            <w:pPr>
              <w:pStyle w:val="Compact"/>
              <w:spacing w:before="0" w:after="0" w:line="240" w:lineRule="auto"/>
              <w:ind w:firstLine="0" w:left="0"/>
              <w:jc w:val="center"/>
            </w:pPr>
            <w:r>
              <w:rPr>
                <w:rFonts w:ascii="Times New Roman" w:hAnsi="Times New Roman"/>
                <w:sz w:val="20"/>
              </w:rPr>
              <w:t xml:space="preserve">1,06</w:t>
            </w:r>
          </w:p>
        </w:tc>
        <w:tc>
          <w:tcPr>
            <w:tcW w:w="1872" w:type="dxa"/>
          </w:tcPr>
          <w:p>
            <w:pPr>
              <w:pStyle w:val="Compact"/>
              <w:spacing w:before="0" w:after="0" w:line="240" w:lineRule="auto"/>
              <w:ind w:firstLine="0" w:left="0"/>
              <w:jc w:val="center"/>
            </w:pPr>
            <w:r>
              <w:rPr>
                <w:rFonts w:ascii="Times New Roman" w:hAnsi="Times New Roman"/>
                <w:sz w:val="20"/>
              </w:rPr>
              <w:t xml:space="preserve">[−1,52; 2,66]</w:t>
            </w:r>
          </w:p>
        </w:tc>
        <w:tc>
          <w:tcPr>
            <w:tcW w:w="1123" w:type="dxa"/>
          </w:tcPr>
          <w:p>
            <w:pPr>
              <w:pStyle w:val="Compact"/>
              <w:spacing w:before="0" w:after="0" w:line="240" w:lineRule="auto"/>
              <w:ind w:firstLine="0" w:left="0"/>
              <w:jc w:val="center"/>
            </w:pPr>
            <w:r>
              <w:rPr>
                <w:rFonts w:ascii="Times New Roman" w:hAnsi="Times New Roman"/>
                <w:sz w:val="20"/>
              </w:rPr>
              <w:t xml:space="preserve">0,591</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Đại học</w:t>
            </w:r>
          </w:p>
        </w:tc>
        <w:tc>
          <w:tcPr>
            <w:tcW w:w="1310" w:type="dxa"/>
          </w:tcPr>
          <w:p>
            <w:pPr>
              <w:pStyle w:val="Compact"/>
              <w:spacing w:before="0" w:after="0" w:line="240" w:lineRule="auto"/>
              <w:ind w:firstLine="0" w:left="0"/>
              <w:jc w:val="center"/>
            </w:pPr>
            <w:r>
              <w:rPr>
                <w:rFonts w:ascii="Times New Roman" w:hAnsi="Times New Roman"/>
                <w:sz w:val="20"/>
              </w:rPr>
              <w:t xml:space="preserve">−0,98</w:t>
            </w:r>
          </w:p>
        </w:tc>
        <w:tc>
          <w:tcPr>
            <w:tcW w:w="936" w:type="dxa"/>
          </w:tcPr>
          <w:p>
            <w:pPr>
              <w:pStyle w:val="Compact"/>
              <w:spacing w:before="0" w:after="0" w:line="240" w:lineRule="auto"/>
              <w:ind w:firstLine="0" w:left="0"/>
              <w:jc w:val="center"/>
            </w:pPr>
            <w:r>
              <w:rPr>
                <w:rFonts w:ascii="Times New Roman" w:hAnsi="Times New Roman"/>
                <w:sz w:val="20"/>
              </w:rPr>
              <w:t xml:space="preserve">0,72</w:t>
            </w:r>
          </w:p>
        </w:tc>
        <w:tc>
          <w:tcPr>
            <w:tcW w:w="1872" w:type="dxa"/>
          </w:tcPr>
          <w:p>
            <w:pPr>
              <w:pStyle w:val="Compact"/>
              <w:spacing w:before="0" w:after="0" w:line="240" w:lineRule="auto"/>
              <w:ind w:firstLine="0" w:left="0"/>
              <w:jc w:val="center"/>
            </w:pPr>
            <w:r>
              <w:rPr>
                <w:rFonts w:ascii="Times New Roman" w:hAnsi="Times New Roman"/>
                <w:sz w:val="20"/>
              </w:rPr>
              <w:t xml:space="preserve">[−2,39; 0,44]</w:t>
            </w:r>
          </w:p>
        </w:tc>
        <w:tc>
          <w:tcPr>
            <w:tcW w:w="1123" w:type="dxa"/>
          </w:tcPr>
          <w:p>
            <w:pPr>
              <w:pStyle w:val="Compact"/>
              <w:spacing w:before="0" w:after="0" w:line="240" w:lineRule="auto"/>
              <w:ind w:firstLine="0" w:left="0"/>
              <w:jc w:val="center"/>
            </w:pPr>
            <w:r>
              <w:rPr>
                <w:rFonts w:ascii="Times New Roman" w:hAnsi="Times New Roman"/>
                <w:sz w:val="20"/>
              </w:rPr>
              <w:t xml:space="preserve">0,176</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Sau đại học</w:t>
            </w:r>
          </w:p>
        </w:tc>
        <w:tc>
          <w:tcPr>
            <w:tcW w:w="1310" w:type="dxa"/>
          </w:tcPr>
          <w:p>
            <w:pPr>
              <w:pStyle w:val="Compact"/>
              <w:spacing w:before="0" w:after="0" w:line="240" w:lineRule="auto"/>
              <w:ind w:firstLine="0" w:left="0"/>
              <w:jc w:val="center"/>
            </w:pPr>
            <w:r>
              <w:rPr>
                <w:rFonts w:ascii="Times New Roman" w:hAnsi="Times New Roman"/>
                <w:sz w:val="20"/>
              </w:rPr>
              <w:t xml:space="preserve">−0,15</w:t>
            </w:r>
          </w:p>
        </w:tc>
        <w:tc>
          <w:tcPr>
            <w:tcW w:w="936" w:type="dxa"/>
          </w:tcPr>
          <w:p>
            <w:pPr>
              <w:pStyle w:val="Compact"/>
              <w:spacing w:before="0" w:after="0" w:line="240" w:lineRule="auto"/>
              <w:ind w:firstLine="0" w:left="0"/>
              <w:jc w:val="center"/>
            </w:pPr>
            <w:r>
              <w:rPr>
                <w:rFonts w:ascii="Times New Roman" w:hAnsi="Times New Roman"/>
                <w:sz w:val="20"/>
              </w:rPr>
              <w:t xml:space="preserve">1,03</w:t>
            </w:r>
          </w:p>
        </w:tc>
        <w:tc>
          <w:tcPr>
            <w:tcW w:w="1872" w:type="dxa"/>
          </w:tcPr>
          <w:p>
            <w:pPr>
              <w:pStyle w:val="Compact"/>
              <w:spacing w:before="0" w:after="0" w:line="240" w:lineRule="auto"/>
              <w:ind w:firstLine="0" w:left="0"/>
              <w:jc w:val="center"/>
            </w:pPr>
            <w:r>
              <w:rPr>
                <w:rFonts w:ascii="Times New Roman" w:hAnsi="Times New Roman"/>
                <w:sz w:val="20"/>
              </w:rPr>
              <w:t xml:space="preserve">[−2,18; 1,88]</w:t>
            </w:r>
          </w:p>
        </w:tc>
        <w:tc>
          <w:tcPr>
            <w:tcW w:w="1123" w:type="dxa"/>
          </w:tcPr>
          <w:p>
            <w:pPr>
              <w:pStyle w:val="Compact"/>
              <w:spacing w:before="0" w:after="0" w:line="240" w:lineRule="auto"/>
              <w:ind w:firstLine="0" w:left="0"/>
              <w:jc w:val="center"/>
            </w:pPr>
            <w:r>
              <w:rPr>
                <w:rFonts w:ascii="Times New Roman" w:hAnsi="Times New Roman"/>
                <w:sz w:val="20"/>
              </w:rPr>
              <w:t xml:space="preserve">0,883</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Giới tính khi sinh là nữ (tham chiếu nam)</w:t>
            </w:r>
          </w:p>
        </w:tc>
        <w:tc>
          <w:tcPr>
            <w:tcW w:w="1310" w:type="dxa"/>
          </w:tcPr>
          <w:p>
            <w:pPr>
              <w:pStyle w:val="Compact"/>
              <w:spacing w:before="0" w:after="0" w:line="240" w:lineRule="auto"/>
              <w:ind w:firstLine="0" w:left="0"/>
              <w:jc w:val="center"/>
            </w:pPr>
            <w:r>
              <w:rPr>
                <w:rFonts w:ascii="Times New Roman" w:hAnsi="Times New Roman"/>
                <w:sz w:val="20"/>
              </w:rPr>
              <w:t xml:space="preserve">0,21</w:t>
            </w:r>
          </w:p>
        </w:tc>
        <w:tc>
          <w:tcPr>
            <w:tcW w:w="936" w:type="dxa"/>
          </w:tcPr>
          <w:p>
            <w:pPr>
              <w:pStyle w:val="Compact"/>
              <w:spacing w:before="0" w:after="0" w:line="240" w:lineRule="auto"/>
              <w:ind w:firstLine="0" w:left="0"/>
              <w:jc w:val="center"/>
            </w:pPr>
            <w:r>
              <w:rPr>
                <w:rFonts w:ascii="Times New Roman" w:hAnsi="Times New Roman"/>
                <w:sz w:val="20"/>
              </w:rPr>
              <w:t xml:space="preserve">0,82</w:t>
            </w:r>
          </w:p>
        </w:tc>
        <w:tc>
          <w:tcPr>
            <w:tcW w:w="1872" w:type="dxa"/>
          </w:tcPr>
          <w:p>
            <w:pPr>
              <w:pStyle w:val="Compact"/>
              <w:spacing w:before="0" w:after="0" w:line="240" w:lineRule="auto"/>
              <w:ind w:firstLine="0" w:left="0"/>
              <w:jc w:val="center"/>
            </w:pPr>
            <w:r>
              <w:rPr>
                <w:rFonts w:ascii="Times New Roman" w:hAnsi="Times New Roman"/>
                <w:sz w:val="20"/>
              </w:rPr>
              <w:t xml:space="preserve">[−1,40; 1,81]</w:t>
            </w:r>
          </w:p>
        </w:tc>
        <w:tc>
          <w:tcPr>
            <w:tcW w:w="1123" w:type="dxa"/>
          </w:tcPr>
          <w:p>
            <w:pPr>
              <w:pStyle w:val="Compact"/>
              <w:spacing w:before="0" w:after="0" w:line="240" w:lineRule="auto"/>
              <w:ind w:firstLine="0" w:left="0"/>
              <w:jc w:val="center"/>
            </w:pPr>
            <w:r>
              <w:rPr>
                <w:rFonts w:ascii="Times New Roman" w:hAnsi="Times New Roman"/>
                <w:sz w:val="20"/>
              </w:rPr>
              <w:t xml:space="preserve">0,800</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Tình trạng thiểu số về giới</w:t>
            </w:r>
          </w:p>
        </w:tc>
        <w:tc>
          <w:tcPr>
            <w:tcW w:w="1310" w:type="dxa"/>
          </w:tcPr>
          <w:p>
            <w:pPr>
              <w:pStyle w:val="Compact"/>
              <w:spacing w:before="0" w:after="0" w:line="240" w:lineRule="auto"/>
              <w:ind w:firstLine="0" w:left="0"/>
              <w:jc w:val="center"/>
            </w:pPr>
            <w:r>
              <w:rPr>
                <w:rFonts w:ascii="Times New Roman" w:hAnsi="Times New Roman"/>
                <w:sz w:val="20"/>
              </w:rPr>
              <w:t xml:space="preserve">không báo cáo</w:t>
            </w:r>
          </w:p>
        </w:tc>
        <w:tc>
          <w:tcPr>
            <w:tcW w:w="936" w:type="dxa"/>
          </w:tcPr>
          <w:p>
            <w:pPr>
              <w:pStyle w:val="Compact"/>
              <w:spacing w:before="0" w:after="0" w:line="240" w:lineRule="auto"/>
              <w:ind w:firstLine="0" w:left="0"/>
              <w:jc w:val="center"/>
            </w:pPr>
          </w:p>
        </w:tc>
        <w:tc>
          <w:tcPr>
            <w:tcW w:w="1872"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Đồng tính nữ (tham chiếu đồng tính nam)</w:t>
            </w:r>
          </w:p>
        </w:tc>
        <w:tc>
          <w:tcPr>
            <w:tcW w:w="1310" w:type="dxa"/>
          </w:tcPr>
          <w:p>
            <w:pPr>
              <w:pStyle w:val="Compact"/>
              <w:spacing w:before="0" w:after="0" w:line="240" w:lineRule="auto"/>
              <w:ind w:firstLine="0" w:left="0"/>
              <w:jc w:val="center"/>
            </w:pPr>
            <w:r>
              <w:rPr>
                <w:rFonts w:ascii="Times New Roman" w:hAnsi="Times New Roman"/>
                <w:sz w:val="20"/>
              </w:rPr>
              <w:t xml:space="preserve">−0,66</w:t>
            </w:r>
          </w:p>
        </w:tc>
        <w:tc>
          <w:tcPr>
            <w:tcW w:w="936" w:type="dxa"/>
          </w:tcPr>
          <w:p>
            <w:pPr>
              <w:pStyle w:val="Compact"/>
              <w:spacing w:before="0" w:after="0" w:line="240" w:lineRule="auto"/>
              <w:ind w:firstLine="0" w:left="0"/>
              <w:jc w:val="center"/>
            </w:pPr>
            <w:r>
              <w:rPr>
                <w:rFonts w:ascii="Times New Roman" w:hAnsi="Times New Roman"/>
                <w:sz w:val="20"/>
              </w:rPr>
              <w:t xml:space="preserve">0,98</w:t>
            </w:r>
          </w:p>
        </w:tc>
        <w:tc>
          <w:tcPr>
            <w:tcW w:w="1872" w:type="dxa"/>
          </w:tcPr>
          <w:p>
            <w:pPr>
              <w:pStyle w:val="Compact"/>
              <w:spacing w:before="0" w:after="0" w:line="240" w:lineRule="auto"/>
              <w:ind w:firstLine="0" w:left="0"/>
              <w:jc w:val="center"/>
            </w:pPr>
            <w:r>
              <w:rPr>
                <w:rFonts w:ascii="Times New Roman" w:hAnsi="Times New Roman"/>
                <w:sz w:val="20"/>
              </w:rPr>
              <w:t xml:space="preserve">[−2,60; 1,28]</w:t>
            </w:r>
          </w:p>
        </w:tc>
        <w:tc>
          <w:tcPr>
            <w:tcW w:w="1123" w:type="dxa"/>
          </w:tcPr>
          <w:p>
            <w:pPr>
              <w:pStyle w:val="Compact"/>
              <w:spacing w:before="0" w:after="0" w:line="240" w:lineRule="auto"/>
              <w:ind w:firstLine="0" w:left="0"/>
              <w:jc w:val="center"/>
            </w:pPr>
            <w:r>
              <w:rPr>
                <w:rFonts w:ascii="Times New Roman" w:hAnsi="Times New Roman"/>
                <w:sz w:val="20"/>
              </w:rPr>
              <w:t xml:space="preserve">0,505</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Song tính hoặc toàn tính</w:t>
            </w:r>
          </w:p>
        </w:tc>
        <w:tc>
          <w:tcPr>
            <w:tcW w:w="1310" w:type="dxa"/>
          </w:tcPr>
          <w:p>
            <w:pPr>
              <w:pStyle w:val="Compact"/>
              <w:spacing w:before="0" w:after="0" w:line="240" w:lineRule="auto"/>
              <w:ind w:firstLine="0" w:left="0"/>
              <w:jc w:val="center"/>
            </w:pPr>
            <w:r>
              <w:rPr>
                <w:rFonts w:ascii="Times New Roman" w:hAnsi="Times New Roman"/>
                <w:sz w:val="20"/>
              </w:rPr>
              <w:t xml:space="preserve">−0,64</w:t>
            </w:r>
          </w:p>
        </w:tc>
        <w:tc>
          <w:tcPr>
            <w:tcW w:w="936" w:type="dxa"/>
          </w:tcPr>
          <w:p>
            <w:pPr>
              <w:pStyle w:val="Compact"/>
              <w:spacing w:before="0" w:after="0" w:line="240" w:lineRule="auto"/>
              <w:ind w:firstLine="0" w:left="0"/>
              <w:jc w:val="center"/>
            </w:pPr>
            <w:r>
              <w:rPr>
                <w:rFonts w:ascii="Times New Roman" w:hAnsi="Times New Roman"/>
                <w:sz w:val="20"/>
              </w:rPr>
              <w:t xml:space="preserve">0,84</w:t>
            </w:r>
          </w:p>
        </w:tc>
        <w:tc>
          <w:tcPr>
            <w:tcW w:w="1872" w:type="dxa"/>
          </w:tcPr>
          <w:p>
            <w:pPr>
              <w:pStyle w:val="Compact"/>
              <w:spacing w:before="0" w:after="0" w:line="240" w:lineRule="auto"/>
              <w:ind w:firstLine="0" w:left="0"/>
              <w:jc w:val="center"/>
            </w:pPr>
            <w:r>
              <w:rPr>
                <w:rFonts w:ascii="Times New Roman" w:hAnsi="Times New Roman"/>
                <w:sz w:val="20"/>
              </w:rPr>
              <w:t xml:space="preserve">[−2,30; 1,02]</w:t>
            </w:r>
          </w:p>
        </w:tc>
        <w:tc>
          <w:tcPr>
            <w:tcW w:w="1123" w:type="dxa"/>
          </w:tcPr>
          <w:p>
            <w:pPr>
              <w:pStyle w:val="Compact"/>
              <w:spacing w:before="0" w:after="0" w:line="240" w:lineRule="auto"/>
              <w:ind w:firstLine="0" w:left="0"/>
              <w:jc w:val="center"/>
            </w:pPr>
            <w:r>
              <w:rPr>
                <w:rFonts w:ascii="Times New Roman" w:hAnsi="Times New Roman"/>
                <w:sz w:val="20"/>
              </w:rPr>
              <w:t xml:space="preserve">0,447</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Khác hoặc đang tìm hiểu</w:t>
            </w:r>
          </w:p>
        </w:tc>
        <w:tc>
          <w:tcPr>
            <w:tcW w:w="1310" w:type="dxa"/>
          </w:tcPr>
          <w:p>
            <w:pPr>
              <w:pStyle w:val="Compact"/>
              <w:spacing w:before="0" w:after="0" w:line="240" w:lineRule="auto"/>
              <w:ind w:firstLine="0" w:left="0"/>
              <w:jc w:val="center"/>
            </w:pPr>
            <w:r>
              <w:rPr>
                <w:rFonts w:ascii="Times New Roman" w:hAnsi="Times New Roman"/>
                <w:sz w:val="20"/>
              </w:rPr>
              <w:t xml:space="preserve">−1,12</w:t>
            </w:r>
          </w:p>
        </w:tc>
        <w:tc>
          <w:tcPr>
            <w:tcW w:w="936" w:type="dxa"/>
          </w:tcPr>
          <w:p>
            <w:pPr>
              <w:pStyle w:val="Compact"/>
              <w:spacing w:before="0" w:after="0" w:line="240" w:lineRule="auto"/>
              <w:ind w:firstLine="0" w:left="0"/>
              <w:jc w:val="center"/>
            </w:pPr>
            <w:r>
              <w:rPr>
                <w:rFonts w:ascii="Times New Roman" w:hAnsi="Times New Roman"/>
                <w:sz w:val="20"/>
              </w:rPr>
              <w:t xml:space="preserve">1,42</w:t>
            </w:r>
          </w:p>
        </w:tc>
        <w:tc>
          <w:tcPr>
            <w:tcW w:w="1872" w:type="dxa"/>
          </w:tcPr>
          <w:p>
            <w:pPr>
              <w:pStyle w:val="Compact"/>
              <w:spacing w:before="0" w:after="0" w:line="240" w:lineRule="auto"/>
              <w:ind w:firstLine="0" w:left="0"/>
              <w:jc w:val="center"/>
            </w:pPr>
            <w:r>
              <w:rPr>
                <w:rFonts w:ascii="Times New Roman" w:hAnsi="Times New Roman"/>
                <w:sz w:val="20"/>
              </w:rPr>
              <w:t xml:space="preserve">[−3,92; 1,69]</w:t>
            </w:r>
          </w:p>
        </w:tc>
        <w:tc>
          <w:tcPr>
            <w:tcW w:w="1123" w:type="dxa"/>
          </w:tcPr>
          <w:p>
            <w:pPr>
              <w:pStyle w:val="Compact"/>
              <w:spacing w:before="0" w:after="0" w:line="240" w:lineRule="auto"/>
              <w:ind w:firstLine="0" w:left="0"/>
              <w:jc w:val="center"/>
            </w:pPr>
            <w:r>
              <w:rPr>
                <w:rFonts w:ascii="Times New Roman" w:hAnsi="Times New Roman"/>
                <w:sz w:val="20"/>
              </w:rPr>
              <w:t xml:space="preserve">0,433</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Có bạn đời (tham chiếu không có bạn đời)</w:t>
            </w:r>
          </w:p>
        </w:tc>
        <w:tc>
          <w:tcPr>
            <w:tcW w:w="1310" w:type="dxa"/>
          </w:tcPr>
          <w:p>
            <w:pPr>
              <w:pStyle w:val="Compact"/>
              <w:spacing w:before="0" w:after="0" w:line="240" w:lineRule="auto"/>
              <w:ind w:firstLine="0" w:left="0"/>
              <w:jc w:val="center"/>
            </w:pPr>
            <w:r>
              <w:rPr>
                <w:rFonts w:ascii="Times New Roman" w:hAnsi="Times New Roman"/>
                <w:sz w:val="20"/>
              </w:rPr>
              <w:t xml:space="preserve">0,46</w:t>
            </w:r>
          </w:p>
        </w:tc>
        <w:tc>
          <w:tcPr>
            <w:tcW w:w="936" w:type="dxa"/>
          </w:tcPr>
          <w:p>
            <w:pPr>
              <w:pStyle w:val="Compact"/>
              <w:spacing w:before="0" w:after="0" w:line="240" w:lineRule="auto"/>
              <w:ind w:firstLine="0" w:left="0"/>
              <w:jc w:val="center"/>
            </w:pPr>
            <w:r>
              <w:rPr>
                <w:rFonts w:ascii="Times New Roman" w:hAnsi="Times New Roman"/>
                <w:sz w:val="20"/>
              </w:rPr>
              <w:t xml:space="preserve">0,50</w:t>
            </w:r>
          </w:p>
        </w:tc>
        <w:tc>
          <w:tcPr>
            <w:tcW w:w="1872" w:type="dxa"/>
          </w:tcPr>
          <w:p>
            <w:pPr>
              <w:pStyle w:val="Compact"/>
              <w:spacing w:before="0" w:after="0" w:line="240" w:lineRule="auto"/>
              <w:ind w:firstLine="0" w:left="0"/>
              <w:jc w:val="center"/>
            </w:pPr>
            <w:r>
              <w:rPr>
                <w:rFonts w:ascii="Times New Roman" w:hAnsi="Times New Roman"/>
                <w:sz w:val="20"/>
              </w:rPr>
              <w:t xml:space="preserve">[−0,53; 1,45]</w:t>
            </w:r>
          </w:p>
        </w:tc>
        <w:tc>
          <w:tcPr>
            <w:tcW w:w="1123" w:type="dxa"/>
          </w:tcPr>
          <w:p>
            <w:pPr>
              <w:pStyle w:val="Compact"/>
              <w:spacing w:before="0" w:after="0" w:line="240" w:lineRule="auto"/>
              <w:ind w:firstLine="0" w:left="0"/>
              <w:jc w:val="center"/>
            </w:pPr>
            <w:r>
              <w:rPr>
                <w:rFonts w:ascii="Times New Roman" w:hAnsi="Times New Roman"/>
                <w:sz w:val="20"/>
              </w:rPr>
              <w:t xml:space="preserve">0,361</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Ly thân, ly hôn hoặc góa</w:t>
            </w:r>
          </w:p>
        </w:tc>
        <w:tc>
          <w:tcPr>
            <w:tcW w:w="1310" w:type="dxa"/>
          </w:tcPr>
          <w:p>
            <w:pPr>
              <w:pStyle w:val="Compact"/>
              <w:spacing w:before="0" w:after="0" w:line="240" w:lineRule="auto"/>
              <w:ind w:firstLine="0" w:left="0"/>
              <w:jc w:val="center"/>
            </w:pPr>
            <w:r>
              <w:rPr>
                <w:rFonts w:ascii="Times New Roman" w:hAnsi="Times New Roman"/>
                <w:sz w:val="20"/>
              </w:rPr>
              <w:t xml:space="preserve">không báo cáo</w:t>
            </w:r>
          </w:p>
        </w:tc>
        <w:tc>
          <w:tcPr>
            <w:tcW w:w="936" w:type="dxa"/>
          </w:tcPr>
          <w:p>
            <w:pPr>
              <w:pStyle w:val="Compact"/>
              <w:spacing w:before="0" w:after="0" w:line="240" w:lineRule="auto"/>
              <w:ind w:firstLine="0" w:left="0"/>
              <w:jc w:val="center"/>
            </w:pPr>
          </w:p>
        </w:tc>
        <w:tc>
          <w:tcPr>
            <w:tcW w:w="1872"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Không muốn trả lời (tình trạng quan hệ)</w:t>
            </w:r>
          </w:p>
        </w:tc>
        <w:tc>
          <w:tcPr>
            <w:tcW w:w="1310" w:type="dxa"/>
          </w:tcPr>
          <w:p>
            <w:pPr>
              <w:pStyle w:val="Compact"/>
              <w:spacing w:before="0" w:after="0" w:line="240" w:lineRule="auto"/>
              <w:ind w:firstLine="0" w:left="0"/>
              <w:jc w:val="center"/>
            </w:pPr>
            <w:r>
              <w:rPr>
                <w:rFonts w:ascii="Times New Roman" w:hAnsi="Times New Roman"/>
                <w:sz w:val="20"/>
              </w:rPr>
              <w:t xml:space="preserve">không báo cáo</w:t>
            </w:r>
          </w:p>
        </w:tc>
        <w:tc>
          <w:tcPr>
            <w:tcW w:w="936" w:type="dxa"/>
          </w:tcPr>
          <w:p>
            <w:pPr>
              <w:pStyle w:val="Compact"/>
              <w:spacing w:before="0" w:after="0" w:line="240" w:lineRule="auto"/>
              <w:ind w:firstLine="0" w:left="0"/>
              <w:jc w:val="center"/>
            </w:pPr>
          </w:p>
        </w:tc>
        <w:tc>
          <w:tcPr>
            <w:tcW w:w="1872"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Thành phố Hồ Chí Minh (tham chiếu Hà Nội)</w:t>
            </w:r>
          </w:p>
        </w:tc>
        <w:tc>
          <w:tcPr>
            <w:tcW w:w="1310" w:type="dxa"/>
          </w:tcPr>
          <w:p>
            <w:pPr>
              <w:pStyle w:val="Compact"/>
              <w:spacing w:before="0" w:after="0" w:line="240" w:lineRule="auto"/>
              <w:ind w:firstLine="0" w:left="0"/>
              <w:jc w:val="center"/>
            </w:pPr>
            <w:r>
              <w:rPr>
                <w:rFonts w:ascii="Times New Roman" w:hAnsi="Times New Roman"/>
                <w:sz w:val="20"/>
              </w:rPr>
              <w:t xml:space="preserve">0,67</w:t>
            </w:r>
          </w:p>
        </w:tc>
        <w:tc>
          <w:tcPr>
            <w:tcW w:w="936" w:type="dxa"/>
          </w:tcPr>
          <w:p>
            <w:pPr>
              <w:pStyle w:val="Compact"/>
              <w:spacing w:before="0" w:after="0" w:line="240" w:lineRule="auto"/>
              <w:ind w:firstLine="0" w:left="0"/>
              <w:jc w:val="center"/>
            </w:pPr>
            <w:r>
              <w:rPr>
                <w:rFonts w:ascii="Times New Roman" w:hAnsi="Times New Roman"/>
                <w:sz w:val="20"/>
              </w:rPr>
              <w:t xml:space="preserve">0,55</w:t>
            </w:r>
          </w:p>
        </w:tc>
        <w:tc>
          <w:tcPr>
            <w:tcW w:w="1872" w:type="dxa"/>
          </w:tcPr>
          <w:p>
            <w:pPr>
              <w:pStyle w:val="Compact"/>
              <w:spacing w:before="0" w:after="0" w:line="240" w:lineRule="auto"/>
              <w:ind w:firstLine="0" w:left="0"/>
              <w:jc w:val="center"/>
            </w:pPr>
            <w:r>
              <w:rPr>
                <w:rFonts w:ascii="Times New Roman" w:hAnsi="Times New Roman"/>
                <w:sz w:val="20"/>
              </w:rPr>
              <w:t xml:space="preserve">[−0,41; 1,75]</w:t>
            </w:r>
          </w:p>
        </w:tc>
        <w:tc>
          <w:tcPr>
            <w:tcW w:w="1123" w:type="dxa"/>
          </w:tcPr>
          <w:p>
            <w:pPr>
              <w:pStyle w:val="Compact"/>
              <w:spacing w:before="0" w:after="0" w:line="240" w:lineRule="auto"/>
              <w:ind w:firstLine="0" w:left="0"/>
              <w:jc w:val="center"/>
            </w:pPr>
            <w:r>
              <w:rPr>
                <w:rFonts w:ascii="Times New Roman" w:hAnsi="Times New Roman"/>
                <w:sz w:val="20"/>
              </w:rPr>
              <w:t xml:space="preserve">0,223</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Đà Nẵng</w:t>
            </w:r>
          </w:p>
        </w:tc>
        <w:tc>
          <w:tcPr>
            <w:tcW w:w="1310" w:type="dxa"/>
          </w:tcPr>
          <w:p>
            <w:pPr>
              <w:pStyle w:val="Compact"/>
              <w:spacing w:before="0" w:after="0" w:line="240" w:lineRule="auto"/>
              <w:ind w:firstLine="0" w:left="0"/>
              <w:jc w:val="center"/>
            </w:pPr>
            <w:r>
              <w:rPr>
                <w:rFonts w:ascii="Times New Roman" w:hAnsi="Times New Roman"/>
                <w:sz w:val="20"/>
              </w:rPr>
              <w:t xml:space="preserve">1,60</w:t>
            </w:r>
          </w:p>
        </w:tc>
        <w:tc>
          <w:tcPr>
            <w:tcW w:w="936" w:type="dxa"/>
          </w:tcPr>
          <w:p>
            <w:pPr>
              <w:pStyle w:val="Compact"/>
              <w:spacing w:before="0" w:after="0" w:line="240" w:lineRule="auto"/>
              <w:ind w:firstLine="0" w:left="0"/>
              <w:jc w:val="center"/>
            </w:pPr>
            <w:r>
              <w:rPr>
                <w:rFonts w:ascii="Times New Roman" w:hAnsi="Times New Roman"/>
                <w:sz w:val="20"/>
              </w:rPr>
              <w:t xml:space="preserve">0,78</w:t>
            </w:r>
          </w:p>
        </w:tc>
        <w:tc>
          <w:tcPr>
            <w:tcW w:w="1872" w:type="dxa"/>
          </w:tcPr>
          <w:p>
            <w:pPr>
              <w:pStyle w:val="Compact"/>
              <w:spacing w:before="0" w:after="0" w:line="240" w:lineRule="auto"/>
              <w:ind w:firstLine="0" w:left="0"/>
              <w:jc w:val="center"/>
            </w:pPr>
            <w:r>
              <w:rPr>
                <w:rFonts w:ascii="Times New Roman" w:hAnsi="Times New Roman"/>
                <w:sz w:val="20"/>
              </w:rPr>
              <w:t xml:space="preserve">[0,06; 3,15]</w:t>
            </w:r>
          </w:p>
        </w:tc>
        <w:tc>
          <w:tcPr>
            <w:tcW w:w="1123" w:type="dxa"/>
          </w:tcPr>
          <w:p>
            <w:pPr>
              <w:pStyle w:val="Compact"/>
              <w:spacing w:before="0" w:after="0" w:line="240" w:lineRule="auto"/>
              <w:ind w:firstLine="0" w:left="0"/>
              <w:jc w:val="center"/>
            </w:pPr>
            <w:r>
              <w:rPr>
                <w:rFonts w:ascii="Times New Roman" w:hAnsi="Times New Roman"/>
                <w:sz w:val="20"/>
              </w:rPr>
              <w:t xml:space="preserve">0,042</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Nơi khác</w:t>
            </w:r>
          </w:p>
        </w:tc>
        <w:tc>
          <w:tcPr>
            <w:tcW w:w="1310" w:type="dxa"/>
          </w:tcPr>
          <w:p>
            <w:pPr>
              <w:pStyle w:val="Compact"/>
              <w:spacing w:before="0" w:after="0" w:line="240" w:lineRule="auto"/>
              <w:ind w:firstLine="0" w:left="0"/>
              <w:jc w:val="center"/>
            </w:pPr>
            <w:r>
              <w:rPr>
                <w:rFonts w:ascii="Times New Roman" w:hAnsi="Times New Roman"/>
                <w:sz w:val="20"/>
              </w:rPr>
              <w:t xml:space="preserve">0,85</w:t>
            </w:r>
          </w:p>
        </w:tc>
        <w:tc>
          <w:tcPr>
            <w:tcW w:w="936" w:type="dxa"/>
          </w:tcPr>
          <w:p>
            <w:pPr>
              <w:pStyle w:val="Compact"/>
              <w:spacing w:before="0" w:after="0" w:line="240" w:lineRule="auto"/>
              <w:ind w:firstLine="0" w:left="0"/>
              <w:jc w:val="center"/>
            </w:pPr>
            <w:r>
              <w:rPr>
                <w:rFonts w:ascii="Times New Roman" w:hAnsi="Times New Roman"/>
                <w:sz w:val="20"/>
              </w:rPr>
              <w:t xml:space="preserve">0,95</w:t>
            </w:r>
          </w:p>
        </w:tc>
        <w:tc>
          <w:tcPr>
            <w:tcW w:w="1872" w:type="dxa"/>
          </w:tcPr>
          <w:p>
            <w:pPr>
              <w:pStyle w:val="Compact"/>
              <w:spacing w:before="0" w:after="0" w:line="240" w:lineRule="auto"/>
              <w:ind w:firstLine="0" w:left="0"/>
              <w:jc w:val="center"/>
            </w:pPr>
            <w:r>
              <w:rPr>
                <w:rFonts w:ascii="Times New Roman" w:hAnsi="Times New Roman"/>
                <w:sz w:val="20"/>
              </w:rPr>
              <w:t xml:space="preserve">[−1,02; 2,72]</w:t>
            </w:r>
          </w:p>
        </w:tc>
        <w:tc>
          <w:tcPr>
            <w:tcW w:w="1123" w:type="dxa"/>
          </w:tcPr>
          <w:p>
            <w:pPr>
              <w:pStyle w:val="Compact"/>
              <w:spacing w:before="0" w:after="0" w:line="240" w:lineRule="auto"/>
              <w:ind w:firstLine="0" w:left="0"/>
              <w:jc w:val="center"/>
            </w:pPr>
            <w:r>
              <w:rPr>
                <w:rFonts w:ascii="Times New Roman" w:hAnsi="Times New Roman"/>
                <w:sz w:val="20"/>
              </w:rPr>
              <w:t xml:space="preserve">0,371</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Công nghệ thông tin (tham chiếu tài chính, ngân hàng)</w:t>
            </w:r>
          </w:p>
        </w:tc>
        <w:tc>
          <w:tcPr>
            <w:tcW w:w="1310" w:type="dxa"/>
          </w:tcPr>
          <w:p>
            <w:pPr>
              <w:pStyle w:val="Compact"/>
              <w:spacing w:before="0" w:after="0" w:line="240" w:lineRule="auto"/>
              <w:ind w:firstLine="0" w:left="0"/>
              <w:jc w:val="center"/>
            </w:pPr>
            <w:r>
              <w:rPr>
                <w:rFonts w:ascii="Times New Roman" w:hAnsi="Times New Roman"/>
                <w:sz w:val="20"/>
              </w:rPr>
              <w:t xml:space="preserve">−0,93</w:t>
            </w:r>
          </w:p>
        </w:tc>
        <w:tc>
          <w:tcPr>
            <w:tcW w:w="936" w:type="dxa"/>
          </w:tcPr>
          <w:p>
            <w:pPr>
              <w:pStyle w:val="Compact"/>
              <w:spacing w:before="0" w:after="0" w:line="240" w:lineRule="auto"/>
              <w:ind w:firstLine="0" w:left="0"/>
              <w:jc w:val="center"/>
            </w:pPr>
            <w:r>
              <w:rPr>
                <w:rFonts w:ascii="Times New Roman" w:hAnsi="Times New Roman"/>
                <w:sz w:val="20"/>
              </w:rPr>
              <w:t xml:space="preserve">1,12</w:t>
            </w:r>
          </w:p>
        </w:tc>
        <w:tc>
          <w:tcPr>
            <w:tcW w:w="1872" w:type="dxa"/>
          </w:tcPr>
          <w:p>
            <w:pPr>
              <w:pStyle w:val="Compact"/>
              <w:spacing w:before="0" w:after="0" w:line="240" w:lineRule="auto"/>
              <w:ind w:firstLine="0" w:left="0"/>
              <w:jc w:val="center"/>
            </w:pPr>
            <w:r>
              <w:rPr>
                <w:rFonts w:ascii="Times New Roman" w:hAnsi="Times New Roman"/>
                <w:sz w:val="20"/>
              </w:rPr>
              <w:t xml:space="preserve">[−3,13; 1,27]</w:t>
            </w:r>
          </w:p>
        </w:tc>
        <w:tc>
          <w:tcPr>
            <w:tcW w:w="1123" w:type="dxa"/>
          </w:tcPr>
          <w:p>
            <w:pPr>
              <w:pStyle w:val="Compact"/>
              <w:spacing w:before="0" w:after="0" w:line="240" w:lineRule="auto"/>
              <w:ind w:firstLine="0" w:left="0"/>
              <w:jc w:val="center"/>
            </w:pPr>
            <w:r>
              <w:rPr>
                <w:rFonts w:ascii="Times New Roman" w:hAnsi="Times New Roman"/>
                <w:sz w:val="20"/>
              </w:rPr>
              <w:t xml:space="preserve">0,407</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Giáo dục</w:t>
            </w:r>
          </w:p>
        </w:tc>
        <w:tc>
          <w:tcPr>
            <w:tcW w:w="1310" w:type="dxa"/>
          </w:tcPr>
          <w:p>
            <w:pPr>
              <w:pStyle w:val="Compact"/>
              <w:spacing w:before="0" w:after="0" w:line="240" w:lineRule="auto"/>
              <w:ind w:firstLine="0" w:left="0"/>
              <w:jc w:val="center"/>
            </w:pPr>
            <w:r>
              <w:rPr>
                <w:rFonts w:ascii="Times New Roman" w:hAnsi="Times New Roman"/>
                <w:sz w:val="20"/>
              </w:rPr>
              <w:t xml:space="preserve">−0,54</w:t>
            </w:r>
          </w:p>
        </w:tc>
        <w:tc>
          <w:tcPr>
            <w:tcW w:w="936" w:type="dxa"/>
          </w:tcPr>
          <w:p>
            <w:pPr>
              <w:pStyle w:val="Compact"/>
              <w:spacing w:before="0" w:after="0" w:line="240" w:lineRule="auto"/>
              <w:ind w:firstLine="0" w:left="0"/>
              <w:jc w:val="center"/>
            </w:pPr>
            <w:r>
              <w:rPr>
                <w:rFonts w:ascii="Times New Roman" w:hAnsi="Times New Roman"/>
                <w:sz w:val="20"/>
              </w:rPr>
              <w:t xml:space="preserve">0,91</w:t>
            </w:r>
          </w:p>
        </w:tc>
        <w:tc>
          <w:tcPr>
            <w:tcW w:w="1872" w:type="dxa"/>
          </w:tcPr>
          <w:p>
            <w:pPr>
              <w:pStyle w:val="Compact"/>
              <w:spacing w:before="0" w:after="0" w:line="240" w:lineRule="auto"/>
              <w:ind w:firstLine="0" w:left="0"/>
              <w:jc w:val="center"/>
            </w:pPr>
            <w:r>
              <w:rPr>
                <w:rFonts w:ascii="Times New Roman" w:hAnsi="Times New Roman"/>
                <w:sz w:val="20"/>
              </w:rPr>
              <w:t xml:space="preserve">[−2,35; 1,26]</w:t>
            </w:r>
          </w:p>
        </w:tc>
        <w:tc>
          <w:tcPr>
            <w:tcW w:w="1123" w:type="dxa"/>
          </w:tcPr>
          <w:p>
            <w:pPr>
              <w:pStyle w:val="Compact"/>
              <w:spacing w:before="0" w:after="0" w:line="240" w:lineRule="auto"/>
              <w:ind w:firstLine="0" w:left="0"/>
              <w:jc w:val="center"/>
            </w:pPr>
            <w:r>
              <w:rPr>
                <w:rFonts w:ascii="Times New Roman" w:hAnsi="Times New Roman"/>
                <w:sz w:val="20"/>
              </w:rPr>
              <w:t xml:space="preserve">0,553</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Y tế</w:t>
            </w:r>
          </w:p>
        </w:tc>
        <w:tc>
          <w:tcPr>
            <w:tcW w:w="1310" w:type="dxa"/>
          </w:tcPr>
          <w:p>
            <w:pPr>
              <w:pStyle w:val="Compact"/>
              <w:spacing w:before="0" w:after="0" w:line="240" w:lineRule="auto"/>
              <w:ind w:firstLine="0" w:left="0"/>
              <w:jc w:val="center"/>
            </w:pPr>
            <w:r>
              <w:rPr>
                <w:rFonts w:ascii="Times New Roman" w:hAnsi="Times New Roman"/>
                <w:sz w:val="20"/>
              </w:rPr>
              <w:t xml:space="preserve">không báo cáo</w:t>
            </w:r>
          </w:p>
        </w:tc>
        <w:tc>
          <w:tcPr>
            <w:tcW w:w="936" w:type="dxa"/>
          </w:tcPr>
          <w:p>
            <w:pPr>
              <w:pStyle w:val="Compact"/>
              <w:spacing w:before="0" w:after="0" w:line="240" w:lineRule="auto"/>
              <w:ind w:firstLine="0" w:left="0"/>
              <w:jc w:val="center"/>
            </w:pPr>
          </w:p>
        </w:tc>
        <w:tc>
          <w:tcPr>
            <w:tcW w:w="1872" w:type="dxa"/>
          </w:tcPr>
          <w:p>
            <w:pPr>
              <w:pStyle w:val="Compact"/>
              <w:spacing w:before="0" w:after="0" w:line="240" w:lineRule="auto"/>
              <w:ind w:firstLine="0" w:left="0"/>
              <w:jc w:val="center"/>
            </w:pPr>
          </w:p>
        </w:tc>
        <w:tc>
          <w:tcPr>
            <w:tcW w:w="1123" w:type="dxa"/>
          </w:tcPr>
          <w:p>
            <w:pPr>
              <w:pStyle w:val="Compact"/>
              <w:spacing w:before="0" w:after="0" w:line="240" w:lineRule="auto"/>
              <w:ind w:firstLine="0" w:left="0"/>
              <w:jc w:val="center"/>
            </w:pP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Thương mại, dịch vụ</w:t>
            </w:r>
          </w:p>
        </w:tc>
        <w:tc>
          <w:tcPr>
            <w:tcW w:w="1310" w:type="dxa"/>
          </w:tcPr>
          <w:p>
            <w:pPr>
              <w:pStyle w:val="Compact"/>
              <w:spacing w:before="0" w:after="0" w:line="240" w:lineRule="auto"/>
              <w:ind w:firstLine="0" w:left="0"/>
              <w:jc w:val="center"/>
            </w:pPr>
            <w:r>
              <w:rPr>
                <w:rFonts w:ascii="Times New Roman" w:hAnsi="Times New Roman"/>
                <w:sz w:val="20"/>
              </w:rPr>
              <w:t xml:space="preserve">−0,33</w:t>
            </w:r>
          </w:p>
        </w:tc>
        <w:tc>
          <w:tcPr>
            <w:tcW w:w="936" w:type="dxa"/>
          </w:tcPr>
          <w:p>
            <w:pPr>
              <w:pStyle w:val="Compact"/>
              <w:spacing w:before="0" w:after="0" w:line="240" w:lineRule="auto"/>
              <w:ind w:firstLine="0" w:left="0"/>
              <w:jc w:val="center"/>
            </w:pPr>
            <w:r>
              <w:rPr>
                <w:rFonts w:ascii="Times New Roman" w:hAnsi="Times New Roman"/>
                <w:sz w:val="20"/>
              </w:rPr>
              <w:t xml:space="preserve">1,26</w:t>
            </w:r>
          </w:p>
        </w:tc>
        <w:tc>
          <w:tcPr>
            <w:tcW w:w="1872" w:type="dxa"/>
          </w:tcPr>
          <w:p>
            <w:pPr>
              <w:pStyle w:val="Compact"/>
              <w:spacing w:before="0" w:after="0" w:line="240" w:lineRule="auto"/>
              <w:ind w:firstLine="0" w:left="0"/>
              <w:jc w:val="center"/>
            </w:pPr>
            <w:r>
              <w:rPr>
                <w:rFonts w:ascii="Times New Roman" w:hAnsi="Times New Roman"/>
                <w:sz w:val="20"/>
              </w:rPr>
              <w:t xml:space="preserve">[−2,81; 2,16]</w:t>
            </w:r>
          </w:p>
        </w:tc>
        <w:tc>
          <w:tcPr>
            <w:tcW w:w="1123" w:type="dxa"/>
          </w:tcPr>
          <w:p>
            <w:pPr>
              <w:pStyle w:val="Compact"/>
              <w:spacing w:before="0" w:after="0" w:line="240" w:lineRule="auto"/>
              <w:ind w:firstLine="0" w:left="0"/>
              <w:jc w:val="center"/>
            </w:pPr>
            <w:r>
              <w:rPr>
                <w:rFonts w:ascii="Times New Roman" w:hAnsi="Times New Roman"/>
                <w:sz w:val="20"/>
              </w:rPr>
              <w:t xml:space="preserve">0,796</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Sản xuất</w:t>
            </w:r>
          </w:p>
        </w:tc>
        <w:tc>
          <w:tcPr>
            <w:tcW w:w="1310" w:type="dxa"/>
          </w:tcPr>
          <w:p>
            <w:pPr>
              <w:pStyle w:val="Compact"/>
              <w:spacing w:before="0" w:after="0" w:line="240" w:lineRule="auto"/>
              <w:ind w:firstLine="0" w:left="0"/>
              <w:jc w:val="center"/>
            </w:pPr>
            <w:r>
              <w:rPr>
                <w:rFonts w:ascii="Times New Roman" w:hAnsi="Times New Roman"/>
                <w:sz w:val="20"/>
              </w:rPr>
              <w:t xml:space="preserve">−1,38</w:t>
            </w:r>
          </w:p>
        </w:tc>
        <w:tc>
          <w:tcPr>
            <w:tcW w:w="936" w:type="dxa"/>
          </w:tcPr>
          <w:p>
            <w:pPr>
              <w:pStyle w:val="Compact"/>
              <w:spacing w:before="0" w:after="0" w:line="240" w:lineRule="auto"/>
              <w:ind w:firstLine="0" w:left="0"/>
              <w:jc w:val="center"/>
            </w:pPr>
            <w:r>
              <w:rPr>
                <w:rFonts w:ascii="Times New Roman" w:hAnsi="Times New Roman"/>
                <w:sz w:val="20"/>
              </w:rPr>
              <w:t xml:space="preserve">1,06</w:t>
            </w:r>
          </w:p>
        </w:tc>
        <w:tc>
          <w:tcPr>
            <w:tcW w:w="1872" w:type="dxa"/>
          </w:tcPr>
          <w:p>
            <w:pPr>
              <w:pStyle w:val="Compact"/>
              <w:spacing w:before="0" w:after="0" w:line="240" w:lineRule="auto"/>
              <w:ind w:firstLine="0" w:left="0"/>
              <w:jc w:val="center"/>
            </w:pPr>
            <w:r>
              <w:rPr>
                <w:rFonts w:ascii="Times New Roman" w:hAnsi="Times New Roman"/>
                <w:sz w:val="20"/>
              </w:rPr>
              <w:t xml:space="preserve">[−3,48; 0,72]</w:t>
            </w:r>
          </w:p>
        </w:tc>
        <w:tc>
          <w:tcPr>
            <w:tcW w:w="1123" w:type="dxa"/>
          </w:tcPr>
          <w:p>
            <w:pPr>
              <w:pStyle w:val="Compact"/>
              <w:spacing w:before="0" w:after="0" w:line="240" w:lineRule="auto"/>
              <w:ind w:firstLine="0" w:left="0"/>
              <w:jc w:val="center"/>
            </w:pPr>
            <w:r>
              <w:rPr>
                <w:rFonts w:ascii="Times New Roman" w:hAnsi="Times New Roman"/>
                <w:sz w:val="20"/>
              </w:rPr>
              <w:t xml:space="preserve">0,195</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Truyền thông, tiếp thị</w:t>
            </w:r>
          </w:p>
        </w:tc>
        <w:tc>
          <w:tcPr>
            <w:tcW w:w="1310" w:type="dxa"/>
          </w:tcPr>
          <w:p>
            <w:pPr>
              <w:pStyle w:val="Compact"/>
              <w:spacing w:before="0" w:after="0" w:line="240" w:lineRule="auto"/>
              <w:ind w:firstLine="0" w:left="0"/>
              <w:jc w:val="center"/>
            </w:pPr>
            <w:r>
              <w:rPr>
                <w:rFonts w:ascii="Times New Roman" w:hAnsi="Times New Roman"/>
                <w:sz w:val="20"/>
              </w:rPr>
              <w:t xml:space="preserve">−0,31</w:t>
            </w:r>
          </w:p>
        </w:tc>
        <w:tc>
          <w:tcPr>
            <w:tcW w:w="936" w:type="dxa"/>
          </w:tcPr>
          <w:p>
            <w:pPr>
              <w:pStyle w:val="Compact"/>
              <w:spacing w:before="0" w:after="0" w:line="240" w:lineRule="auto"/>
              <w:ind w:firstLine="0" w:left="0"/>
              <w:jc w:val="center"/>
            </w:pPr>
            <w:r>
              <w:rPr>
                <w:rFonts w:ascii="Times New Roman" w:hAnsi="Times New Roman"/>
                <w:sz w:val="20"/>
              </w:rPr>
              <w:t xml:space="preserve">1,06</w:t>
            </w:r>
          </w:p>
        </w:tc>
        <w:tc>
          <w:tcPr>
            <w:tcW w:w="1872" w:type="dxa"/>
          </w:tcPr>
          <w:p>
            <w:pPr>
              <w:pStyle w:val="Compact"/>
              <w:spacing w:before="0" w:after="0" w:line="240" w:lineRule="auto"/>
              <w:ind w:firstLine="0" w:left="0"/>
              <w:jc w:val="center"/>
            </w:pPr>
            <w:r>
              <w:rPr>
                <w:rFonts w:ascii="Times New Roman" w:hAnsi="Times New Roman"/>
                <w:sz w:val="20"/>
              </w:rPr>
              <w:t xml:space="preserve">[−2,41; 1,78]</w:t>
            </w:r>
          </w:p>
        </w:tc>
        <w:tc>
          <w:tcPr>
            <w:tcW w:w="1123" w:type="dxa"/>
          </w:tcPr>
          <w:p>
            <w:pPr>
              <w:pStyle w:val="Compact"/>
              <w:spacing w:before="0" w:after="0" w:line="240" w:lineRule="auto"/>
              <w:ind w:firstLine="0" w:left="0"/>
              <w:jc w:val="center"/>
            </w:pPr>
            <w:r>
              <w:rPr>
                <w:rFonts w:ascii="Times New Roman" w:hAnsi="Times New Roman"/>
                <w:sz w:val="20"/>
              </w:rPr>
              <w:t xml:space="preserve">0,768</w:t>
            </w:r>
          </w:p>
        </w:tc>
      </w:tr>
      <w:tr>
        <w:trPr>
          <w:cantSplit/>
        </w:trPr>
        <w:tc>
          <w:tcPr>
            <w:tcW w:w="4118" w:type="dxa"/>
          </w:tcPr>
          <w:p>
            <w:pPr>
              <w:pStyle w:val="Compact"/>
              <w:spacing w:before="0" w:after="0" w:line="240" w:lineRule="auto"/>
              <w:ind w:firstLine="0" w:left="0"/>
              <w:jc w:val="left"/>
            </w:pPr>
            <w:r>
              <w:rPr>
                <w:rFonts w:ascii="Times New Roman" w:hAnsi="Times New Roman"/>
                <w:sz w:val="20"/>
              </w:rPr>
              <w:t xml:space="preserve">Ngành khác</w:t>
            </w:r>
          </w:p>
        </w:tc>
        <w:tc>
          <w:tcPr>
            <w:tcW w:w="1310" w:type="dxa"/>
          </w:tcPr>
          <w:p>
            <w:pPr>
              <w:pStyle w:val="Compact"/>
              <w:spacing w:before="0" w:after="0" w:line="240" w:lineRule="auto"/>
              <w:ind w:firstLine="0" w:left="0"/>
              <w:jc w:val="center"/>
            </w:pPr>
            <w:r>
              <w:rPr>
                <w:rFonts w:ascii="Times New Roman" w:hAnsi="Times New Roman"/>
                <w:sz w:val="20"/>
              </w:rPr>
              <w:t xml:space="preserve">−1,10</w:t>
            </w:r>
          </w:p>
        </w:tc>
        <w:tc>
          <w:tcPr>
            <w:tcW w:w="936" w:type="dxa"/>
          </w:tcPr>
          <w:p>
            <w:pPr>
              <w:pStyle w:val="Compact"/>
              <w:spacing w:before="0" w:after="0" w:line="240" w:lineRule="auto"/>
              <w:ind w:firstLine="0" w:left="0"/>
              <w:jc w:val="center"/>
            </w:pPr>
            <w:r>
              <w:rPr>
                <w:rFonts w:ascii="Times New Roman" w:hAnsi="Times New Roman"/>
                <w:sz w:val="20"/>
              </w:rPr>
              <w:t xml:space="preserve">0,89</w:t>
            </w:r>
          </w:p>
        </w:tc>
        <w:tc>
          <w:tcPr>
            <w:tcW w:w="1872" w:type="dxa"/>
          </w:tcPr>
          <w:p>
            <w:pPr>
              <w:pStyle w:val="Compact"/>
              <w:spacing w:before="0" w:after="0" w:line="240" w:lineRule="auto"/>
              <w:ind w:firstLine="0" w:left="0"/>
              <w:jc w:val="center"/>
            </w:pPr>
            <w:r>
              <w:rPr>
                <w:rFonts w:ascii="Times New Roman" w:hAnsi="Times New Roman"/>
                <w:sz w:val="20"/>
              </w:rPr>
              <w:t xml:space="preserve">[−2,85; 0,66]</w:t>
            </w:r>
          </w:p>
        </w:tc>
        <w:tc>
          <w:tcPr>
            <w:tcW w:w="1123" w:type="dxa"/>
          </w:tcPr>
          <w:p>
            <w:pPr>
              <w:pStyle w:val="Compact"/>
              <w:spacing w:before="0" w:after="0" w:line="240" w:lineRule="auto"/>
              <w:ind w:firstLine="0" w:left="0"/>
              <w:jc w:val="center"/>
            </w:pPr>
            <w:r>
              <w:rPr>
                <w:rFonts w:ascii="Times New Roman" w:hAnsi="Times New Roman"/>
                <w:sz w:val="20"/>
              </w:rPr>
              <w:t xml:space="preserve">0,220</w:t>
            </w:r>
          </w:p>
        </w:tc>
      </w:tr>
    </w:tbl>
    <w:p>
      <w:pPr>
        <w:pStyle w:val="BodyText"/>
      </w:pPr>
      <w:r>
        <w:rPr>
          <w:i/>
          <w:iCs/>
        </w:rPr>
        <w:t xml:space="preserve">Chú thích.</w:t>
      </w:r>
      <w:r>
        <w:t xml:space="preserve"> </w:t>
      </w:r>
      <w:r>
        <w:t xml:space="preserve">Bảng trình bày một hồi quy mô tả không có chỉ số kỳ thị, ước lượng bằng OLS với sai số chuẩn HC3. Hệ số của các nhóm có dưới 10 người, và của tình trạng thiểu số về giới, đã được ước lượng nhưng không báo cáo. Các nhóm thưa được gộp trước khi ước lượng (Supplementary Methods S1).</w:t>
      </w:r>
    </w:p>
    <w:p>
      <w:pPr>
        <w:pStyle w:val="BodyText"/>
      </w:pPr>
      <w:r>
        <w:rPr>
          <w:b/>
          <w:bCs/>
        </w:rPr>
        <w:t xml:space="preserve">Bảng S2</w:t>
      </w:r>
      <w:r>
        <w:t xml:space="preserve"> </w:t>
      </w:r>
      <w:r>
        <w:rPr>
          <w:i/>
          <w:iCs/>
        </w:rPr>
        <w:t xml:space="preserve">Chẩn đoán mô hình chính (n = 235)</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680"/>
        <w:gridCol w:w="4680"/>
      </w:tblGrid>
      <w:tr>
        <w:trPr>
          <w:cantSplit/>
          <w:tblHeader/>
        </w:trPr>
        <w:tc>
          <w:tcPr>
            <w:tcW w:w="4680"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Chẩn đoán</w:t>
            </w:r>
          </w:p>
        </w:tc>
        <w:tc>
          <w:tcPr>
            <w:tcW w:w="4680"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Giá trị</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Kiểm định Breusch-Pagan (theo giá trị dự báo)</w:t>
            </w:r>
          </w:p>
        </w:tc>
        <w:tc>
          <w:tcPr>
            <w:tcW w:w="4680" w:type="dxa"/>
          </w:tcPr>
          <w:p>
            <w:pPr>
              <w:pStyle w:val="Compact"/>
              <w:spacing w:before="0" w:after="0" w:line="240" w:lineRule="auto"/>
              <w:ind w:firstLine="0" w:left="0"/>
              <w:jc w:val="left"/>
            </w:pPr>
            <w:r>
              <w:rPr>
                <w:rFonts w:ascii="Times New Roman" w:hAnsi="Times New Roman"/>
                <w:sz w:val="20"/>
              </w:rPr>
              <w:t xml:space="preserve">χ²(1) = 11,94,</w:t>
            </w:r>
            <w:r>
              <w:rPr>
                <w:rFonts w:ascii="Times New Roman" w:hAnsi="Times New Roman"/>
                <w:sz w:val="20"/>
              </w:rPr>
              <w:t xml:space="preserve"> </w:t>
            </w:r>
            <w:r>
              <w:rPr>
                <w:rFonts w:ascii="Times New Roman" w:hAnsi="Times New Roman"/>
                <w:i/>
                <w:iCs/>
                <w:sz w:val="20"/>
              </w:rPr>
              <w:t xml:space="preserve">p</w:t>
            </w:r>
            <w:r>
              <w:rPr>
                <w:rFonts w:ascii="Times New Roman" w:hAnsi="Times New Roman"/>
                <w:sz w:val="20"/>
              </w:rPr>
              <w:t xml:space="preserve"> </w:t>
            </w:r>
            <w:r>
              <w:rPr>
                <w:rFonts w:ascii="Times New Roman" w:hAnsi="Times New Roman"/>
                <w:sz w:val="20"/>
              </w:rPr>
              <w:t xml:space="preserve">&lt; 0,001</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Kiểm định RESET của Ramsey</w:t>
            </w:r>
          </w:p>
        </w:tc>
        <w:tc>
          <w:tcPr>
            <w:tcW w:w="4680" w:type="dxa"/>
          </w:tcPr>
          <w:p>
            <w:pPr>
              <w:pStyle w:val="Compact"/>
              <w:spacing w:before="0" w:after="0" w:line="240" w:lineRule="auto"/>
              <w:ind w:firstLine="0" w:left="0"/>
              <w:jc w:val="left"/>
            </w:pPr>
            <w:r>
              <w:rPr>
                <w:rFonts w:ascii="Times New Roman" w:hAnsi="Times New Roman"/>
                <w:i/>
                <w:iCs/>
                <w:sz w:val="20"/>
              </w:rPr>
              <w:t xml:space="preserve">F</w:t>
            </w:r>
            <w:r>
              <w:rPr>
                <w:rFonts w:ascii="Times New Roman" w:hAnsi="Times New Roman"/>
                <w:sz w:val="20"/>
              </w:rPr>
              <w:t xml:space="preserve">(3, 206) = 2,34,</w:t>
            </w:r>
            <w:r>
              <w:rPr>
                <w:rFonts w:ascii="Times New Roman" w:hAnsi="Times New Roman"/>
                <w:sz w:val="20"/>
              </w:rPr>
              <w:t xml:space="preserve"> </w:t>
            </w:r>
            <w:r>
              <w:rPr>
                <w:rFonts w:ascii="Times New Roman" w:hAnsi="Times New Roman"/>
                <w:i/>
                <w:iCs/>
                <w:sz w:val="20"/>
              </w:rPr>
              <w:t xml:space="preserve">p</w:t>
            </w:r>
            <w:r>
              <w:rPr>
                <w:rFonts w:ascii="Times New Roman" w:hAnsi="Times New Roman"/>
                <w:sz w:val="20"/>
              </w:rPr>
              <w:t xml:space="preserve"> </w:t>
            </w:r>
            <w:r>
              <w:rPr>
                <w:rFonts w:ascii="Times New Roman" w:hAnsi="Times New Roman"/>
                <w:sz w:val="20"/>
              </w:rPr>
              <w:t xml:space="preserve">= 0,075</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GVIF</w:t>
            </w:r>
            <w:r>
              <w:rPr>
                <w:rFonts w:ascii="Times New Roman" w:hAnsi="Times New Roman"/>
                <w:sz w:val="20"/>
                <w:vertAlign w:val="superscript"/>
              </w:rPr>
              <w:t xml:space="preserve">1/(2df)</w:t>
            </w:r>
            <w:r>
              <w:rPr>
                <w:rFonts w:ascii="Times New Roman" w:hAnsi="Times New Roman"/>
                <w:sz w:val="20"/>
              </w:rPr>
              <w:t xml:space="preserve">: chỉ số kỳ thị; tuổi; học vấn; giới tính khi sinh; tình trạng thiểu số về giới; nhóm xu hướng tính dục; tình trạng quan hệ; địa bàn; ngành</w:t>
            </w:r>
          </w:p>
        </w:tc>
        <w:tc>
          <w:tcPr>
            <w:tcW w:w="4680" w:type="dxa"/>
          </w:tcPr>
          <w:p>
            <w:pPr>
              <w:pStyle w:val="Compact"/>
              <w:spacing w:before="0" w:after="0" w:line="240" w:lineRule="auto"/>
              <w:ind w:firstLine="0" w:left="0"/>
              <w:jc w:val="left"/>
            </w:pPr>
            <w:r>
              <w:rPr>
                <w:rFonts w:ascii="Times New Roman" w:hAnsi="Times New Roman"/>
                <w:sz w:val="20"/>
              </w:rPr>
              <w:t xml:space="preserve">1,064; 1,081; 1,066; 1,724; 1,112; 1,239; 1,066; 1,057; 1,042</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Số quan sát có khoảng cách Cook &gt; 4/</w:t>
            </w:r>
            <w:r>
              <w:rPr>
                <w:rFonts w:ascii="Times New Roman" w:hAnsi="Times New Roman"/>
                <w:i/>
                <w:iCs/>
                <w:sz w:val="20"/>
              </w:rPr>
              <w:t xml:space="preserve">n</w:t>
            </w:r>
          </w:p>
        </w:tc>
        <w:tc>
          <w:tcPr>
            <w:tcW w:w="4680" w:type="dxa"/>
          </w:tcPr>
          <w:p>
            <w:pPr>
              <w:pStyle w:val="Compact"/>
              <w:spacing w:before="0" w:after="0" w:line="240" w:lineRule="auto"/>
              <w:ind w:firstLine="0" w:left="0"/>
              <w:jc w:val="left"/>
            </w:pPr>
            <w:r>
              <w:rPr>
                <w:rFonts w:ascii="Times New Roman" w:hAnsi="Times New Roman"/>
                <w:sz w:val="20"/>
              </w:rPr>
              <w:t xml:space="preserve">19</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Số quan sát có đòn bẩy &gt; 2</w:t>
            </w:r>
            <w:r>
              <w:rPr>
                <w:rFonts w:ascii="Times New Roman" w:hAnsi="Times New Roman"/>
                <w:i/>
                <w:iCs/>
                <w:sz w:val="20"/>
              </w:rPr>
              <w:t xml:space="preserve">k</w:t>
            </w:r>
            <w:r>
              <w:rPr>
                <w:rFonts w:ascii="Times New Roman" w:hAnsi="Times New Roman"/>
                <w:sz w:val="20"/>
              </w:rPr>
              <w:t xml:space="preserve">/</w:t>
            </w:r>
            <w:r>
              <w:rPr>
                <w:rFonts w:ascii="Times New Roman" w:hAnsi="Times New Roman"/>
                <w:i/>
                <w:iCs/>
                <w:sz w:val="20"/>
              </w:rPr>
              <w:t xml:space="preserve">n</w:t>
            </w:r>
          </w:p>
        </w:tc>
        <w:tc>
          <w:tcPr>
            <w:tcW w:w="4680" w:type="dxa"/>
          </w:tcPr>
          <w:p>
            <w:pPr>
              <w:pStyle w:val="Compact"/>
              <w:spacing w:before="0" w:after="0" w:line="240" w:lineRule="auto"/>
              <w:ind w:firstLine="0" w:left="0"/>
              <w:jc w:val="left"/>
            </w:pPr>
            <w:r>
              <w:rPr>
                <w:rFonts w:ascii="Times New Roman" w:hAnsi="Times New Roman"/>
                <w:sz w:val="20"/>
              </w:rPr>
              <w:t xml:space="preserve">15</w:t>
            </w:r>
          </w:p>
        </w:tc>
      </w:tr>
      <w:tr>
        <w:trPr>
          <w:cantSplit/>
        </w:trPr>
        <w:tc>
          <w:tcPr>
            <w:tcW w:w="4680" w:type="dxa"/>
          </w:tcPr>
          <w:p>
            <w:pPr>
              <w:pStyle w:val="Compact"/>
              <w:spacing w:before="0" w:after="0" w:line="240" w:lineRule="auto"/>
              <w:ind w:firstLine="0" w:left="0"/>
              <w:jc w:val="left"/>
            </w:pPr>
            <w:r>
              <w:rPr>
                <w:rFonts w:ascii="Times New Roman" w:hAnsi="Times New Roman"/>
                <w:sz w:val="20"/>
              </w:rPr>
              <w:t xml:space="preserve">Đòn bẩy lớn nhất</w:t>
            </w:r>
          </w:p>
        </w:tc>
        <w:tc>
          <w:tcPr>
            <w:tcW w:w="4680" w:type="dxa"/>
          </w:tcPr>
          <w:p>
            <w:pPr>
              <w:pStyle w:val="Compact"/>
              <w:spacing w:before="0" w:after="0" w:line="240" w:lineRule="auto"/>
              <w:ind w:firstLine="0" w:left="0"/>
              <w:jc w:val="left"/>
            </w:pPr>
            <w:r>
              <w:rPr>
                <w:rFonts w:ascii="Times New Roman" w:hAnsi="Times New Roman"/>
                <w:sz w:val="20"/>
              </w:rPr>
              <w:t xml:space="preserve">0,29</w:t>
            </w:r>
          </w:p>
        </w:tc>
      </w:tr>
    </w:tbl>
    <w:p>
      <w:pPr>
        <w:pStyle w:val="BodyText"/>
      </w:pPr>
      <w:r>
        <w:rPr>
          <w:i/>
          <w:iCs/>
        </w:rPr>
        <w:t xml:space="preserve">Chú thích.</w:t>
      </w:r>
      <w:r>
        <w:t xml:space="preserve"> </w:t>
      </w:r>
      <w:r>
        <w:t xml:space="preserve">Các chẩn đoán chỉ mang tính mô tả. Sai số chuẩn HC3 đã được chọn trước khi ước lượng, không phụ thuộc kết quả kiểm định phương sai thay đổi.</w:t>
      </w:r>
    </w:p>
    <w:p>
      <w:pPr>
        <w:pStyle w:val="BodyText"/>
      </w:pPr>
      <w:r>
        <w:rPr>
          <w:b/>
          <w:bCs/>
        </w:rPr>
        <w:t xml:space="preserve">Bảng S3</w:t>
      </w:r>
      <w:r>
        <w:t xml:space="preserve"> </w:t>
      </w:r>
      <w:r>
        <w:rPr>
          <w:i/>
          <w:iCs/>
        </w:rPr>
        <w:t xml:space="preserve">Độ nhạy với nhiễu không đo được (Cinelli &amp; Hazlett, 2020)</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5148"/>
        <w:gridCol w:w="4212"/>
      </w:tblGrid>
      <w:tr>
        <w:trPr>
          <w:cantSplit/>
          <w:tblHeader/>
        </w:trPr>
        <w:tc>
          <w:tcPr>
            <w:tcW w:w="5148"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Đại lượng</w:t>
            </w:r>
          </w:p>
        </w:tc>
        <w:tc>
          <w:tcPr>
            <w:tcW w:w="4212"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Giá trị</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Ước lượng (</w:t>
            </w:r>
            <w:r>
              <w:rPr>
                <w:rFonts w:ascii="Times New Roman" w:hAnsi="Times New Roman"/>
                <w:i/>
                <w:iCs/>
                <w:sz w:val="20"/>
              </w:rPr>
              <w:t xml:space="preserve">SE</w:t>
            </w:r>
            <w:r>
              <w:rPr>
                <w:rFonts w:ascii="Times New Roman" w:hAnsi="Times New Roman"/>
                <w:sz w:val="20"/>
              </w:rPr>
              <w:t xml:space="preserve"> </w:t>
            </w:r>
            <w:r>
              <w:rPr>
                <w:rFonts w:ascii="Times New Roman" w:hAnsi="Times New Roman"/>
                <w:sz w:val="20"/>
              </w:rPr>
              <w:t xml:space="preserve">cổ điển)</w:t>
            </w:r>
          </w:p>
        </w:tc>
        <w:tc>
          <w:tcPr>
            <w:tcW w:w="4212" w:type="dxa"/>
          </w:tcPr>
          <w:p>
            <w:pPr>
              <w:pStyle w:val="Compact"/>
              <w:spacing w:before="0" w:after="0" w:line="240" w:lineRule="auto"/>
              <w:ind w:firstLine="0" w:left="0"/>
              <w:jc w:val="left"/>
            </w:pPr>
            <w:r>
              <w:rPr>
                <w:rFonts w:ascii="Times New Roman" w:hAnsi="Times New Roman"/>
                <w:sz w:val="20"/>
              </w:rPr>
              <w:t xml:space="preserve">1,85 (0,47),</w:t>
            </w:r>
            <w:r>
              <w:rPr>
                <w:rFonts w:ascii="Times New Roman" w:hAnsi="Times New Roman"/>
                <w:sz w:val="20"/>
              </w:rPr>
              <w:t xml:space="preserve"> </w:t>
            </w:r>
            <w:r>
              <w:rPr>
                <w:rFonts w:ascii="Times New Roman" w:hAnsi="Times New Roman"/>
                <w:i/>
                <w:iCs/>
                <w:sz w:val="20"/>
              </w:rPr>
              <w:t xml:space="preserve">t</w:t>
            </w:r>
            <w:r>
              <w:rPr>
                <w:rFonts w:ascii="Times New Roman" w:hAnsi="Times New Roman"/>
                <w:sz w:val="20"/>
              </w:rPr>
              <w:t xml:space="preserve">(209) = 3,93</w:t>
            </w:r>
          </w:p>
        </w:tc>
      </w:tr>
      <w:tr>
        <w:trPr>
          <w:cantSplit/>
        </w:trPr>
        <w:tc>
          <w:tcPr>
            <w:tcW w:w="5148" w:type="dxa"/>
          </w:tcPr>
          <w:p>
            <w:pPr>
              <w:pStyle w:val="Compact"/>
              <w:spacing w:before="0" w:after="0" w:line="240" w:lineRule="auto"/>
              <w:ind w:firstLine="0" w:left="0"/>
              <w:jc w:val="left"/>
            </w:pPr>
            <w:r>
              <w:rPr>
                <w:rFonts w:ascii="Times New Roman" w:hAnsi="Times New Roman"/>
                <w:i/>
                <w:iCs/>
                <w:sz w:val="20"/>
              </w:rPr>
              <w:t xml:space="preserve">R</w:t>
            </w:r>
            <w:r>
              <w:rPr>
                <w:rFonts w:ascii="Times New Roman" w:hAnsi="Times New Roman"/>
                <w:sz w:val="20"/>
              </w:rPr>
              <w:t xml:space="preserve">² riêng phần của chỉ số kỳ thị với PHQ-4</w:t>
            </w:r>
          </w:p>
        </w:tc>
        <w:tc>
          <w:tcPr>
            <w:tcW w:w="4212" w:type="dxa"/>
          </w:tcPr>
          <w:p>
            <w:pPr>
              <w:pStyle w:val="Compact"/>
              <w:spacing w:before="0" w:after="0" w:line="240" w:lineRule="auto"/>
              <w:ind w:firstLine="0" w:left="0"/>
              <w:jc w:val="left"/>
            </w:pPr>
            <w:r>
              <w:rPr>
                <w:rFonts w:ascii="Times New Roman" w:hAnsi="Times New Roman"/>
                <w:sz w:val="20"/>
              </w:rPr>
              <w:t xml:space="preserve">6,9%</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Giá trị độ bền,</w:t>
            </w:r>
            <w:r>
              <w:rPr>
                <w:rFonts w:ascii="Times New Roman" w:hAnsi="Times New Roman"/>
                <w:sz w:val="20"/>
              </w:rPr>
              <w:t xml:space="preserve"> </w:t>
            </w:r>
            <w:r>
              <w:rPr>
                <w:rFonts w:ascii="Times New Roman" w:hAnsi="Times New Roman"/>
                <w:i/>
                <w:iCs/>
                <w:sz w:val="20"/>
              </w:rPr>
              <w:t xml:space="preserve">q</w:t>
            </w:r>
            <w:r>
              <w:rPr>
                <w:rFonts w:ascii="Times New Roman" w:hAnsi="Times New Roman"/>
                <w:sz w:val="20"/>
              </w:rPr>
              <w:t xml:space="preserve"> </w:t>
            </w:r>
            <w:r>
              <w:rPr>
                <w:rFonts w:ascii="Times New Roman" w:hAnsi="Times New Roman"/>
                <w:sz w:val="20"/>
              </w:rPr>
              <w:t xml:space="preserve">= 1</w:t>
            </w:r>
          </w:p>
        </w:tc>
        <w:tc>
          <w:tcPr>
            <w:tcW w:w="4212" w:type="dxa"/>
          </w:tcPr>
          <w:p>
            <w:pPr>
              <w:pStyle w:val="Compact"/>
              <w:spacing w:before="0" w:after="0" w:line="240" w:lineRule="auto"/>
              <w:ind w:firstLine="0" w:left="0"/>
              <w:jc w:val="left"/>
            </w:pPr>
            <w:r>
              <w:rPr>
                <w:rFonts w:ascii="Times New Roman" w:hAnsi="Times New Roman"/>
                <w:sz w:val="20"/>
              </w:rPr>
              <w:t xml:space="preserve">23,7%</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Giá trị độ bền,</w:t>
            </w:r>
            <w:r>
              <w:rPr>
                <w:rFonts w:ascii="Times New Roman" w:hAnsi="Times New Roman"/>
                <w:sz w:val="20"/>
              </w:rPr>
              <w:t xml:space="preserve"> </w:t>
            </w:r>
            <w:r>
              <w:rPr>
                <w:rFonts w:ascii="Times New Roman" w:hAnsi="Times New Roman"/>
                <w:i/>
                <w:iCs/>
                <w:sz w:val="20"/>
              </w:rPr>
              <w:t xml:space="preserve">q</w:t>
            </w:r>
            <w:r>
              <w:rPr>
                <w:rFonts w:ascii="Times New Roman" w:hAnsi="Times New Roman"/>
                <w:sz w:val="20"/>
              </w:rPr>
              <w:t xml:space="preserve"> </w:t>
            </w:r>
            <w:r>
              <w:rPr>
                <w:rFonts w:ascii="Times New Roman" w:hAnsi="Times New Roman"/>
                <w:sz w:val="20"/>
              </w:rPr>
              <w:t xml:space="preserve">= 1, α = 0,05</w:t>
            </w:r>
          </w:p>
        </w:tc>
        <w:tc>
          <w:tcPr>
            <w:tcW w:w="4212" w:type="dxa"/>
          </w:tcPr>
          <w:p>
            <w:pPr>
              <w:pStyle w:val="Compact"/>
              <w:spacing w:before="0" w:after="0" w:line="240" w:lineRule="auto"/>
              <w:ind w:firstLine="0" w:left="0"/>
              <w:jc w:val="left"/>
            </w:pPr>
            <w:r>
              <w:rPr>
                <w:rFonts w:ascii="Times New Roman" w:hAnsi="Times New Roman"/>
                <w:sz w:val="20"/>
              </w:rPr>
              <w:t xml:space="preserve">12,6%</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Mốc so sánh: học vấn (nhóm biến),</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² riêng phần với</w:t>
            </w:r>
            <w:r>
              <w:rPr>
                <w:rFonts w:ascii="Times New Roman" w:hAnsi="Times New Roman"/>
                <w:sz w:val="20"/>
              </w:rPr>
              <w:t xml:space="preserve"> </w:t>
            </w:r>
            <w:r>
              <w:rPr>
                <w:rFonts w:ascii="Times New Roman" w:hAnsi="Times New Roman"/>
                <w:i/>
                <w:iCs/>
                <w:sz w:val="20"/>
              </w:rPr>
              <w:t xml:space="preserve">S</w:t>
            </w:r>
            <w:r>
              <w:rPr>
                <w:rFonts w:ascii="Times New Roman" w:hAnsi="Times New Roman"/>
                <w:sz w:val="20"/>
              </w:rPr>
              <w:t xml:space="preserve">; với PHQ-4</w:t>
            </w:r>
          </w:p>
        </w:tc>
        <w:tc>
          <w:tcPr>
            <w:tcW w:w="4212" w:type="dxa"/>
          </w:tcPr>
          <w:p>
            <w:pPr>
              <w:pStyle w:val="Compact"/>
              <w:spacing w:before="0" w:after="0" w:line="240" w:lineRule="auto"/>
              <w:ind w:firstLine="0" w:left="0"/>
              <w:jc w:val="left"/>
            </w:pPr>
            <w:r>
              <w:rPr>
                <w:rFonts w:ascii="Times New Roman" w:hAnsi="Times New Roman"/>
                <w:sz w:val="20"/>
              </w:rPr>
              <w:t xml:space="preserve">0,98%; 2,92%</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Biến nhiễu bằng 1 × học vấn: ước lượng điều chỉnh [KTC 95%]</w:t>
            </w:r>
          </w:p>
        </w:tc>
        <w:tc>
          <w:tcPr>
            <w:tcW w:w="4212" w:type="dxa"/>
          </w:tcPr>
          <w:p>
            <w:pPr>
              <w:pStyle w:val="Compact"/>
              <w:spacing w:before="0" w:after="0" w:line="240" w:lineRule="auto"/>
              <w:ind w:firstLine="0" w:left="0"/>
              <w:jc w:val="left"/>
            </w:pPr>
            <w:r>
              <w:rPr>
                <w:rFonts w:ascii="Times New Roman" w:hAnsi="Times New Roman"/>
                <w:sz w:val="20"/>
              </w:rPr>
              <w:t xml:space="preserve">1,73 [0,81; 2,65]</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Biến nhiễu bằng 2 × học vấn</w:t>
            </w:r>
          </w:p>
        </w:tc>
        <w:tc>
          <w:tcPr>
            <w:tcW w:w="4212" w:type="dxa"/>
          </w:tcPr>
          <w:p>
            <w:pPr>
              <w:pStyle w:val="Compact"/>
              <w:spacing w:before="0" w:after="0" w:line="240" w:lineRule="auto"/>
              <w:ind w:firstLine="0" w:left="0"/>
              <w:jc w:val="left"/>
            </w:pPr>
            <w:r>
              <w:rPr>
                <w:rFonts w:ascii="Times New Roman" w:hAnsi="Times New Roman"/>
                <w:sz w:val="20"/>
              </w:rPr>
              <w:t xml:space="preserve">1,61 [0,70; 2,52]</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Biến nhiễu bằng 3 × học vấn</w:t>
            </w:r>
          </w:p>
        </w:tc>
        <w:tc>
          <w:tcPr>
            <w:tcW w:w="4212" w:type="dxa"/>
          </w:tcPr>
          <w:p>
            <w:pPr>
              <w:pStyle w:val="Compact"/>
              <w:spacing w:before="0" w:after="0" w:line="240" w:lineRule="auto"/>
              <w:ind w:firstLine="0" w:left="0"/>
              <w:jc w:val="left"/>
            </w:pPr>
            <w:r>
              <w:rPr>
                <w:rFonts w:ascii="Times New Roman" w:hAnsi="Times New Roman"/>
                <w:sz w:val="20"/>
              </w:rPr>
              <w:t xml:space="preserve">1,49 [0,59; 2,38]</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Mốc so sánh: giới tính khi sinh,</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² riêng phần với</w:t>
            </w:r>
            <w:r>
              <w:rPr>
                <w:rFonts w:ascii="Times New Roman" w:hAnsi="Times New Roman"/>
                <w:sz w:val="20"/>
              </w:rPr>
              <w:t xml:space="preserve"> </w:t>
            </w:r>
            <w:r>
              <w:rPr>
                <w:rFonts w:ascii="Times New Roman" w:hAnsi="Times New Roman"/>
                <w:i/>
                <w:iCs/>
                <w:sz w:val="20"/>
              </w:rPr>
              <w:t xml:space="preserve">S</w:t>
            </w:r>
            <w:r>
              <w:rPr>
                <w:rFonts w:ascii="Times New Roman" w:hAnsi="Times New Roman"/>
                <w:sz w:val="20"/>
              </w:rPr>
              <w:t xml:space="preserve">; với PHQ-4</w:t>
            </w:r>
          </w:p>
        </w:tc>
        <w:tc>
          <w:tcPr>
            <w:tcW w:w="4212" w:type="dxa"/>
          </w:tcPr>
          <w:p>
            <w:pPr>
              <w:pStyle w:val="Compact"/>
              <w:spacing w:before="0" w:after="0" w:line="240" w:lineRule="auto"/>
              <w:ind w:firstLine="0" w:left="0"/>
              <w:jc w:val="left"/>
            </w:pPr>
            <w:r>
              <w:rPr>
                <w:rFonts w:ascii="Times New Roman" w:hAnsi="Times New Roman"/>
                <w:sz w:val="20"/>
              </w:rPr>
              <w:t xml:space="preserve">0,17%; 0,10%</w:t>
            </w:r>
          </w:p>
        </w:tc>
      </w:tr>
      <w:tr>
        <w:trPr>
          <w:cantSplit/>
        </w:trPr>
        <w:tc>
          <w:tcPr>
            <w:tcW w:w="5148" w:type="dxa"/>
          </w:tcPr>
          <w:p>
            <w:pPr>
              <w:pStyle w:val="Compact"/>
              <w:spacing w:before="0" w:after="0" w:line="240" w:lineRule="auto"/>
              <w:ind w:firstLine="0" w:left="0"/>
              <w:jc w:val="left"/>
            </w:pPr>
            <w:r>
              <w:rPr>
                <w:rFonts w:ascii="Times New Roman" w:hAnsi="Times New Roman"/>
                <w:sz w:val="20"/>
              </w:rPr>
              <w:t xml:space="preserve">Biến nhiễu bằng 1, 2, 3 × giới tính khi sinh</w:t>
            </w:r>
          </w:p>
        </w:tc>
        <w:tc>
          <w:tcPr>
            <w:tcW w:w="4212" w:type="dxa"/>
          </w:tcPr>
          <w:p>
            <w:pPr>
              <w:pStyle w:val="Compact"/>
              <w:spacing w:before="0" w:after="0" w:line="240" w:lineRule="auto"/>
              <w:ind w:firstLine="0" w:left="0"/>
              <w:jc w:val="left"/>
            </w:pPr>
            <w:r>
              <w:rPr>
                <w:rFonts w:ascii="Times New Roman" w:hAnsi="Times New Roman"/>
                <w:sz w:val="20"/>
              </w:rPr>
              <w:t xml:space="preserve">1,84 [0,91; 2,77]; 1,83 [0,90; 2,76]; 1,82 [0,89; 2,75]</w:t>
            </w:r>
          </w:p>
        </w:tc>
      </w:tr>
    </w:tbl>
    <w:p>
      <w:pPr>
        <w:pStyle w:val="BodyText"/>
      </w:pPr>
      <w:r>
        <w:rPr>
          <w:i/>
          <w:iCs/>
        </w:rPr>
        <w:t xml:space="preserve">Chú thích.</w:t>
      </w:r>
      <w:r>
        <w:t xml:space="preserve"> </w:t>
      </w:r>
      <w:r>
        <w:t xml:space="preserve">Giá trị độ bền là phần phương sai phần dư của cả chỉ số kỳ thị lẫn điểm PHQ-4 mà một biến nhiễu bị bỏ sót phải giải thích để đưa ước lượng về không (</w:t>
      </w:r>
      <w:r>
        <w:rPr>
          <w:i/>
          <w:iCs/>
        </w:rPr>
        <w:t xml:space="preserve">q</w:t>
      </w:r>
      <w:r>
        <w:t xml:space="preserve"> </w:t>
      </w:r>
      <w:r>
        <w:t xml:space="preserve">= 1) hoặc để khoảng tin cậy 95% chứa không (α = 0,05). Các giá trị dựa trên sai số chuẩn cổ điển và chỉ mang tính chỉ báo, không phải kiểm định dựa trên HC3.</w:t>
      </w:r>
    </w:p>
    <w:p>
      <w:pPr>
        <w:pStyle w:val="BodyText"/>
      </w:pPr>
      <w:r>
        <w:rPr>
          <w:b/>
          <w:bCs/>
        </w:rPr>
        <w:t xml:space="preserve">Bảng S4</w:t>
      </w:r>
      <w:r>
        <w:t xml:space="preserve"> </w:t>
      </w:r>
      <w:r>
        <w:rPr>
          <w:i/>
          <w:iCs/>
        </w:rPr>
        <w:t xml:space="preserve">Từng tình huống và các mức phơi nhiễm (điểm PHQ-4, thăm dò)</w:t>
      </w:r>
    </w:p>
    <w:tbl>
      <w:tblPr>
        <w:tblStyle w:val="Table"/>
        <w:tblW w:w="9361"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685"/>
        <w:gridCol w:w="3370"/>
        <w:gridCol w:w="562"/>
        <w:gridCol w:w="936"/>
        <w:gridCol w:w="1310"/>
        <w:gridCol w:w="749"/>
        <w:gridCol w:w="749"/>
      </w:tblGrid>
      <w:tr>
        <w:trPr>
          <w:cantSplit/>
          <w:tblHeader/>
        </w:trPr>
        <w:tc>
          <w:tcPr>
            <w:tcW w:w="1685"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Phân tích</w:t>
            </w:r>
          </w:p>
        </w:tc>
        <w:tc>
          <w:tcPr>
            <w:tcW w:w="3370"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Biến</w:t>
            </w:r>
          </w:p>
        </w:tc>
        <w:tc>
          <w:tcPr>
            <w:tcW w:w="562"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Hệ số</w:t>
            </w:r>
          </w:p>
        </w:tc>
        <w:tc>
          <w:tcPr>
            <w:tcW w:w="1310"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KTC 95%</w:t>
            </w:r>
          </w:p>
        </w:tc>
        <w:tc>
          <w:tcPr>
            <w:tcW w:w="749"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p</w:t>
            </w:r>
          </w:p>
        </w:tc>
        <w:tc>
          <w:tcPr>
            <w:tcW w:w="749"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p</w:t>
            </w:r>
            <w:r>
              <w:rPr>
                <w:rFonts w:ascii="Times New Roman" w:hAnsi="Times New Roman"/>
                <w:sz w:val="20"/>
              </w:rPr>
              <w:t xml:space="preserve"> </w:t>
            </w:r>
            <w:r>
              <w:rPr>
                <w:rFonts w:ascii="Times New Roman" w:hAnsi="Times New Roman"/>
                <w:sz w:val="20"/>
              </w:rPr>
              <w:t xml:space="preserve">BH</w:t>
            </w:r>
          </w:p>
        </w:tc>
      </w:tr>
      <w:tr>
        <w:trPr>
          <w:cantSplit/>
        </w:trPr>
        <w:tc>
          <w:tcPr>
            <w:tcW w:w="1685" w:type="dxa"/>
          </w:tcPr>
          <w:p>
            <w:pPr>
              <w:pStyle w:val="Compact"/>
              <w:spacing w:before="0" w:after="0" w:line="240" w:lineRule="auto"/>
              <w:ind w:firstLine="0" w:left="0"/>
              <w:jc w:val="left"/>
            </w:pPr>
            <w:r>
              <w:rPr>
                <w:rFonts w:ascii="Times New Roman" w:hAnsi="Times New Roman"/>
                <w:b/>
                <w:bCs/>
                <w:sz w:val="20"/>
              </w:rPr>
              <w:t xml:space="preserve">Tình huống</w:t>
            </w:r>
            <w:r>
              <w:rPr>
                <w:rFonts w:ascii="Times New Roman" w:hAnsi="Times New Roman"/>
                <w:sz w:val="20"/>
              </w:rPr>
              <w:t xml:space="preserve"> </w:t>
            </w:r>
            <w:r>
              <w:rPr>
                <w:rFonts w:ascii="Times New Roman" w:hAnsi="Times New Roman"/>
                <w:sz w:val="20"/>
              </w:rPr>
              <w:t xml:space="preserve">(đã gặp ít nhất một lần)</w:t>
            </w:r>
          </w:p>
        </w:tc>
        <w:tc>
          <w:tcPr>
            <w:tcW w:w="3370" w:type="dxa"/>
          </w:tcPr>
          <w:p>
            <w:pPr>
              <w:pStyle w:val="Compact"/>
              <w:spacing w:before="0" w:after="0" w:line="240" w:lineRule="auto"/>
              <w:ind w:firstLine="0" w:left="0"/>
              <w:jc w:val="left"/>
            </w:pPr>
            <w:r>
              <w:rPr>
                <w:rFonts w:ascii="Times New Roman" w:hAnsi="Times New Roman"/>
                <w:sz w:val="20"/>
              </w:rPr>
              <w:t xml:space="preserve">1. Lời đùa hoặc bình luận xúc phạm</w:t>
            </w:r>
          </w:p>
        </w:tc>
        <w:tc>
          <w:tcPr>
            <w:tcW w:w="562" w:type="dxa"/>
          </w:tcPr>
          <w:p>
            <w:pPr>
              <w:pStyle w:val="Compact"/>
              <w:spacing w:before="0" w:after="0" w:line="240" w:lineRule="auto"/>
              <w:ind w:firstLine="0" w:left="0"/>
              <w:jc w:val="center"/>
            </w:pPr>
            <w:r>
              <w:rPr>
                <w:rFonts w:ascii="Times New Roman" w:hAnsi="Times New Roman"/>
                <w:sz w:val="20"/>
              </w:rPr>
              <w:t xml:space="preserve">231</w:t>
            </w:r>
          </w:p>
        </w:tc>
        <w:tc>
          <w:tcPr>
            <w:tcW w:w="936" w:type="dxa"/>
          </w:tcPr>
          <w:p>
            <w:pPr>
              <w:pStyle w:val="Compact"/>
              <w:spacing w:before="0" w:after="0" w:line="240" w:lineRule="auto"/>
              <w:ind w:firstLine="0" w:left="0"/>
              <w:jc w:val="center"/>
            </w:pPr>
            <w:r>
              <w:rPr>
                <w:rFonts w:ascii="Times New Roman" w:hAnsi="Times New Roman"/>
                <w:sz w:val="20"/>
              </w:rPr>
              <w:t xml:space="preserve">1,86</w:t>
            </w:r>
          </w:p>
        </w:tc>
        <w:tc>
          <w:tcPr>
            <w:tcW w:w="1310" w:type="dxa"/>
          </w:tcPr>
          <w:p>
            <w:pPr>
              <w:pStyle w:val="Compact"/>
              <w:spacing w:before="0" w:after="0" w:line="240" w:lineRule="auto"/>
              <w:ind w:firstLine="0" w:left="0"/>
              <w:jc w:val="center"/>
            </w:pPr>
            <w:r>
              <w:rPr>
                <w:rFonts w:ascii="Times New Roman" w:hAnsi="Times New Roman"/>
                <w:sz w:val="20"/>
              </w:rPr>
              <w:t xml:space="preserve">[0,81; 2,91]</w:t>
            </w:r>
          </w:p>
        </w:tc>
        <w:tc>
          <w:tcPr>
            <w:tcW w:w="749" w:type="dxa"/>
          </w:tcPr>
          <w:p>
            <w:pPr>
              <w:pStyle w:val="Compact"/>
              <w:spacing w:before="0" w:after="0" w:line="240" w:lineRule="auto"/>
              <w:ind w:firstLine="0" w:left="0"/>
              <w:jc w:val="center"/>
            </w:pPr>
            <w:r>
              <w:rPr>
                <w:rFonts w:ascii="Times New Roman" w:hAnsi="Times New Roman"/>
                <w:sz w:val="20"/>
              </w:rPr>
              <w:t xml:space="preserve">&lt; 0,001</w:t>
            </w:r>
          </w:p>
        </w:tc>
        <w:tc>
          <w:tcPr>
            <w:tcW w:w="749" w:type="dxa"/>
          </w:tcPr>
          <w:p>
            <w:pPr>
              <w:pStyle w:val="Compact"/>
              <w:spacing w:before="0" w:after="0" w:line="240" w:lineRule="auto"/>
              <w:ind w:firstLine="0" w:left="0"/>
              <w:jc w:val="center"/>
            </w:pPr>
            <w:r>
              <w:rPr>
                <w:rFonts w:ascii="Times New Roman" w:hAnsi="Times New Roman"/>
                <w:sz w:val="20"/>
              </w:rPr>
              <w:t xml:space="preserve">0,002</w:t>
            </w:r>
          </w:p>
        </w:tc>
      </w:tr>
      <w:tr>
        <w:trPr>
          <w:cantSplit/>
        </w:trPr>
        <w:tc>
          <w:tcPr>
            <w:tcW w:w="1685" w:type="dxa"/>
          </w:tcPr>
          <w:p>
            <w:pPr>
              <w:pStyle w:val="Compact"/>
              <w:spacing w:before="0" w:after="0" w:line="240" w:lineRule="auto"/>
              <w:ind w:firstLine="0" w:left="0"/>
              <w:jc w:val="left"/>
            </w:pPr>
          </w:p>
        </w:tc>
        <w:tc>
          <w:tcPr>
            <w:tcW w:w="3370" w:type="dxa"/>
          </w:tcPr>
          <w:p>
            <w:pPr>
              <w:pStyle w:val="Compact"/>
              <w:spacing w:before="0" w:after="0" w:line="240" w:lineRule="auto"/>
              <w:ind w:firstLine="0" w:left="0"/>
              <w:jc w:val="left"/>
            </w:pPr>
            <w:r>
              <w:rPr>
                <w:rFonts w:ascii="Times New Roman" w:hAnsi="Times New Roman"/>
                <w:sz w:val="20"/>
              </w:rPr>
              <w:t xml:space="preserve">2. Câu hỏi riêng tư không mong muốn</w:t>
            </w:r>
          </w:p>
        </w:tc>
        <w:tc>
          <w:tcPr>
            <w:tcW w:w="562" w:type="dxa"/>
          </w:tcPr>
          <w:p>
            <w:pPr>
              <w:pStyle w:val="Compact"/>
              <w:spacing w:before="0" w:after="0" w:line="240" w:lineRule="auto"/>
              <w:ind w:firstLine="0" w:left="0"/>
              <w:jc w:val="center"/>
            </w:pPr>
            <w:r>
              <w:rPr>
                <w:rFonts w:ascii="Times New Roman" w:hAnsi="Times New Roman"/>
                <w:sz w:val="20"/>
              </w:rPr>
              <w:t xml:space="preserve">227</w:t>
            </w:r>
          </w:p>
        </w:tc>
        <w:tc>
          <w:tcPr>
            <w:tcW w:w="936" w:type="dxa"/>
          </w:tcPr>
          <w:p>
            <w:pPr>
              <w:pStyle w:val="Compact"/>
              <w:spacing w:before="0" w:after="0" w:line="240" w:lineRule="auto"/>
              <w:ind w:firstLine="0" w:left="0"/>
              <w:jc w:val="center"/>
            </w:pPr>
            <w:r>
              <w:rPr>
                <w:rFonts w:ascii="Times New Roman" w:hAnsi="Times New Roman"/>
                <w:sz w:val="20"/>
              </w:rPr>
              <w:t xml:space="preserve">1,87</w:t>
            </w:r>
          </w:p>
        </w:tc>
        <w:tc>
          <w:tcPr>
            <w:tcW w:w="1310" w:type="dxa"/>
          </w:tcPr>
          <w:p>
            <w:pPr>
              <w:pStyle w:val="Compact"/>
              <w:spacing w:before="0" w:after="0" w:line="240" w:lineRule="auto"/>
              <w:ind w:firstLine="0" w:left="0"/>
              <w:jc w:val="center"/>
            </w:pPr>
            <w:r>
              <w:rPr>
                <w:rFonts w:ascii="Times New Roman" w:hAnsi="Times New Roman"/>
                <w:sz w:val="20"/>
              </w:rPr>
              <w:t xml:space="preserve">[0,84; 2,89]</w:t>
            </w:r>
          </w:p>
        </w:tc>
        <w:tc>
          <w:tcPr>
            <w:tcW w:w="749" w:type="dxa"/>
          </w:tcPr>
          <w:p>
            <w:pPr>
              <w:pStyle w:val="Compact"/>
              <w:spacing w:before="0" w:after="0" w:line="240" w:lineRule="auto"/>
              <w:ind w:firstLine="0" w:left="0"/>
              <w:jc w:val="center"/>
            </w:pPr>
            <w:r>
              <w:rPr>
                <w:rFonts w:ascii="Times New Roman" w:hAnsi="Times New Roman"/>
                <w:sz w:val="20"/>
              </w:rPr>
              <w:t xml:space="preserve">&lt; 0,001</w:t>
            </w:r>
          </w:p>
        </w:tc>
        <w:tc>
          <w:tcPr>
            <w:tcW w:w="749" w:type="dxa"/>
          </w:tcPr>
          <w:p>
            <w:pPr>
              <w:pStyle w:val="Compact"/>
              <w:spacing w:before="0" w:after="0" w:line="240" w:lineRule="auto"/>
              <w:ind w:firstLine="0" w:left="0"/>
              <w:jc w:val="center"/>
            </w:pPr>
            <w:r>
              <w:rPr>
                <w:rFonts w:ascii="Times New Roman" w:hAnsi="Times New Roman"/>
                <w:sz w:val="20"/>
              </w:rPr>
              <w:t xml:space="preserve">0,002</w:t>
            </w:r>
          </w:p>
        </w:tc>
      </w:tr>
      <w:tr>
        <w:trPr>
          <w:cantSplit/>
        </w:trPr>
        <w:tc>
          <w:tcPr>
            <w:tcW w:w="1685" w:type="dxa"/>
          </w:tcPr>
          <w:p>
            <w:pPr>
              <w:pStyle w:val="Compact"/>
              <w:spacing w:before="0" w:after="0" w:line="240" w:lineRule="auto"/>
              <w:ind w:firstLine="0" w:left="0"/>
              <w:jc w:val="left"/>
            </w:pPr>
          </w:p>
        </w:tc>
        <w:tc>
          <w:tcPr>
            <w:tcW w:w="3370" w:type="dxa"/>
          </w:tcPr>
          <w:p>
            <w:pPr>
              <w:pStyle w:val="Compact"/>
              <w:spacing w:before="0" w:after="0" w:line="240" w:lineRule="auto"/>
              <w:ind w:firstLine="0" w:left="0"/>
              <w:jc w:val="left"/>
            </w:pPr>
            <w:r>
              <w:rPr>
                <w:rFonts w:ascii="Times New Roman" w:hAnsi="Times New Roman"/>
                <w:sz w:val="20"/>
              </w:rPr>
              <w:t xml:space="preserve">3. Bị tiết lộ hoặc đe dọa tiết lộ</w:t>
            </w:r>
          </w:p>
        </w:tc>
        <w:tc>
          <w:tcPr>
            <w:tcW w:w="562" w:type="dxa"/>
          </w:tcPr>
          <w:p>
            <w:pPr>
              <w:pStyle w:val="Compact"/>
              <w:spacing w:before="0" w:after="0" w:line="240" w:lineRule="auto"/>
              <w:ind w:firstLine="0" w:left="0"/>
              <w:jc w:val="center"/>
            </w:pPr>
            <w:r>
              <w:rPr>
                <w:rFonts w:ascii="Times New Roman" w:hAnsi="Times New Roman"/>
                <w:sz w:val="20"/>
              </w:rPr>
              <w:t xml:space="preserve">220</w:t>
            </w:r>
          </w:p>
        </w:tc>
        <w:tc>
          <w:tcPr>
            <w:tcW w:w="936" w:type="dxa"/>
          </w:tcPr>
          <w:p>
            <w:pPr>
              <w:pStyle w:val="Compact"/>
              <w:spacing w:before="0" w:after="0" w:line="240" w:lineRule="auto"/>
              <w:ind w:firstLine="0" w:left="0"/>
              <w:jc w:val="center"/>
            </w:pPr>
            <w:r>
              <w:rPr>
                <w:rFonts w:ascii="Times New Roman" w:hAnsi="Times New Roman"/>
                <w:sz w:val="20"/>
              </w:rPr>
              <w:t xml:space="preserve">0,59</w:t>
            </w:r>
          </w:p>
        </w:tc>
        <w:tc>
          <w:tcPr>
            <w:tcW w:w="1310" w:type="dxa"/>
          </w:tcPr>
          <w:p>
            <w:pPr>
              <w:pStyle w:val="Compact"/>
              <w:spacing w:before="0" w:after="0" w:line="240" w:lineRule="auto"/>
              <w:ind w:firstLine="0" w:left="0"/>
              <w:jc w:val="center"/>
            </w:pPr>
            <w:r>
              <w:rPr>
                <w:rFonts w:ascii="Times New Roman" w:hAnsi="Times New Roman"/>
                <w:sz w:val="20"/>
              </w:rPr>
              <w:t xml:space="preserve">[−0,65; 1,83]</w:t>
            </w:r>
          </w:p>
        </w:tc>
        <w:tc>
          <w:tcPr>
            <w:tcW w:w="749" w:type="dxa"/>
          </w:tcPr>
          <w:p>
            <w:pPr>
              <w:pStyle w:val="Compact"/>
              <w:spacing w:before="0" w:after="0" w:line="240" w:lineRule="auto"/>
              <w:ind w:firstLine="0" w:left="0"/>
              <w:jc w:val="center"/>
            </w:pPr>
            <w:r>
              <w:rPr>
                <w:rFonts w:ascii="Times New Roman" w:hAnsi="Times New Roman"/>
                <w:sz w:val="20"/>
              </w:rPr>
              <w:t xml:space="preserve">0,351</w:t>
            </w:r>
          </w:p>
        </w:tc>
        <w:tc>
          <w:tcPr>
            <w:tcW w:w="749" w:type="dxa"/>
          </w:tcPr>
          <w:p>
            <w:pPr>
              <w:pStyle w:val="Compact"/>
              <w:spacing w:before="0" w:after="0" w:line="240" w:lineRule="auto"/>
              <w:ind w:firstLine="0" w:left="0"/>
              <w:jc w:val="center"/>
            </w:pPr>
            <w:r>
              <w:rPr>
                <w:rFonts w:ascii="Times New Roman" w:hAnsi="Times New Roman"/>
                <w:sz w:val="20"/>
              </w:rPr>
              <w:t xml:space="preserve">0,491</w:t>
            </w:r>
          </w:p>
        </w:tc>
      </w:tr>
      <w:tr>
        <w:trPr>
          <w:cantSplit/>
        </w:trPr>
        <w:tc>
          <w:tcPr>
            <w:tcW w:w="1685" w:type="dxa"/>
          </w:tcPr>
          <w:p>
            <w:pPr>
              <w:pStyle w:val="Compact"/>
              <w:spacing w:before="0" w:after="0" w:line="240" w:lineRule="auto"/>
              <w:ind w:firstLine="0" w:left="0"/>
              <w:jc w:val="left"/>
            </w:pPr>
          </w:p>
        </w:tc>
        <w:tc>
          <w:tcPr>
            <w:tcW w:w="3370" w:type="dxa"/>
          </w:tcPr>
          <w:p>
            <w:pPr>
              <w:pStyle w:val="Compact"/>
              <w:spacing w:before="0" w:after="0" w:line="240" w:lineRule="auto"/>
              <w:ind w:firstLine="0" w:left="0"/>
              <w:jc w:val="left"/>
            </w:pPr>
            <w:r>
              <w:rPr>
                <w:rFonts w:ascii="Times New Roman" w:hAnsi="Times New Roman"/>
                <w:sz w:val="20"/>
              </w:rPr>
              <w:t xml:space="preserve">4. Bị loại khỏi đào tạo hoặc phát triển nghề nghiệp</w:t>
            </w:r>
          </w:p>
        </w:tc>
        <w:tc>
          <w:tcPr>
            <w:tcW w:w="562" w:type="dxa"/>
          </w:tcPr>
          <w:p>
            <w:pPr>
              <w:pStyle w:val="Compact"/>
              <w:spacing w:before="0" w:after="0" w:line="240" w:lineRule="auto"/>
              <w:ind w:firstLine="0" w:left="0"/>
              <w:jc w:val="center"/>
            </w:pPr>
          </w:p>
        </w:tc>
        <w:tc>
          <w:tcPr>
            <w:tcW w:w="936" w:type="dxa"/>
          </w:tcPr>
          <w:p>
            <w:pPr>
              <w:pStyle w:val="Compact"/>
              <w:spacing w:before="0" w:after="0" w:line="240" w:lineRule="auto"/>
              <w:ind w:firstLine="0" w:left="0"/>
              <w:jc w:val="center"/>
            </w:pPr>
            <w:r>
              <w:rPr>
                <w:rFonts w:ascii="Times New Roman" w:hAnsi="Times New Roman"/>
                <w:sz w:val="20"/>
              </w:rPr>
              <w:t xml:space="preserve">không ước lượng</w:t>
            </w:r>
          </w:p>
        </w:tc>
        <w:tc>
          <w:tcPr>
            <w:tcW w:w="1310" w:type="dxa"/>
          </w:tcPr>
          <w:p>
            <w:pPr>
              <w:pStyle w:val="Compact"/>
              <w:spacing w:before="0" w:after="0" w:line="240" w:lineRule="auto"/>
              <w:ind w:firstLine="0" w:left="0"/>
              <w:jc w:val="center"/>
            </w:pPr>
          </w:p>
        </w:tc>
        <w:tc>
          <w:tcPr>
            <w:tcW w:w="749" w:type="dxa"/>
          </w:tcPr>
          <w:p>
            <w:pPr>
              <w:pStyle w:val="Compact"/>
              <w:spacing w:before="0" w:after="0" w:line="240" w:lineRule="auto"/>
              <w:ind w:firstLine="0" w:left="0"/>
              <w:jc w:val="center"/>
            </w:pPr>
          </w:p>
        </w:tc>
        <w:tc>
          <w:tcPr>
            <w:tcW w:w="749" w:type="dxa"/>
          </w:tcPr>
          <w:p>
            <w:pPr>
              <w:pStyle w:val="Compact"/>
              <w:spacing w:before="0" w:after="0" w:line="240" w:lineRule="auto"/>
              <w:ind w:firstLine="0" w:left="0"/>
              <w:jc w:val="center"/>
            </w:pPr>
          </w:p>
        </w:tc>
      </w:tr>
      <w:tr>
        <w:trPr>
          <w:cantSplit/>
        </w:trPr>
        <w:tc>
          <w:tcPr>
            <w:tcW w:w="1685" w:type="dxa"/>
          </w:tcPr>
          <w:p>
            <w:pPr>
              <w:pStyle w:val="Compact"/>
              <w:spacing w:before="0" w:after="0" w:line="240" w:lineRule="auto"/>
              <w:ind w:firstLine="0" w:left="0"/>
              <w:jc w:val="left"/>
            </w:pPr>
          </w:p>
        </w:tc>
        <w:tc>
          <w:tcPr>
            <w:tcW w:w="3370" w:type="dxa"/>
          </w:tcPr>
          <w:p>
            <w:pPr>
              <w:pStyle w:val="Compact"/>
              <w:spacing w:before="0" w:after="0" w:line="240" w:lineRule="auto"/>
              <w:ind w:firstLine="0" w:left="0"/>
              <w:jc w:val="left"/>
            </w:pPr>
            <w:r>
              <w:rPr>
                <w:rFonts w:ascii="Times New Roman" w:hAnsi="Times New Roman"/>
                <w:sz w:val="20"/>
              </w:rPr>
              <w:t xml:space="preserve">5. Đánh giá, trả lương hoặc thăng tiến không công bằng</w:t>
            </w:r>
          </w:p>
        </w:tc>
        <w:tc>
          <w:tcPr>
            <w:tcW w:w="562" w:type="dxa"/>
          </w:tcPr>
          <w:p>
            <w:pPr>
              <w:pStyle w:val="Compact"/>
              <w:spacing w:before="0" w:after="0" w:line="240" w:lineRule="auto"/>
              <w:ind w:firstLine="0" w:left="0"/>
              <w:jc w:val="center"/>
            </w:pPr>
            <w:r>
              <w:rPr>
                <w:rFonts w:ascii="Times New Roman" w:hAnsi="Times New Roman"/>
                <w:sz w:val="20"/>
              </w:rPr>
              <w:t xml:space="preserve">204</w:t>
            </w:r>
          </w:p>
        </w:tc>
        <w:tc>
          <w:tcPr>
            <w:tcW w:w="936" w:type="dxa"/>
          </w:tcPr>
          <w:p>
            <w:pPr>
              <w:pStyle w:val="Compact"/>
              <w:spacing w:before="0" w:after="0" w:line="240" w:lineRule="auto"/>
              <w:ind w:firstLine="0" w:left="0"/>
              <w:jc w:val="center"/>
            </w:pPr>
            <w:r>
              <w:rPr>
                <w:rFonts w:ascii="Times New Roman" w:hAnsi="Times New Roman"/>
                <w:sz w:val="20"/>
              </w:rPr>
              <w:t xml:space="preserve">0,54</w:t>
            </w:r>
          </w:p>
        </w:tc>
        <w:tc>
          <w:tcPr>
            <w:tcW w:w="1310" w:type="dxa"/>
          </w:tcPr>
          <w:p>
            <w:pPr>
              <w:pStyle w:val="Compact"/>
              <w:spacing w:before="0" w:after="0" w:line="240" w:lineRule="auto"/>
              <w:ind w:firstLine="0" w:left="0"/>
              <w:jc w:val="center"/>
            </w:pPr>
            <w:r>
              <w:rPr>
                <w:rFonts w:ascii="Times New Roman" w:hAnsi="Times New Roman"/>
                <w:sz w:val="20"/>
              </w:rPr>
              <w:t xml:space="preserve">[−1,40; 2,48]</w:t>
            </w:r>
          </w:p>
        </w:tc>
        <w:tc>
          <w:tcPr>
            <w:tcW w:w="749" w:type="dxa"/>
          </w:tcPr>
          <w:p>
            <w:pPr>
              <w:pStyle w:val="Compact"/>
              <w:spacing w:before="0" w:after="0" w:line="240" w:lineRule="auto"/>
              <w:ind w:firstLine="0" w:left="0"/>
              <w:jc w:val="center"/>
            </w:pPr>
            <w:r>
              <w:rPr>
                <w:rFonts w:ascii="Times New Roman" w:hAnsi="Times New Roman"/>
                <w:sz w:val="20"/>
              </w:rPr>
              <w:t xml:space="preserve">0,585</w:t>
            </w:r>
          </w:p>
        </w:tc>
        <w:tc>
          <w:tcPr>
            <w:tcW w:w="749" w:type="dxa"/>
          </w:tcPr>
          <w:p>
            <w:pPr>
              <w:pStyle w:val="Compact"/>
              <w:spacing w:before="0" w:after="0" w:line="240" w:lineRule="auto"/>
              <w:ind w:firstLine="0" w:left="0"/>
              <w:jc w:val="center"/>
            </w:pPr>
            <w:r>
              <w:rPr>
                <w:rFonts w:ascii="Times New Roman" w:hAnsi="Times New Roman"/>
                <w:sz w:val="20"/>
              </w:rPr>
              <w:t xml:space="preserve">0,585</w:t>
            </w:r>
          </w:p>
        </w:tc>
      </w:tr>
      <w:tr>
        <w:trPr>
          <w:cantSplit/>
        </w:trPr>
        <w:tc>
          <w:tcPr>
            <w:tcW w:w="1685" w:type="dxa"/>
          </w:tcPr>
          <w:p>
            <w:pPr>
              <w:pStyle w:val="Compact"/>
              <w:spacing w:before="0" w:after="0" w:line="240" w:lineRule="auto"/>
              <w:ind w:firstLine="0" w:left="0"/>
              <w:jc w:val="left"/>
            </w:pPr>
          </w:p>
        </w:tc>
        <w:tc>
          <w:tcPr>
            <w:tcW w:w="3370" w:type="dxa"/>
          </w:tcPr>
          <w:p>
            <w:pPr>
              <w:pStyle w:val="Compact"/>
              <w:spacing w:before="0" w:after="0" w:line="240" w:lineRule="auto"/>
              <w:ind w:firstLine="0" w:left="0"/>
              <w:jc w:val="left"/>
            </w:pPr>
            <w:r>
              <w:rPr>
                <w:rFonts w:ascii="Times New Roman" w:hAnsi="Times New Roman"/>
                <w:sz w:val="20"/>
              </w:rPr>
              <w:t xml:space="preserve">6. Bị giao việc bất lợi</w:t>
            </w:r>
          </w:p>
        </w:tc>
        <w:tc>
          <w:tcPr>
            <w:tcW w:w="562" w:type="dxa"/>
          </w:tcPr>
          <w:p>
            <w:pPr>
              <w:pStyle w:val="Compact"/>
              <w:spacing w:before="0" w:after="0" w:line="240" w:lineRule="auto"/>
              <w:ind w:firstLine="0" w:left="0"/>
              <w:jc w:val="center"/>
            </w:pPr>
            <w:r>
              <w:rPr>
                <w:rFonts w:ascii="Times New Roman" w:hAnsi="Times New Roman"/>
                <w:sz w:val="20"/>
              </w:rPr>
              <w:t xml:space="preserve">223</w:t>
            </w:r>
          </w:p>
        </w:tc>
        <w:tc>
          <w:tcPr>
            <w:tcW w:w="936" w:type="dxa"/>
          </w:tcPr>
          <w:p>
            <w:pPr>
              <w:pStyle w:val="Compact"/>
              <w:spacing w:before="0" w:after="0" w:line="240" w:lineRule="auto"/>
              <w:ind w:firstLine="0" w:left="0"/>
              <w:jc w:val="center"/>
            </w:pPr>
            <w:r>
              <w:rPr>
                <w:rFonts w:ascii="Times New Roman" w:hAnsi="Times New Roman"/>
                <w:sz w:val="20"/>
              </w:rPr>
              <w:t xml:space="preserve">1,35</w:t>
            </w:r>
          </w:p>
        </w:tc>
        <w:tc>
          <w:tcPr>
            <w:tcW w:w="1310" w:type="dxa"/>
          </w:tcPr>
          <w:p>
            <w:pPr>
              <w:pStyle w:val="Compact"/>
              <w:spacing w:before="0" w:after="0" w:line="240" w:lineRule="auto"/>
              <w:ind w:firstLine="0" w:left="0"/>
              <w:jc w:val="center"/>
            </w:pPr>
            <w:r>
              <w:rPr>
                <w:rFonts w:ascii="Times New Roman" w:hAnsi="Times New Roman"/>
                <w:sz w:val="20"/>
              </w:rPr>
              <w:t xml:space="preserve">[−0,31; 3,01]</w:t>
            </w:r>
          </w:p>
        </w:tc>
        <w:tc>
          <w:tcPr>
            <w:tcW w:w="749" w:type="dxa"/>
          </w:tcPr>
          <w:p>
            <w:pPr>
              <w:pStyle w:val="Compact"/>
              <w:spacing w:before="0" w:after="0" w:line="240" w:lineRule="auto"/>
              <w:ind w:firstLine="0" w:left="0"/>
              <w:jc w:val="center"/>
            </w:pPr>
            <w:r>
              <w:rPr>
                <w:rFonts w:ascii="Times New Roman" w:hAnsi="Times New Roman"/>
                <w:sz w:val="20"/>
              </w:rPr>
              <w:t xml:space="preserve">0,111</w:t>
            </w:r>
          </w:p>
        </w:tc>
        <w:tc>
          <w:tcPr>
            <w:tcW w:w="749" w:type="dxa"/>
          </w:tcPr>
          <w:p>
            <w:pPr>
              <w:pStyle w:val="Compact"/>
              <w:spacing w:before="0" w:after="0" w:line="240" w:lineRule="auto"/>
              <w:ind w:firstLine="0" w:left="0"/>
              <w:jc w:val="center"/>
            </w:pPr>
            <w:r>
              <w:rPr>
                <w:rFonts w:ascii="Times New Roman" w:hAnsi="Times New Roman"/>
                <w:sz w:val="20"/>
              </w:rPr>
              <w:t xml:space="preserve">0,194</w:t>
            </w:r>
          </w:p>
        </w:tc>
      </w:tr>
      <w:tr>
        <w:trPr>
          <w:cantSplit/>
        </w:trPr>
        <w:tc>
          <w:tcPr>
            <w:tcW w:w="1685" w:type="dxa"/>
          </w:tcPr>
          <w:p>
            <w:pPr>
              <w:pStyle w:val="Compact"/>
              <w:spacing w:before="0" w:after="0" w:line="240" w:lineRule="auto"/>
              <w:ind w:firstLine="0" w:left="0"/>
              <w:jc w:val="left"/>
            </w:pPr>
          </w:p>
        </w:tc>
        <w:tc>
          <w:tcPr>
            <w:tcW w:w="3370" w:type="dxa"/>
          </w:tcPr>
          <w:p>
            <w:pPr>
              <w:pStyle w:val="Compact"/>
              <w:spacing w:before="0" w:after="0" w:line="240" w:lineRule="auto"/>
              <w:ind w:firstLine="0" w:left="0"/>
              <w:jc w:val="left"/>
            </w:pPr>
            <w:r>
              <w:rPr>
                <w:rFonts w:ascii="Times New Roman" w:hAnsi="Times New Roman"/>
                <w:sz w:val="20"/>
              </w:rPr>
              <w:t xml:space="preserve">7. Áp lực tuân theo khuôn mẫu giới</w:t>
            </w:r>
          </w:p>
        </w:tc>
        <w:tc>
          <w:tcPr>
            <w:tcW w:w="562" w:type="dxa"/>
          </w:tcPr>
          <w:p>
            <w:pPr>
              <w:pStyle w:val="Compact"/>
              <w:spacing w:before="0" w:after="0" w:line="240" w:lineRule="auto"/>
              <w:ind w:firstLine="0" w:left="0"/>
              <w:jc w:val="center"/>
            </w:pPr>
            <w:r>
              <w:rPr>
                <w:rFonts w:ascii="Times New Roman" w:hAnsi="Times New Roman"/>
                <w:sz w:val="20"/>
              </w:rPr>
              <w:t xml:space="preserve">222</w:t>
            </w:r>
          </w:p>
        </w:tc>
        <w:tc>
          <w:tcPr>
            <w:tcW w:w="936" w:type="dxa"/>
          </w:tcPr>
          <w:p>
            <w:pPr>
              <w:pStyle w:val="Compact"/>
              <w:spacing w:before="0" w:after="0" w:line="240" w:lineRule="auto"/>
              <w:ind w:firstLine="0" w:left="0"/>
              <w:jc w:val="center"/>
            </w:pPr>
            <w:r>
              <w:rPr>
                <w:rFonts w:ascii="Times New Roman" w:hAnsi="Times New Roman"/>
                <w:sz w:val="20"/>
              </w:rPr>
              <w:t xml:space="preserve">1,23</w:t>
            </w:r>
          </w:p>
        </w:tc>
        <w:tc>
          <w:tcPr>
            <w:tcW w:w="1310" w:type="dxa"/>
          </w:tcPr>
          <w:p>
            <w:pPr>
              <w:pStyle w:val="Compact"/>
              <w:spacing w:before="0" w:after="0" w:line="240" w:lineRule="auto"/>
              <w:ind w:firstLine="0" w:left="0"/>
              <w:jc w:val="center"/>
            </w:pPr>
            <w:r>
              <w:rPr>
                <w:rFonts w:ascii="Times New Roman" w:hAnsi="Times New Roman"/>
                <w:sz w:val="20"/>
              </w:rPr>
              <w:t xml:space="preserve">[−0,22; 2,68]</w:t>
            </w:r>
          </w:p>
        </w:tc>
        <w:tc>
          <w:tcPr>
            <w:tcW w:w="749" w:type="dxa"/>
          </w:tcPr>
          <w:p>
            <w:pPr>
              <w:pStyle w:val="Compact"/>
              <w:spacing w:before="0" w:after="0" w:line="240" w:lineRule="auto"/>
              <w:ind w:firstLine="0" w:left="0"/>
              <w:jc w:val="center"/>
            </w:pPr>
            <w:r>
              <w:rPr>
                <w:rFonts w:ascii="Times New Roman" w:hAnsi="Times New Roman"/>
                <w:sz w:val="20"/>
              </w:rPr>
              <w:t xml:space="preserve">0,095</w:t>
            </w:r>
          </w:p>
        </w:tc>
        <w:tc>
          <w:tcPr>
            <w:tcW w:w="749" w:type="dxa"/>
          </w:tcPr>
          <w:p>
            <w:pPr>
              <w:pStyle w:val="Compact"/>
              <w:spacing w:before="0" w:after="0" w:line="240" w:lineRule="auto"/>
              <w:ind w:firstLine="0" w:left="0"/>
              <w:jc w:val="center"/>
            </w:pPr>
            <w:r>
              <w:rPr>
                <w:rFonts w:ascii="Times New Roman" w:hAnsi="Times New Roman"/>
                <w:sz w:val="20"/>
              </w:rPr>
              <w:t xml:space="preserve">0,194</w:t>
            </w:r>
          </w:p>
        </w:tc>
      </w:tr>
      <w:tr>
        <w:trPr>
          <w:cantSplit/>
        </w:trPr>
        <w:tc>
          <w:tcPr>
            <w:tcW w:w="1685" w:type="dxa"/>
          </w:tcPr>
          <w:p>
            <w:pPr>
              <w:pStyle w:val="Compact"/>
              <w:spacing w:before="0" w:after="0" w:line="240" w:lineRule="auto"/>
              <w:ind w:firstLine="0" w:left="0"/>
              <w:jc w:val="left"/>
            </w:pPr>
          </w:p>
        </w:tc>
        <w:tc>
          <w:tcPr>
            <w:tcW w:w="3370" w:type="dxa"/>
          </w:tcPr>
          <w:p>
            <w:pPr>
              <w:pStyle w:val="Compact"/>
              <w:spacing w:before="0" w:after="0" w:line="240" w:lineRule="auto"/>
              <w:ind w:firstLine="0" w:left="0"/>
              <w:jc w:val="left"/>
            </w:pPr>
            <w:r>
              <w:rPr>
                <w:rFonts w:ascii="Times New Roman" w:hAnsi="Times New Roman"/>
                <w:sz w:val="20"/>
              </w:rPr>
              <w:t xml:space="preserve">8. Khó khăn về tên gọi, đại từ, trang phục hoặc nhà vệ sinh</w:t>
            </w:r>
          </w:p>
        </w:tc>
        <w:tc>
          <w:tcPr>
            <w:tcW w:w="562" w:type="dxa"/>
          </w:tcPr>
          <w:p>
            <w:pPr>
              <w:pStyle w:val="Compact"/>
              <w:spacing w:before="0" w:after="0" w:line="240" w:lineRule="auto"/>
              <w:ind w:firstLine="0" w:left="0"/>
              <w:jc w:val="center"/>
            </w:pPr>
            <w:r>
              <w:rPr>
                <w:rFonts w:ascii="Times New Roman" w:hAnsi="Times New Roman"/>
                <w:sz w:val="20"/>
              </w:rPr>
              <w:t xml:space="preserve">186</w:t>
            </w:r>
          </w:p>
        </w:tc>
        <w:tc>
          <w:tcPr>
            <w:tcW w:w="936" w:type="dxa"/>
          </w:tcPr>
          <w:p>
            <w:pPr>
              <w:pStyle w:val="Compact"/>
              <w:spacing w:before="0" w:after="0" w:line="240" w:lineRule="auto"/>
              <w:ind w:firstLine="0" w:left="0"/>
              <w:jc w:val="center"/>
            </w:pPr>
            <w:r>
              <w:rPr>
                <w:rFonts w:ascii="Times New Roman" w:hAnsi="Times New Roman"/>
                <w:sz w:val="20"/>
              </w:rPr>
              <w:t xml:space="preserve">0,69</w:t>
            </w:r>
          </w:p>
        </w:tc>
        <w:tc>
          <w:tcPr>
            <w:tcW w:w="1310" w:type="dxa"/>
          </w:tcPr>
          <w:p>
            <w:pPr>
              <w:pStyle w:val="Compact"/>
              <w:spacing w:before="0" w:after="0" w:line="240" w:lineRule="auto"/>
              <w:ind w:firstLine="0" w:left="0"/>
              <w:jc w:val="center"/>
            </w:pPr>
            <w:r>
              <w:rPr>
                <w:rFonts w:ascii="Times New Roman" w:hAnsi="Times New Roman"/>
                <w:sz w:val="20"/>
              </w:rPr>
              <w:t xml:space="preserve">[−1,78; 3,15]</w:t>
            </w:r>
          </w:p>
        </w:tc>
        <w:tc>
          <w:tcPr>
            <w:tcW w:w="749" w:type="dxa"/>
          </w:tcPr>
          <w:p>
            <w:pPr>
              <w:pStyle w:val="Compact"/>
              <w:spacing w:before="0" w:after="0" w:line="240" w:lineRule="auto"/>
              <w:ind w:firstLine="0" w:left="0"/>
              <w:jc w:val="center"/>
            </w:pPr>
            <w:r>
              <w:rPr>
                <w:rFonts w:ascii="Times New Roman" w:hAnsi="Times New Roman"/>
                <w:sz w:val="20"/>
              </w:rPr>
              <w:t xml:space="preserve">0,583</w:t>
            </w:r>
          </w:p>
        </w:tc>
        <w:tc>
          <w:tcPr>
            <w:tcW w:w="749" w:type="dxa"/>
          </w:tcPr>
          <w:p>
            <w:pPr>
              <w:pStyle w:val="Compact"/>
              <w:spacing w:before="0" w:after="0" w:line="240" w:lineRule="auto"/>
              <w:ind w:firstLine="0" w:left="0"/>
              <w:jc w:val="center"/>
            </w:pPr>
            <w:r>
              <w:rPr>
                <w:rFonts w:ascii="Times New Roman" w:hAnsi="Times New Roman"/>
                <w:sz w:val="20"/>
              </w:rPr>
              <w:t xml:space="preserve">0,585</w:t>
            </w:r>
          </w:p>
        </w:tc>
      </w:tr>
      <w:tr>
        <w:trPr>
          <w:cantSplit/>
        </w:trPr>
        <w:tc>
          <w:tcPr>
            <w:tcW w:w="1685" w:type="dxa"/>
          </w:tcPr>
          <w:p>
            <w:pPr>
              <w:pStyle w:val="Compact"/>
              <w:spacing w:before="0" w:after="0" w:line="240" w:lineRule="auto"/>
              <w:ind w:firstLine="0" w:left="0"/>
              <w:jc w:val="left"/>
            </w:pPr>
            <w:r>
              <w:rPr>
                <w:rFonts w:ascii="Times New Roman" w:hAnsi="Times New Roman"/>
                <w:b/>
                <w:bCs/>
                <w:sz w:val="20"/>
              </w:rPr>
              <w:t xml:space="preserve">Ba mức</w:t>
            </w:r>
            <w:r>
              <w:rPr>
                <w:rFonts w:ascii="Times New Roman" w:hAnsi="Times New Roman"/>
                <w:sz w:val="20"/>
              </w:rPr>
              <w:t xml:space="preserve"> </w:t>
            </w:r>
            <w:r>
              <w:rPr>
                <w:rFonts w:ascii="Times New Roman" w:hAnsi="Times New Roman"/>
                <w:sz w:val="20"/>
              </w:rPr>
              <w:t xml:space="preserve">(tham chiếu không phơi nhiễm,</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101)</w:t>
            </w:r>
          </w:p>
        </w:tc>
        <w:tc>
          <w:tcPr>
            <w:tcW w:w="3370" w:type="dxa"/>
          </w:tcPr>
          <w:p>
            <w:pPr>
              <w:pStyle w:val="Compact"/>
              <w:spacing w:before="0" w:after="0" w:line="240" w:lineRule="auto"/>
              <w:ind w:firstLine="0" w:left="0"/>
              <w:jc w:val="left"/>
            </w:pPr>
            <w:r>
              <w:rPr>
                <w:rFonts w:ascii="Times New Roman" w:hAnsi="Times New Roman"/>
                <w:sz w:val="20"/>
              </w:rPr>
              <w:t xml:space="preserve">Phơi nhiễm thấp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70)</w:t>
            </w:r>
          </w:p>
        </w:tc>
        <w:tc>
          <w:tcPr>
            <w:tcW w:w="562"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1,05</w:t>
            </w:r>
          </w:p>
        </w:tc>
        <w:tc>
          <w:tcPr>
            <w:tcW w:w="1310" w:type="dxa"/>
          </w:tcPr>
          <w:p>
            <w:pPr>
              <w:pStyle w:val="Compact"/>
              <w:spacing w:before="0" w:after="0" w:line="240" w:lineRule="auto"/>
              <w:ind w:firstLine="0" w:left="0"/>
              <w:jc w:val="center"/>
            </w:pPr>
            <w:r>
              <w:rPr>
                <w:rFonts w:ascii="Times New Roman" w:hAnsi="Times New Roman"/>
                <w:sz w:val="20"/>
              </w:rPr>
              <w:t xml:space="preserve">[−0,08; 2,19]</w:t>
            </w:r>
          </w:p>
        </w:tc>
        <w:tc>
          <w:tcPr>
            <w:tcW w:w="749" w:type="dxa"/>
          </w:tcPr>
          <w:p>
            <w:pPr>
              <w:pStyle w:val="Compact"/>
              <w:spacing w:before="0" w:after="0" w:line="240" w:lineRule="auto"/>
              <w:ind w:firstLine="0" w:left="0"/>
              <w:jc w:val="center"/>
            </w:pPr>
            <w:r>
              <w:rPr>
                <w:rFonts w:ascii="Times New Roman" w:hAnsi="Times New Roman"/>
                <w:sz w:val="20"/>
              </w:rPr>
              <w:t xml:space="preserve">0,070</w:t>
            </w:r>
          </w:p>
        </w:tc>
        <w:tc>
          <w:tcPr>
            <w:tcW w:w="749" w:type="dxa"/>
          </w:tcPr>
          <w:p>
            <w:pPr>
              <w:pStyle w:val="Compact"/>
              <w:spacing w:before="0" w:after="0" w:line="240" w:lineRule="auto"/>
              <w:ind w:firstLine="0" w:left="0"/>
              <w:jc w:val="center"/>
            </w:pPr>
          </w:p>
        </w:tc>
      </w:tr>
      <w:tr>
        <w:trPr>
          <w:cantSplit/>
        </w:trPr>
        <w:tc>
          <w:tcPr>
            <w:tcW w:w="1685" w:type="dxa"/>
          </w:tcPr>
          <w:p>
            <w:pPr>
              <w:pStyle w:val="Compact"/>
              <w:spacing w:before="0" w:after="0" w:line="240" w:lineRule="auto"/>
              <w:ind w:firstLine="0" w:left="0"/>
              <w:jc w:val="left"/>
            </w:pPr>
          </w:p>
        </w:tc>
        <w:tc>
          <w:tcPr>
            <w:tcW w:w="3370" w:type="dxa"/>
          </w:tcPr>
          <w:p>
            <w:pPr>
              <w:pStyle w:val="Compact"/>
              <w:spacing w:before="0" w:after="0" w:line="240" w:lineRule="auto"/>
              <w:ind w:firstLine="0" w:left="0"/>
              <w:jc w:val="left"/>
            </w:pPr>
            <w:r>
              <w:rPr>
                <w:rFonts w:ascii="Times New Roman" w:hAnsi="Times New Roman"/>
                <w:sz w:val="20"/>
              </w:rPr>
              <w:t xml:space="preserve">Phơi nhiễm cao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64)</w:t>
            </w:r>
          </w:p>
        </w:tc>
        <w:tc>
          <w:tcPr>
            <w:tcW w:w="562"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2,32</w:t>
            </w:r>
          </w:p>
        </w:tc>
        <w:tc>
          <w:tcPr>
            <w:tcW w:w="1310" w:type="dxa"/>
          </w:tcPr>
          <w:p>
            <w:pPr>
              <w:pStyle w:val="Compact"/>
              <w:spacing w:before="0" w:after="0" w:line="240" w:lineRule="auto"/>
              <w:ind w:firstLine="0" w:left="0"/>
              <w:jc w:val="center"/>
            </w:pPr>
            <w:r>
              <w:rPr>
                <w:rFonts w:ascii="Times New Roman" w:hAnsi="Times New Roman"/>
                <w:sz w:val="20"/>
              </w:rPr>
              <w:t xml:space="preserve">[1,08; 3,56]</w:t>
            </w:r>
          </w:p>
        </w:tc>
        <w:tc>
          <w:tcPr>
            <w:tcW w:w="749" w:type="dxa"/>
          </w:tcPr>
          <w:p>
            <w:pPr>
              <w:pStyle w:val="Compact"/>
              <w:spacing w:before="0" w:after="0" w:line="240" w:lineRule="auto"/>
              <w:ind w:firstLine="0" w:left="0"/>
              <w:jc w:val="center"/>
            </w:pPr>
            <w:r>
              <w:rPr>
                <w:rFonts w:ascii="Times New Roman" w:hAnsi="Times New Roman"/>
                <w:sz w:val="20"/>
              </w:rPr>
              <w:t xml:space="preserve">&lt; 0,001</w:t>
            </w:r>
          </w:p>
        </w:tc>
        <w:tc>
          <w:tcPr>
            <w:tcW w:w="749" w:type="dxa"/>
          </w:tcPr>
          <w:p>
            <w:pPr>
              <w:pStyle w:val="Compact"/>
              <w:spacing w:before="0" w:after="0" w:line="240" w:lineRule="auto"/>
              <w:ind w:firstLine="0" w:left="0"/>
              <w:jc w:val="center"/>
            </w:pPr>
          </w:p>
        </w:tc>
      </w:tr>
    </w:tbl>
    <w:p>
      <w:pPr>
        <w:pStyle w:val="BodyText"/>
      </w:pPr>
      <w:r>
        <w:rPr>
          <w:i/>
          <w:iCs/>
        </w:rPr>
        <w:t xml:space="preserve">Chú thích.</w:t>
      </w:r>
      <w:r>
        <w:t xml:space="preserve"> </w:t>
      </w:r>
      <w:r>
        <w:t xml:space="preserve">Mỗi tình huống được đưa vào một mô hình riêng dưới dạng biến chỉ báo đã gặp ít nhất một lần. Mọi mô hình điều chỉnh các đặc điểm có trước phơi nhiễm và dùng sai số chuẩn HC3. Giá trị</w:t>
      </w:r>
      <w:r>
        <w:t xml:space="preserve"> </w:t>
      </w:r>
      <w:r>
        <w:rPr>
          <w:i/>
          <w:iCs/>
        </w:rPr>
        <w:t xml:space="preserve">p</w:t>
      </w:r>
      <w:r>
        <w:t xml:space="preserve"> </w:t>
      </w:r>
      <w:r>
        <w:t xml:space="preserve">BH được hiệu chỉnh bằng thủ tục Benjamini-Hochberg trên bảy tình huống được ước lượng. Tình huống 4 không được ước lượng vì có dưới 10 người báo cáo. Phơi nhiễm thấp là chỉ số lớn hơn 0 và không quá 0,43, trung vị ở những người có phơi nhiễm.</w:t>
      </w:r>
    </w:p>
    <w:p>
      <w:pPr>
        <w:pStyle w:val="BodyText"/>
      </w:pPr>
      <w:r>
        <w:rPr>
          <w:b/>
          <w:bCs/>
        </w:rPr>
        <w:t xml:space="preserve">Bảng S5</w:t>
      </w:r>
      <w:r>
        <w:t xml:space="preserve"> </w:t>
      </w:r>
      <w:r>
        <w:rPr>
          <w:i/>
          <w:iCs/>
        </w:rPr>
        <w:t xml:space="preserve">Toàn bộ 32 đặc tả của đường cong đặc tả</w:t>
      </w:r>
    </w:p>
    <w:tbl>
      <w:tblPr>
        <w:tblStyle w:val="Table"/>
        <w:tblW w:w="9359"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591"/>
        <w:gridCol w:w="936"/>
        <w:gridCol w:w="1872"/>
        <w:gridCol w:w="1310"/>
        <w:gridCol w:w="468"/>
        <w:gridCol w:w="1591"/>
        <w:gridCol w:w="1591"/>
      </w:tblGrid>
      <w:tr>
        <w:trPr>
          <w:cantSplit/>
          <w:tblHeader/>
        </w:trPr>
        <w:tc>
          <w:tcPr>
            <w:tcW w:w="1591"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Chỉ số</w:t>
            </w:r>
          </w:p>
        </w:tc>
        <w:tc>
          <w:tcPr>
            <w:tcW w:w="936"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Biến kiểm soát</w:t>
            </w:r>
          </w:p>
        </w:tc>
        <w:tc>
          <w:tcPr>
            <w:tcW w:w="1872"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Định nghĩa LGBT</w:t>
            </w:r>
          </w:p>
        </w:tc>
        <w:tc>
          <w:tcPr>
            <w:tcW w:w="1310"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Người chuyển giới và phi nhị nguyên</w:t>
            </w:r>
          </w:p>
        </w:tc>
        <w:tc>
          <w:tcPr>
            <w:tcW w:w="468"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p>
        </w:tc>
        <w:tc>
          <w:tcPr>
            <w:tcW w:w="1591"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Ước lượng [KTC 95%]</w:t>
            </w:r>
          </w:p>
        </w:tc>
        <w:tc>
          <w:tcPr>
            <w:tcW w:w="1591"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Trên một</w:t>
            </w:r>
            <w:r>
              <w:rPr>
                <w:rFonts w:ascii="Times New Roman" w:hAnsi="Times New Roman"/>
                <w:sz w:val="20"/>
              </w:rPr>
              <w:t xml:space="preserve"> </w:t>
            </w:r>
            <w:r>
              <w:rPr>
                <w:rFonts w:ascii="Times New Roman" w:hAnsi="Times New Roman"/>
                <w:i/>
                <w:iCs/>
                <w:sz w:val="20"/>
              </w:rPr>
              <w:t xml:space="preserve">SD</w:t>
            </w:r>
            <w:r>
              <w:rPr>
                <w:rFonts w:ascii="Times New Roman" w:hAnsi="Times New Roman"/>
                <w:sz w:val="20"/>
              </w:rPr>
              <w:t xml:space="preserve"> </w:t>
            </w:r>
            <w:r>
              <w:rPr>
                <w:rFonts w:ascii="Times New Roman" w:hAnsi="Times New Roman"/>
                <w:sz w:val="20"/>
              </w:rPr>
              <w:t xml:space="preserve">của chỉ số [KTC 95%]</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8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235</w:t>
            </w:r>
          </w:p>
        </w:tc>
        <w:tc>
          <w:tcPr>
            <w:tcW w:w="1591" w:type="dxa"/>
          </w:tcPr>
          <w:p>
            <w:pPr>
              <w:pStyle w:val="Compact"/>
              <w:spacing w:before="0" w:after="0" w:line="240" w:lineRule="auto"/>
              <w:ind w:firstLine="0" w:left="0"/>
              <w:jc w:val="center"/>
            </w:pPr>
            <w:r>
              <w:rPr>
                <w:rFonts w:ascii="Times New Roman" w:hAnsi="Times New Roman"/>
                <w:sz w:val="20"/>
              </w:rPr>
              <w:t xml:space="preserve">1,85 [0,71; 2,99]</w:t>
            </w:r>
          </w:p>
        </w:tc>
        <w:tc>
          <w:tcPr>
            <w:tcW w:w="1591" w:type="dxa"/>
          </w:tcPr>
          <w:p>
            <w:pPr>
              <w:pStyle w:val="Compact"/>
              <w:spacing w:before="0" w:after="0" w:line="240" w:lineRule="auto"/>
              <w:ind w:firstLine="0" w:left="0"/>
              <w:jc w:val="center"/>
            </w:pPr>
            <w:r>
              <w:rPr>
                <w:rFonts w:ascii="Times New Roman" w:hAnsi="Times New Roman"/>
                <w:sz w:val="20"/>
              </w:rPr>
              <w:t xml:space="preserve">0,86 [0,33; 1,40]</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8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225</w:t>
            </w:r>
          </w:p>
        </w:tc>
        <w:tc>
          <w:tcPr>
            <w:tcW w:w="1591" w:type="dxa"/>
          </w:tcPr>
          <w:p>
            <w:pPr>
              <w:pStyle w:val="Compact"/>
              <w:spacing w:before="0" w:after="0" w:line="240" w:lineRule="auto"/>
              <w:ind w:firstLine="0" w:left="0"/>
              <w:jc w:val="center"/>
            </w:pPr>
            <w:r>
              <w:rPr>
                <w:rFonts w:ascii="Times New Roman" w:hAnsi="Times New Roman"/>
                <w:sz w:val="20"/>
              </w:rPr>
              <w:t xml:space="preserve">2,01 [0,79; 3,23]</w:t>
            </w:r>
          </w:p>
        </w:tc>
        <w:tc>
          <w:tcPr>
            <w:tcW w:w="1591" w:type="dxa"/>
          </w:tcPr>
          <w:p>
            <w:pPr>
              <w:pStyle w:val="Compact"/>
              <w:spacing w:before="0" w:after="0" w:line="240" w:lineRule="auto"/>
              <w:ind w:firstLine="0" w:left="0"/>
              <w:jc w:val="center"/>
            </w:pPr>
            <w:r>
              <w:rPr>
                <w:rFonts w:ascii="Times New Roman" w:hAnsi="Times New Roman"/>
                <w:sz w:val="20"/>
              </w:rPr>
              <w:t xml:space="preserve">0,89 [0,35; 1,44]</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8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226</w:t>
            </w:r>
          </w:p>
        </w:tc>
        <w:tc>
          <w:tcPr>
            <w:tcW w:w="1591" w:type="dxa"/>
          </w:tcPr>
          <w:p>
            <w:pPr>
              <w:pStyle w:val="Compact"/>
              <w:spacing w:before="0" w:after="0" w:line="240" w:lineRule="auto"/>
              <w:ind w:firstLine="0" w:left="0"/>
              <w:jc w:val="center"/>
            </w:pPr>
            <w:r>
              <w:rPr>
                <w:rFonts w:ascii="Times New Roman" w:hAnsi="Times New Roman"/>
                <w:sz w:val="20"/>
              </w:rPr>
              <w:t xml:space="preserve">1,96 [0,84; 3,08]</w:t>
            </w:r>
          </w:p>
        </w:tc>
        <w:tc>
          <w:tcPr>
            <w:tcW w:w="1591" w:type="dxa"/>
          </w:tcPr>
          <w:p>
            <w:pPr>
              <w:pStyle w:val="Compact"/>
              <w:spacing w:before="0" w:after="0" w:line="240" w:lineRule="auto"/>
              <w:ind w:firstLine="0" w:left="0"/>
              <w:jc w:val="center"/>
            </w:pPr>
            <w:r>
              <w:rPr>
                <w:rFonts w:ascii="Times New Roman" w:hAnsi="Times New Roman"/>
                <w:sz w:val="20"/>
              </w:rPr>
              <w:t xml:space="preserve">0,92 [0,39; 1,45]</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8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216</w:t>
            </w:r>
          </w:p>
        </w:tc>
        <w:tc>
          <w:tcPr>
            <w:tcW w:w="1591" w:type="dxa"/>
          </w:tcPr>
          <w:p>
            <w:pPr>
              <w:pStyle w:val="Compact"/>
              <w:spacing w:before="0" w:after="0" w:line="240" w:lineRule="auto"/>
              <w:ind w:firstLine="0" w:left="0"/>
              <w:jc w:val="center"/>
            </w:pPr>
            <w:r>
              <w:rPr>
                <w:rFonts w:ascii="Times New Roman" w:hAnsi="Times New Roman"/>
                <w:sz w:val="20"/>
              </w:rPr>
              <w:t xml:space="preserve">2,07 [0,88; 3,27]</w:t>
            </w:r>
          </w:p>
        </w:tc>
        <w:tc>
          <w:tcPr>
            <w:tcW w:w="1591" w:type="dxa"/>
          </w:tcPr>
          <w:p>
            <w:pPr>
              <w:pStyle w:val="Compact"/>
              <w:spacing w:before="0" w:after="0" w:line="240" w:lineRule="auto"/>
              <w:ind w:firstLine="0" w:left="0"/>
              <w:jc w:val="center"/>
            </w:pPr>
            <w:r>
              <w:rPr>
                <w:rFonts w:ascii="Times New Roman" w:hAnsi="Times New Roman"/>
                <w:sz w:val="20"/>
              </w:rPr>
              <w:t xml:space="preserve">0,94 [0,40; 1,47]</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8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206</w:t>
            </w:r>
          </w:p>
        </w:tc>
        <w:tc>
          <w:tcPr>
            <w:tcW w:w="1591" w:type="dxa"/>
          </w:tcPr>
          <w:p>
            <w:pPr>
              <w:pStyle w:val="Compact"/>
              <w:spacing w:before="0" w:after="0" w:line="240" w:lineRule="auto"/>
              <w:ind w:firstLine="0" w:left="0"/>
              <w:jc w:val="center"/>
            </w:pPr>
            <w:r>
              <w:rPr>
                <w:rFonts w:ascii="Times New Roman" w:hAnsi="Times New Roman"/>
                <w:sz w:val="20"/>
              </w:rPr>
              <w:t xml:space="preserve">1,95 [0,52; 3,37]</w:t>
            </w:r>
          </w:p>
        </w:tc>
        <w:tc>
          <w:tcPr>
            <w:tcW w:w="1591" w:type="dxa"/>
          </w:tcPr>
          <w:p>
            <w:pPr>
              <w:pStyle w:val="Compact"/>
              <w:spacing w:before="0" w:after="0" w:line="240" w:lineRule="auto"/>
              <w:ind w:firstLine="0" w:left="0"/>
              <w:jc w:val="center"/>
            </w:pPr>
            <w:r>
              <w:rPr>
                <w:rFonts w:ascii="Times New Roman" w:hAnsi="Times New Roman"/>
                <w:sz w:val="20"/>
              </w:rPr>
              <w:t xml:space="preserve">0,92 [0,25; 1,60]</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8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196</w:t>
            </w:r>
          </w:p>
        </w:tc>
        <w:tc>
          <w:tcPr>
            <w:tcW w:w="1591" w:type="dxa"/>
          </w:tcPr>
          <w:p>
            <w:pPr>
              <w:pStyle w:val="Compact"/>
              <w:spacing w:before="0" w:after="0" w:line="240" w:lineRule="auto"/>
              <w:ind w:firstLine="0" w:left="0"/>
              <w:jc w:val="center"/>
            </w:pPr>
            <w:r>
              <w:rPr>
                <w:rFonts w:ascii="Times New Roman" w:hAnsi="Times New Roman"/>
                <w:sz w:val="20"/>
              </w:rPr>
              <w:t xml:space="preserve">2,22 [0,74; 3,70]</w:t>
            </w:r>
          </w:p>
        </w:tc>
        <w:tc>
          <w:tcPr>
            <w:tcW w:w="1591" w:type="dxa"/>
          </w:tcPr>
          <w:p>
            <w:pPr>
              <w:pStyle w:val="Compact"/>
              <w:spacing w:before="0" w:after="0" w:line="240" w:lineRule="auto"/>
              <w:ind w:firstLine="0" w:left="0"/>
              <w:jc w:val="center"/>
            </w:pPr>
            <w:r>
              <w:rPr>
                <w:rFonts w:ascii="Times New Roman" w:hAnsi="Times New Roman"/>
                <w:sz w:val="20"/>
              </w:rPr>
              <w:t xml:space="preserve">1,00 [0,33; 1,66]</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8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198</w:t>
            </w:r>
          </w:p>
        </w:tc>
        <w:tc>
          <w:tcPr>
            <w:tcW w:w="1591" w:type="dxa"/>
          </w:tcPr>
          <w:p>
            <w:pPr>
              <w:pStyle w:val="Compact"/>
              <w:spacing w:before="0" w:after="0" w:line="240" w:lineRule="auto"/>
              <w:ind w:firstLine="0" w:left="0"/>
              <w:jc w:val="center"/>
            </w:pPr>
            <w:r>
              <w:rPr>
                <w:rFonts w:ascii="Times New Roman" w:hAnsi="Times New Roman"/>
                <w:sz w:val="20"/>
              </w:rPr>
              <w:t xml:space="preserve">1,95 [0,53; 3,38]</w:t>
            </w:r>
          </w:p>
        </w:tc>
        <w:tc>
          <w:tcPr>
            <w:tcW w:w="1591" w:type="dxa"/>
          </w:tcPr>
          <w:p>
            <w:pPr>
              <w:pStyle w:val="Compact"/>
              <w:spacing w:before="0" w:after="0" w:line="240" w:lineRule="auto"/>
              <w:ind w:firstLine="0" w:left="0"/>
              <w:jc w:val="center"/>
            </w:pPr>
            <w:r>
              <w:rPr>
                <w:rFonts w:ascii="Times New Roman" w:hAnsi="Times New Roman"/>
                <w:sz w:val="20"/>
              </w:rPr>
              <w:t xml:space="preserve">0,94 [0,25; 1,62]</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8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188</w:t>
            </w:r>
          </w:p>
        </w:tc>
        <w:tc>
          <w:tcPr>
            <w:tcW w:w="1591" w:type="dxa"/>
          </w:tcPr>
          <w:p>
            <w:pPr>
              <w:pStyle w:val="Compact"/>
              <w:spacing w:before="0" w:after="0" w:line="240" w:lineRule="auto"/>
              <w:ind w:firstLine="0" w:left="0"/>
              <w:jc w:val="center"/>
            </w:pPr>
            <w:r>
              <w:rPr>
                <w:rFonts w:ascii="Times New Roman" w:hAnsi="Times New Roman"/>
                <w:sz w:val="20"/>
              </w:rPr>
              <w:t xml:space="preserve">2,18 [0,72; 3,63]</w:t>
            </w:r>
          </w:p>
        </w:tc>
        <w:tc>
          <w:tcPr>
            <w:tcW w:w="1591" w:type="dxa"/>
          </w:tcPr>
          <w:p>
            <w:pPr>
              <w:pStyle w:val="Compact"/>
              <w:spacing w:before="0" w:after="0" w:line="240" w:lineRule="auto"/>
              <w:ind w:firstLine="0" w:left="0"/>
              <w:jc w:val="center"/>
            </w:pPr>
            <w:r>
              <w:rPr>
                <w:rFonts w:ascii="Times New Roman" w:hAnsi="Times New Roman"/>
                <w:sz w:val="20"/>
              </w:rPr>
              <w:t xml:space="preserve">0,99 [0,33; 1,65]</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7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241</w:t>
            </w:r>
          </w:p>
        </w:tc>
        <w:tc>
          <w:tcPr>
            <w:tcW w:w="1591" w:type="dxa"/>
          </w:tcPr>
          <w:p>
            <w:pPr>
              <w:pStyle w:val="Compact"/>
              <w:spacing w:before="0" w:after="0" w:line="240" w:lineRule="auto"/>
              <w:ind w:firstLine="0" w:left="0"/>
              <w:jc w:val="center"/>
            </w:pPr>
            <w:r>
              <w:rPr>
                <w:rFonts w:ascii="Times New Roman" w:hAnsi="Times New Roman"/>
                <w:sz w:val="20"/>
              </w:rPr>
              <w:t xml:space="preserve">1,84 [0,80; 2,88]</w:t>
            </w:r>
          </w:p>
        </w:tc>
        <w:tc>
          <w:tcPr>
            <w:tcW w:w="1591" w:type="dxa"/>
          </w:tcPr>
          <w:p>
            <w:pPr>
              <w:pStyle w:val="Compact"/>
              <w:spacing w:before="0" w:after="0" w:line="240" w:lineRule="auto"/>
              <w:ind w:firstLine="0" w:left="0"/>
              <w:jc w:val="center"/>
            </w:pPr>
            <w:r>
              <w:rPr>
                <w:rFonts w:ascii="Times New Roman" w:hAnsi="Times New Roman"/>
                <w:sz w:val="20"/>
              </w:rPr>
              <w:t xml:space="preserve">0,89 [0,39; 1,40]</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7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230</w:t>
            </w:r>
          </w:p>
        </w:tc>
        <w:tc>
          <w:tcPr>
            <w:tcW w:w="1591" w:type="dxa"/>
          </w:tcPr>
          <w:p>
            <w:pPr>
              <w:pStyle w:val="Compact"/>
              <w:spacing w:before="0" w:after="0" w:line="240" w:lineRule="auto"/>
              <w:ind w:firstLine="0" w:left="0"/>
              <w:jc w:val="center"/>
            </w:pPr>
            <w:r>
              <w:rPr>
                <w:rFonts w:ascii="Times New Roman" w:hAnsi="Times New Roman"/>
                <w:sz w:val="20"/>
              </w:rPr>
              <w:t xml:space="preserve">1,93 [0,83; 3,04]</w:t>
            </w:r>
          </w:p>
        </w:tc>
        <w:tc>
          <w:tcPr>
            <w:tcW w:w="1591" w:type="dxa"/>
          </w:tcPr>
          <w:p>
            <w:pPr>
              <w:pStyle w:val="Compact"/>
              <w:spacing w:before="0" w:after="0" w:line="240" w:lineRule="auto"/>
              <w:ind w:firstLine="0" w:left="0"/>
              <w:jc w:val="center"/>
            </w:pPr>
            <w:r>
              <w:rPr>
                <w:rFonts w:ascii="Times New Roman" w:hAnsi="Times New Roman"/>
                <w:sz w:val="20"/>
              </w:rPr>
              <w:t xml:space="preserve">0,91 [0,39; 1,43]</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7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232</w:t>
            </w:r>
          </w:p>
        </w:tc>
        <w:tc>
          <w:tcPr>
            <w:tcW w:w="1591" w:type="dxa"/>
          </w:tcPr>
          <w:p>
            <w:pPr>
              <w:pStyle w:val="Compact"/>
              <w:spacing w:before="0" w:after="0" w:line="240" w:lineRule="auto"/>
              <w:ind w:firstLine="0" w:left="0"/>
              <w:jc w:val="center"/>
            </w:pPr>
            <w:r>
              <w:rPr>
                <w:rFonts w:ascii="Times New Roman" w:hAnsi="Times New Roman"/>
                <w:sz w:val="20"/>
              </w:rPr>
              <w:t xml:space="preserve">1,92 [0,90; 2,95]</w:t>
            </w:r>
          </w:p>
        </w:tc>
        <w:tc>
          <w:tcPr>
            <w:tcW w:w="1591" w:type="dxa"/>
          </w:tcPr>
          <w:p>
            <w:pPr>
              <w:pStyle w:val="Compact"/>
              <w:spacing w:before="0" w:after="0" w:line="240" w:lineRule="auto"/>
              <w:ind w:firstLine="0" w:left="0"/>
              <w:jc w:val="center"/>
            </w:pPr>
            <w:r>
              <w:rPr>
                <w:rFonts w:ascii="Times New Roman" w:hAnsi="Times New Roman"/>
                <w:sz w:val="20"/>
              </w:rPr>
              <w:t xml:space="preserve">0,94 [0,44; 1,45]</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7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221</w:t>
            </w:r>
          </w:p>
        </w:tc>
        <w:tc>
          <w:tcPr>
            <w:tcW w:w="1591" w:type="dxa"/>
          </w:tcPr>
          <w:p>
            <w:pPr>
              <w:pStyle w:val="Compact"/>
              <w:spacing w:before="0" w:after="0" w:line="240" w:lineRule="auto"/>
              <w:ind w:firstLine="0" w:left="0"/>
              <w:jc w:val="center"/>
            </w:pPr>
            <w:r>
              <w:rPr>
                <w:rFonts w:ascii="Times New Roman" w:hAnsi="Times New Roman"/>
                <w:sz w:val="20"/>
              </w:rPr>
              <w:t xml:space="preserve">1,99 [0,90; 3,08]</w:t>
            </w:r>
          </w:p>
        </w:tc>
        <w:tc>
          <w:tcPr>
            <w:tcW w:w="1591" w:type="dxa"/>
          </w:tcPr>
          <w:p>
            <w:pPr>
              <w:pStyle w:val="Compact"/>
              <w:spacing w:before="0" w:after="0" w:line="240" w:lineRule="auto"/>
              <w:ind w:firstLine="0" w:left="0"/>
              <w:jc w:val="center"/>
            </w:pPr>
            <w:r>
              <w:rPr>
                <w:rFonts w:ascii="Times New Roman" w:hAnsi="Times New Roman"/>
                <w:sz w:val="20"/>
              </w:rPr>
              <w:t xml:space="preserve">0,95 [0,43; 1,47]</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7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212</w:t>
            </w:r>
          </w:p>
        </w:tc>
        <w:tc>
          <w:tcPr>
            <w:tcW w:w="1591" w:type="dxa"/>
          </w:tcPr>
          <w:p>
            <w:pPr>
              <w:pStyle w:val="Compact"/>
              <w:spacing w:before="0" w:after="0" w:line="240" w:lineRule="auto"/>
              <w:ind w:firstLine="0" w:left="0"/>
              <w:jc w:val="center"/>
            </w:pPr>
            <w:r>
              <w:rPr>
                <w:rFonts w:ascii="Times New Roman" w:hAnsi="Times New Roman"/>
                <w:sz w:val="20"/>
              </w:rPr>
              <w:t xml:space="preserve">2,07 [0,76; 3,39]</w:t>
            </w:r>
          </w:p>
        </w:tc>
        <w:tc>
          <w:tcPr>
            <w:tcW w:w="1591" w:type="dxa"/>
          </w:tcPr>
          <w:p>
            <w:pPr>
              <w:pStyle w:val="Compact"/>
              <w:spacing w:before="0" w:after="0" w:line="240" w:lineRule="auto"/>
              <w:ind w:firstLine="0" w:left="0"/>
              <w:jc w:val="center"/>
            </w:pPr>
            <w:r>
              <w:rPr>
                <w:rFonts w:ascii="Times New Roman" w:hAnsi="Times New Roman"/>
                <w:sz w:val="20"/>
              </w:rPr>
              <w:t xml:space="preserve">1,01 [0,37; 1,65]</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7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201</w:t>
            </w:r>
          </w:p>
        </w:tc>
        <w:tc>
          <w:tcPr>
            <w:tcW w:w="1591" w:type="dxa"/>
          </w:tcPr>
          <w:p>
            <w:pPr>
              <w:pStyle w:val="Compact"/>
              <w:spacing w:before="0" w:after="0" w:line="240" w:lineRule="auto"/>
              <w:ind w:firstLine="0" w:left="0"/>
              <w:jc w:val="center"/>
            </w:pPr>
            <w:r>
              <w:rPr>
                <w:rFonts w:ascii="Times New Roman" w:hAnsi="Times New Roman"/>
                <w:sz w:val="20"/>
              </w:rPr>
              <w:t xml:space="preserve">2,27 [0,89; 3,64]</w:t>
            </w:r>
          </w:p>
        </w:tc>
        <w:tc>
          <w:tcPr>
            <w:tcW w:w="1591" w:type="dxa"/>
          </w:tcPr>
          <w:p>
            <w:pPr>
              <w:pStyle w:val="Compact"/>
              <w:spacing w:before="0" w:after="0" w:line="240" w:lineRule="auto"/>
              <w:ind w:firstLine="0" w:left="0"/>
              <w:jc w:val="center"/>
            </w:pPr>
            <w:r>
              <w:rPr>
                <w:rFonts w:ascii="Times New Roman" w:hAnsi="Times New Roman"/>
                <w:sz w:val="20"/>
              </w:rPr>
              <w:t xml:space="preserve">1,07 [0,42; 1,71]</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7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204</w:t>
            </w:r>
          </w:p>
        </w:tc>
        <w:tc>
          <w:tcPr>
            <w:tcW w:w="1591" w:type="dxa"/>
          </w:tcPr>
          <w:p>
            <w:pPr>
              <w:pStyle w:val="Compact"/>
              <w:spacing w:before="0" w:after="0" w:line="240" w:lineRule="auto"/>
              <w:ind w:firstLine="0" w:left="0"/>
              <w:jc w:val="center"/>
            </w:pPr>
            <w:r>
              <w:rPr>
                <w:rFonts w:ascii="Times New Roman" w:hAnsi="Times New Roman"/>
                <w:sz w:val="20"/>
              </w:rPr>
              <w:t xml:space="preserve">2,07 [0,74; 3,41]</w:t>
            </w:r>
          </w:p>
        </w:tc>
        <w:tc>
          <w:tcPr>
            <w:tcW w:w="1591" w:type="dxa"/>
          </w:tcPr>
          <w:p>
            <w:pPr>
              <w:pStyle w:val="Compact"/>
              <w:spacing w:before="0" w:after="0" w:line="240" w:lineRule="auto"/>
              <w:ind w:firstLine="0" w:left="0"/>
              <w:jc w:val="center"/>
            </w:pPr>
            <w:r>
              <w:rPr>
                <w:rFonts w:ascii="Times New Roman" w:hAnsi="Times New Roman"/>
                <w:sz w:val="20"/>
              </w:rPr>
              <w:t xml:space="preserve">1,02 [0,36; 1,68]</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Trung bình 7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193</w:t>
            </w:r>
          </w:p>
        </w:tc>
        <w:tc>
          <w:tcPr>
            <w:tcW w:w="1591" w:type="dxa"/>
          </w:tcPr>
          <w:p>
            <w:pPr>
              <w:pStyle w:val="Compact"/>
              <w:spacing w:before="0" w:after="0" w:line="240" w:lineRule="auto"/>
              <w:ind w:firstLine="0" w:left="0"/>
              <w:jc w:val="center"/>
            </w:pPr>
            <w:r>
              <w:rPr>
                <w:rFonts w:ascii="Times New Roman" w:hAnsi="Times New Roman"/>
                <w:sz w:val="20"/>
              </w:rPr>
              <w:t xml:space="preserve">2,23 [0,86; 3,60]</w:t>
            </w:r>
          </w:p>
        </w:tc>
        <w:tc>
          <w:tcPr>
            <w:tcW w:w="1591" w:type="dxa"/>
          </w:tcPr>
          <w:p>
            <w:pPr>
              <w:pStyle w:val="Compact"/>
              <w:spacing w:before="0" w:after="0" w:line="240" w:lineRule="auto"/>
              <w:ind w:firstLine="0" w:left="0"/>
              <w:jc w:val="center"/>
            </w:pPr>
            <w:r>
              <w:rPr>
                <w:rFonts w:ascii="Times New Roman" w:hAnsi="Times New Roman"/>
                <w:sz w:val="20"/>
              </w:rPr>
              <w:t xml:space="preserve">1,06 [0,41; 1,71]</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Số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235</w:t>
            </w:r>
          </w:p>
        </w:tc>
        <w:tc>
          <w:tcPr>
            <w:tcW w:w="1591" w:type="dxa"/>
          </w:tcPr>
          <w:p>
            <w:pPr>
              <w:pStyle w:val="Compact"/>
              <w:spacing w:before="0" w:after="0" w:line="240" w:lineRule="auto"/>
              <w:ind w:firstLine="0" w:left="0"/>
              <w:jc w:val="center"/>
            </w:pPr>
            <w:r>
              <w:rPr>
                <w:rFonts w:ascii="Times New Roman" w:hAnsi="Times New Roman"/>
                <w:sz w:val="20"/>
              </w:rPr>
              <w:t xml:space="preserve">0,65 [0,29; 1,01]</w:t>
            </w:r>
          </w:p>
        </w:tc>
        <w:tc>
          <w:tcPr>
            <w:tcW w:w="1591" w:type="dxa"/>
          </w:tcPr>
          <w:p>
            <w:pPr>
              <w:pStyle w:val="Compact"/>
              <w:spacing w:before="0" w:after="0" w:line="240" w:lineRule="auto"/>
              <w:ind w:firstLine="0" w:left="0"/>
              <w:jc w:val="center"/>
            </w:pPr>
            <w:r>
              <w:rPr>
                <w:rFonts w:ascii="Times New Roman" w:hAnsi="Times New Roman"/>
                <w:sz w:val="20"/>
              </w:rPr>
              <w:t xml:space="preserve">0,91 [0,41; 1,42]</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Số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225</w:t>
            </w:r>
          </w:p>
        </w:tc>
        <w:tc>
          <w:tcPr>
            <w:tcW w:w="1591" w:type="dxa"/>
          </w:tcPr>
          <w:p>
            <w:pPr>
              <w:pStyle w:val="Compact"/>
              <w:spacing w:before="0" w:after="0" w:line="240" w:lineRule="auto"/>
              <w:ind w:firstLine="0" w:left="0"/>
              <w:jc w:val="center"/>
            </w:pPr>
            <w:r>
              <w:rPr>
                <w:rFonts w:ascii="Times New Roman" w:hAnsi="Times New Roman"/>
                <w:sz w:val="20"/>
              </w:rPr>
              <w:t xml:space="preserve">0,71 [0,34; 1,08]</w:t>
            </w:r>
          </w:p>
        </w:tc>
        <w:tc>
          <w:tcPr>
            <w:tcW w:w="1591" w:type="dxa"/>
          </w:tcPr>
          <w:p>
            <w:pPr>
              <w:pStyle w:val="Compact"/>
              <w:spacing w:before="0" w:after="0" w:line="240" w:lineRule="auto"/>
              <w:ind w:firstLine="0" w:left="0"/>
              <w:jc w:val="center"/>
            </w:pPr>
            <w:r>
              <w:rPr>
                <w:rFonts w:ascii="Times New Roman" w:hAnsi="Times New Roman"/>
                <w:sz w:val="20"/>
              </w:rPr>
              <w:t xml:space="preserve">0,96 [0,45; 1,46]</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Số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226</w:t>
            </w:r>
          </w:p>
        </w:tc>
        <w:tc>
          <w:tcPr>
            <w:tcW w:w="1591" w:type="dxa"/>
          </w:tcPr>
          <w:p>
            <w:pPr>
              <w:pStyle w:val="Compact"/>
              <w:spacing w:before="0" w:after="0" w:line="240" w:lineRule="auto"/>
              <w:ind w:firstLine="0" w:left="0"/>
              <w:jc w:val="center"/>
            </w:pPr>
            <w:r>
              <w:rPr>
                <w:rFonts w:ascii="Times New Roman" w:hAnsi="Times New Roman"/>
                <w:sz w:val="20"/>
              </w:rPr>
              <w:t xml:space="preserve">0,69 [0,34; 1,03]</w:t>
            </w:r>
          </w:p>
        </w:tc>
        <w:tc>
          <w:tcPr>
            <w:tcW w:w="1591" w:type="dxa"/>
          </w:tcPr>
          <w:p>
            <w:pPr>
              <w:pStyle w:val="Compact"/>
              <w:spacing w:before="0" w:after="0" w:line="240" w:lineRule="auto"/>
              <w:ind w:firstLine="0" w:left="0"/>
              <w:jc w:val="center"/>
            </w:pPr>
            <w:r>
              <w:rPr>
                <w:rFonts w:ascii="Times New Roman" w:hAnsi="Times New Roman"/>
                <w:sz w:val="20"/>
              </w:rPr>
              <w:t xml:space="preserve">0,98 [0,48; 1,48]</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Số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216</w:t>
            </w:r>
          </w:p>
        </w:tc>
        <w:tc>
          <w:tcPr>
            <w:tcW w:w="1591" w:type="dxa"/>
          </w:tcPr>
          <w:p>
            <w:pPr>
              <w:pStyle w:val="Compact"/>
              <w:spacing w:before="0" w:after="0" w:line="240" w:lineRule="auto"/>
              <w:ind w:firstLine="0" w:left="0"/>
              <w:jc w:val="center"/>
            </w:pPr>
            <w:r>
              <w:rPr>
                <w:rFonts w:ascii="Times New Roman" w:hAnsi="Times New Roman"/>
                <w:sz w:val="20"/>
              </w:rPr>
              <w:t xml:space="preserve">0,74 [0,37; 1,10]</w:t>
            </w:r>
          </w:p>
        </w:tc>
        <w:tc>
          <w:tcPr>
            <w:tcW w:w="1591" w:type="dxa"/>
          </w:tcPr>
          <w:p>
            <w:pPr>
              <w:pStyle w:val="Compact"/>
              <w:spacing w:before="0" w:after="0" w:line="240" w:lineRule="auto"/>
              <w:ind w:firstLine="0" w:left="0"/>
              <w:jc w:val="center"/>
            </w:pPr>
            <w:r>
              <w:rPr>
                <w:rFonts w:ascii="Times New Roman" w:hAnsi="Times New Roman"/>
                <w:sz w:val="20"/>
              </w:rPr>
              <w:t xml:space="preserve">1,00 [0,50; 1,50]</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Số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206</w:t>
            </w:r>
          </w:p>
        </w:tc>
        <w:tc>
          <w:tcPr>
            <w:tcW w:w="1591" w:type="dxa"/>
          </w:tcPr>
          <w:p>
            <w:pPr>
              <w:pStyle w:val="Compact"/>
              <w:spacing w:before="0" w:after="0" w:line="240" w:lineRule="auto"/>
              <w:ind w:firstLine="0" w:left="0"/>
              <w:jc w:val="center"/>
            </w:pPr>
            <w:r>
              <w:rPr>
                <w:rFonts w:ascii="Times New Roman" w:hAnsi="Times New Roman"/>
                <w:sz w:val="20"/>
              </w:rPr>
              <w:t xml:space="preserve">0,64 [0,18; 1,10]</w:t>
            </w:r>
          </w:p>
        </w:tc>
        <w:tc>
          <w:tcPr>
            <w:tcW w:w="1591" w:type="dxa"/>
          </w:tcPr>
          <w:p>
            <w:pPr>
              <w:pStyle w:val="Compact"/>
              <w:spacing w:before="0" w:after="0" w:line="240" w:lineRule="auto"/>
              <w:ind w:firstLine="0" w:left="0"/>
              <w:jc w:val="center"/>
            </w:pPr>
            <w:r>
              <w:rPr>
                <w:rFonts w:ascii="Times New Roman" w:hAnsi="Times New Roman"/>
                <w:sz w:val="20"/>
              </w:rPr>
              <w:t xml:space="preserve">0,91 [0,25; 1,56]</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Số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196</w:t>
            </w:r>
          </w:p>
        </w:tc>
        <w:tc>
          <w:tcPr>
            <w:tcW w:w="1591" w:type="dxa"/>
          </w:tcPr>
          <w:p>
            <w:pPr>
              <w:pStyle w:val="Compact"/>
              <w:spacing w:before="0" w:after="0" w:line="240" w:lineRule="auto"/>
              <w:ind w:firstLine="0" w:left="0"/>
              <w:jc w:val="center"/>
            </w:pPr>
            <w:r>
              <w:rPr>
                <w:rFonts w:ascii="Times New Roman" w:hAnsi="Times New Roman"/>
                <w:sz w:val="20"/>
              </w:rPr>
              <w:t xml:space="preserve">0,74 [0,27; 1,22]</w:t>
            </w:r>
          </w:p>
        </w:tc>
        <w:tc>
          <w:tcPr>
            <w:tcW w:w="1591" w:type="dxa"/>
          </w:tcPr>
          <w:p>
            <w:pPr>
              <w:pStyle w:val="Compact"/>
              <w:spacing w:before="0" w:after="0" w:line="240" w:lineRule="auto"/>
              <w:ind w:firstLine="0" w:left="0"/>
              <w:jc w:val="center"/>
            </w:pPr>
            <w:r>
              <w:rPr>
                <w:rFonts w:ascii="Times New Roman" w:hAnsi="Times New Roman"/>
                <w:sz w:val="20"/>
              </w:rPr>
              <w:t xml:space="preserve">1,01 [0,37; 1,65]</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Số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198</w:t>
            </w:r>
          </w:p>
        </w:tc>
        <w:tc>
          <w:tcPr>
            <w:tcW w:w="1591" w:type="dxa"/>
          </w:tcPr>
          <w:p>
            <w:pPr>
              <w:pStyle w:val="Compact"/>
              <w:spacing w:before="0" w:after="0" w:line="240" w:lineRule="auto"/>
              <w:ind w:firstLine="0" w:left="0"/>
              <w:jc w:val="center"/>
            </w:pPr>
            <w:r>
              <w:rPr>
                <w:rFonts w:ascii="Times New Roman" w:hAnsi="Times New Roman"/>
                <w:sz w:val="20"/>
              </w:rPr>
              <w:t xml:space="preserve">0,66 [0,21; 1,11]</w:t>
            </w:r>
          </w:p>
        </w:tc>
        <w:tc>
          <w:tcPr>
            <w:tcW w:w="1591" w:type="dxa"/>
          </w:tcPr>
          <w:p>
            <w:pPr>
              <w:pStyle w:val="Compact"/>
              <w:spacing w:before="0" w:after="0" w:line="240" w:lineRule="auto"/>
              <w:ind w:firstLine="0" w:left="0"/>
              <w:jc w:val="center"/>
            </w:pPr>
            <w:r>
              <w:rPr>
                <w:rFonts w:ascii="Times New Roman" w:hAnsi="Times New Roman"/>
                <w:sz w:val="20"/>
              </w:rPr>
              <w:t xml:space="preserve">0,95 [0,30; 1,60]</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Số tình huống</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188</w:t>
            </w:r>
          </w:p>
        </w:tc>
        <w:tc>
          <w:tcPr>
            <w:tcW w:w="1591" w:type="dxa"/>
          </w:tcPr>
          <w:p>
            <w:pPr>
              <w:pStyle w:val="Compact"/>
              <w:spacing w:before="0" w:after="0" w:line="240" w:lineRule="auto"/>
              <w:ind w:firstLine="0" w:left="0"/>
              <w:jc w:val="center"/>
            </w:pPr>
            <w:r>
              <w:rPr>
                <w:rFonts w:ascii="Times New Roman" w:hAnsi="Times New Roman"/>
                <w:sz w:val="20"/>
              </w:rPr>
              <w:t xml:space="preserve">0,75 [0,29; 1,21]</w:t>
            </w:r>
          </w:p>
        </w:tc>
        <w:tc>
          <w:tcPr>
            <w:tcW w:w="1591" w:type="dxa"/>
          </w:tcPr>
          <w:p>
            <w:pPr>
              <w:pStyle w:val="Compact"/>
              <w:spacing w:before="0" w:after="0" w:line="240" w:lineRule="auto"/>
              <w:ind w:firstLine="0" w:left="0"/>
              <w:jc w:val="center"/>
            </w:pPr>
            <w:r>
              <w:rPr>
                <w:rFonts w:ascii="Times New Roman" w:hAnsi="Times New Roman"/>
                <w:sz w:val="20"/>
              </w:rPr>
              <w:t xml:space="preserve">1,02 [0,39; 1,65]</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Chỉ người trả lời đủ 8</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112</w:t>
            </w:r>
          </w:p>
        </w:tc>
        <w:tc>
          <w:tcPr>
            <w:tcW w:w="1591" w:type="dxa"/>
          </w:tcPr>
          <w:p>
            <w:pPr>
              <w:pStyle w:val="Compact"/>
              <w:spacing w:before="0" w:after="0" w:line="240" w:lineRule="auto"/>
              <w:ind w:firstLine="0" w:left="0"/>
              <w:jc w:val="center"/>
            </w:pPr>
            <w:r>
              <w:rPr>
                <w:rFonts w:ascii="Times New Roman" w:hAnsi="Times New Roman"/>
                <w:sz w:val="20"/>
              </w:rPr>
              <w:t xml:space="preserve">1,63 [0,29; 2,97]</w:t>
            </w:r>
          </w:p>
        </w:tc>
        <w:tc>
          <w:tcPr>
            <w:tcW w:w="1591" w:type="dxa"/>
          </w:tcPr>
          <w:p>
            <w:pPr>
              <w:pStyle w:val="Compact"/>
              <w:spacing w:before="0" w:after="0" w:line="240" w:lineRule="auto"/>
              <w:ind w:firstLine="0" w:left="0"/>
              <w:jc w:val="center"/>
            </w:pPr>
            <w:r>
              <w:rPr>
                <w:rFonts w:ascii="Times New Roman" w:hAnsi="Times New Roman"/>
                <w:sz w:val="20"/>
              </w:rPr>
              <w:t xml:space="preserve">0,81 [0,14; 1,47]</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Chỉ người trả lời đủ 8</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105</w:t>
            </w:r>
          </w:p>
        </w:tc>
        <w:tc>
          <w:tcPr>
            <w:tcW w:w="1591" w:type="dxa"/>
          </w:tcPr>
          <w:p>
            <w:pPr>
              <w:pStyle w:val="Compact"/>
              <w:spacing w:before="0" w:after="0" w:line="240" w:lineRule="auto"/>
              <w:ind w:firstLine="0" w:left="0"/>
              <w:jc w:val="center"/>
            </w:pPr>
            <w:r>
              <w:rPr>
                <w:rFonts w:ascii="Times New Roman" w:hAnsi="Times New Roman"/>
                <w:sz w:val="20"/>
              </w:rPr>
              <w:t xml:space="preserve">2,00 [0,52; 3,47]</w:t>
            </w:r>
          </w:p>
        </w:tc>
        <w:tc>
          <w:tcPr>
            <w:tcW w:w="1591" w:type="dxa"/>
          </w:tcPr>
          <w:p>
            <w:pPr>
              <w:pStyle w:val="Compact"/>
              <w:spacing w:before="0" w:after="0" w:line="240" w:lineRule="auto"/>
              <w:ind w:firstLine="0" w:left="0"/>
              <w:jc w:val="center"/>
            </w:pPr>
            <w:r>
              <w:rPr>
                <w:rFonts w:ascii="Times New Roman" w:hAnsi="Times New Roman"/>
                <w:sz w:val="20"/>
              </w:rPr>
              <w:t xml:space="preserve">0,89 [0,23; 1,55]</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Chỉ người trả lời đủ 8</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107</w:t>
            </w:r>
          </w:p>
        </w:tc>
        <w:tc>
          <w:tcPr>
            <w:tcW w:w="1591" w:type="dxa"/>
          </w:tcPr>
          <w:p>
            <w:pPr>
              <w:pStyle w:val="Compact"/>
              <w:spacing w:before="0" w:after="0" w:line="240" w:lineRule="auto"/>
              <w:ind w:firstLine="0" w:left="0"/>
              <w:jc w:val="center"/>
            </w:pPr>
            <w:r>
              <w:rPr>
                <w:rFonts w:ascii="Times New Roman" w:hAnsi="Times New Roman"/>
                <w:sz w:val="20"/>
              </w:rPr>
              <w:t xml:space="preserve">1,89 [0,54; 3,23]</w:t>
            </w:r>
          </w:p>
        </w:tc>
        <w:tc>
          <w:tcPr>
            <w:tcW w:w="1591" w:type="dxa"/>
          </w:tcPr>
          <w:p>
            <w:pPr>
              <w:pStyle w:val="Compact"/>
              <w:spacing w:before="0" w:after="0" w:line="240" w:lineRule="auto"/>
              <w:ind w:firstLine="0" w:left="0"/>
              <w:jc w:val="center"/>
            </w:pPr>
            <w:r>
              <w:rPr>
                <w:rFonts w:ascii="Times New Roman" w:hAnsi="Times New Roman"/>
                <w:sz w:val="20"/>
              </w:rPr>
              <w:t xml:space="preserve">0,95 [0,27; 1,62]</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Chỉ người trả lời đủ 8</w:t>
            </w:r>
          </w:p>
        </w:tc>
        <w:tc>
          <w:tcPr>
            <w:tcW w:w="936" w:type="dxa"/>
          </w:tcPr>
          <w:p>
            <w:pPr>
              <w:pStyle w:val="Compact"/>
              <w:spacing w:before="0" w:after="0" w:line="240" w:lineRule="auto"/>
              <w:ind w:firstLine="0" w:left="0"/>
              <w:jc w:val="left"/>
            </w:pPr>
            <w:r>
              <w:rPr>
                <w:rFonts w:ascii="Times New Roman" w:hAnsi="Times New Roman"/>
                <w:sz w:val="20"/>
              </w:rPr>
              <w:t xml:space="preserve">Xᴰ</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100</w:t>
            </w:r>
          </w:p>
        </w:tc>
        <w:tc>
          <w:tcPr>
            <w:tcW w:w="1591" w:type="dxa"/>
          </w:tcPr>
          <w:p>
            <w:pPr>
              <w:pStyle w:val="Compact"/>
              <w:spacing w:before="0" w:after="0" w:line="240" w:lineRule="auto"/>
              <w:ind w:firstLine="0" w:left="0"/>
              <w:jc w:val="center"/>
            </w:pPr>
            <w:r>
              <w:rPr>
                <w:rFonts w:ascii="Times New Roman" w:hAnsi="Times New Roman"/>
                <w:sz w:val="20"/>
              </w:rPr>
              <w:t xml:space="preserve">2,02 [0,53; 3,51]</w:t>
            </w:r>
          </w:p>
        </w:tc>
        <w:tc>
          <w:tcPr>
            <w:tcW w:w="1591" w:type="dxa"/>
          </w:tcPr>
          <w:p>
            <w:pPr>
              <w:pStyle w:val="Compact"/>
              <w:spacing w:before="0" w:after="0" w:line="240" w:lineRule="auto"/>
              <w:ind w:firstLine="0" w:left="0"/>
              <w:jc w:val="center"/>
            </w:pPr>
            <w:r>
              <w:rPr>
                <w:rFonts w:ascii="Times New Roman" w:hAnsi="Times New Roman"/>
                <w:sz w:val="20"/>
              </w:rPr>
              <w:t xml:space="preserve">0,92 [0,24; 1,59]</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Chỉ người trả lời đủ 8</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96</w:t>
            </w:r>
          </w:p>
        </w:tc>
        <w:tc>
          <w:tcPr>
            <w:tcW w:w="1591" w:type="dxa"/>
          </w:tcPr>
          <w:p>
            <w:pPr>
              <w:pStyle w:val="Compact"/>
              <w:spacing w:before="0" w:after="0" w:line="240" w:lineRule="auto"/>
              <w:ind w:firstLine="0" w:left="0"/>
              <w:jc w:val="center"/>
            </w:pPr>
            <w:r>
              <w:rPr>
                <w:rFonts w:ascii="Times New Roman" w:hAnsi="Times New Roman"/>
                <w:sz w:val="20"/>
              </w:rPr>
              <w:t xml:space="preserve">2,14 [−0,24; 4,52]</w:t>
            </w:r>
          </w:p>
        </w:tc>
        <w:tc>
          <w:tcPr>
            <w:tcW w:w="1591" w:type="dxa"/>
          </w:tcPr>
          <w:p>
            <w:pPr>
              <w:pStyle w:val="Compact"/>
              <w:spacing w:before="0" w:after="0" w:line="240" w:lineRule="auto"/>
              <w:ind w:firstLine="0" w:left="0"/>
              <w:jc w:val="center"/>
            </w:pPr>
            <w:r>
              <w:rPr>
                <w:rFonts w:ascii="Times New Roman" w:hAnsi="Times New Roman"/>
                <w:sz w:val="20"/>
              </w:rPr>
              <w:t xml:space="preserve">1,07 [−0,12; 2,27]</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Chỉ người trả lời đủ 8</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89</w:t>
            </w:r>
          </w:p>
        </w:tc>
        <w:tc>
          <w:tcPr>
            <w:tcW w:w="1591" w:type="dxa"/>
          </w:tcPr>
          <w:p>
            <w:pPr>
              <w:pStyle w:val="Compact"/>
              <w:spacing w:before="0" w:after="0" w:line="240" w:lineRule="auto"/>
              <w:ind w:firstLine="0" w:left="0"/>
              <w:jc w:val="center"/>
            </w:pPr>
            <w:r>
              <w:rPr>
                <w:rFonts w:ascii="Times New Roman" w:hAnsi="Times New Roman"/>
                <w:sz w:val="20"/>
              </w:rPr>
              <w:t xml:space="preserve">2,76 [−0,10; 5,62]</w:t>
            </w:r>
          </w:p>
        </w:tc>
        <w:tc>
          <w:tcPr>
            <w:tcW w:w="1591" w:type="dxa"/>
          </w:tcPr>
          <w:p>
            <w:pPr>
              <w:pStyle w:val="Compact"/>
              <w:spacing w:before="0" w:after="0" w:line="240" w:lineRule="auto"/>
              <w:ind w:firstLine="0" w:left="0"/>
              <w:jc w:val="center"/>
            </w:pPr>
            <w:r>
              <w:rPr>
                <w:rFonts w:ascii="Times New Roman" w:hAnsi="Times New Roman"/>
                <w:sz w:val="20"/>
              </w:rPr>
              <w:t xml:space="preserve">1,23 [−0,05; 2,51]</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Chỉ người trả lời đủ 8</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Giữ</w:t>
            </w:r>
          </w:p>
        </w:tc>
        <w:tc>
          <w:tcPr>
            <w:tcW w:w="468" w:type="dxa"/>
          </w:tcPr>
          <w:p>
            <w:pPr>
              <w:pStyle w:val="Compact"/>
              <w:spacing w:before="0" w:after="0" w:line="240" w:lineRule="auto"/>
              <w:ind w:firstLine="0" w:left="0"/>
              <w:jc w:val="center"/>
            </w:pPr>
            <w:r>
              <w:rPr>
                <w:rFonts w:ascii="Times New Roman" w:hAnsi="Times New Roman"/>
                <w:sz w:val="20"/>
              </w:rPr>
              <w:t xml:space="preserve">92</w:t>
            </w:r>
          </w:p>
        </w:tc>
        <w:tc>
          <w:tcPr>
            <w:tcW w:w="1591" w:type="dxa"/>
          </w:tcPr>
          <w:p>
            <w:pPr>
              <w:pStyle w:val="Compact"/>
              <w:spacing w:before="0" w:after="0" w:line="240" w:lineRule="auto"/>
              <w:ind w:firstLine="0" w:left="0"/>
              <w:jc w:val="center"/>
            </w:pPr>
            <w:r>
              <w:rPr>
                <w:rFonts w:ascii="Times New Roman" w:hAnsi="Times New Roman"/>
                <w:sz w:val="20"/>
              </w:rPr>
              <w:t xml:space="preserve">2,23 [−0,47; 4,93]</w:t>
            </w:r>
          </w:p>
        </w:tc>
        <w:tc>
          <w:tcPr>
            <w:tcW w:w="1591" w:type="dxa"/>
          </w:tcPr>
          <w:p>
            <w:pPr>
              <w:pStyle w:val="Compact"/>
              <w:spacing w:before="0" w:after="0" w:line="240" w:lineRule="auto"/>
              <w:ind w:firstLine="0" w:left="0"/>
              <w:jc w:val="center"/>
            </w:pPr>
            <w:r>
              <w:rPr>
                <w:rFonts w:ascii="Times New Roman" w:hAnsi="Times New Roman"/>
                <w:sz w:val="20"/>
              </w:rPr>
              <w:t xml:space="preserve">1,14 [−0,24; 2,51]</w:t>
            </w:r>
          </w:p>
        </w:tc>
      </w:tr>
      <w:tr>
        <w:trPr>
          <w:cantSplit/>
        </w:trPr>
        <w:tc>
          <w:tcPr>
            <w:tcW w:w="1591" w:type="dxa"/>
          </w:tcPr>
          <w:p>
            <w:pPr>
              <w:pStyle w:val="Compact"/>
              <w:spacing w:before="0" w:after="0" w:line="240" w:lineRule="auto"/>
              <w:ind w:firstLine="0" w:left="0"/>
              <w:jc w:val="left"/>
            </w:pPr>
            <w:r>
              <w:rPr>
                <w:rFonts w:ascii="Times New Roman" w:hAnsi="Times New Roman"/>
                <w:sz w:val="20"/>
              </w:rPr>
              <w:t xml:space="preserve">Chỉ người trả lời đủ 8</w:t>
            </w:r>
          </w:p>
        </w:tc>
        <w:tc>
          <w:tcPr>
            <w:tcW w:w="936" w:type="dxa"/>
          </w:tcPr>
          <w:p>
            <w:pPr>
              <w:pStyle w:val="Compact"/>
              <w:spacing w:before="0" w:after="0" w:line="240" w:lineRule="auto"/>
              <w:ind w:firstLine="0" w:left="0"/>
              <w:jc w:val="left"/>
            </w:pPr>
            <w:r>
              <w:rPr>
                <w:rFonts w:ascii="Times New Roman" w:hAnsi="Times New Roman"/>
                <w:sz w:val="20"/>
              </w:rPr>
              <w:t xml:space="preserve">Xᴰ + Xᴶ</w:t>
            </w:r>
          </w:p>
        </w:tc>
        <w:tc>
          <w:tcPr>
            <w:tcW w:w="1872" w:type="dxa"/>
          </w:tcPr>
          <w:p>
            <w:pPr>
              <w:pStyle w:val="Compact"/>
              <w:spacing w:before="0" w:after="0" w:line="240" w:lineRule="auto"/>
              <w:ind w:firstLine="0" w:left="0"/>
              <w:jc w:val="left"/>
            </w:pPr>
            <w:r>
              <w:rPr>
                <w:rFonts w:ascii="Times New Roman" w:hAnsi="Times New Roman"/>
                <w:sz w:val="20"/>
              </w:rPr>
              <w:t xml:space="preserve">Tự nhận + SOGI</w:t>
            </w:r>
          </w:p>
        </w:tc>
        <w:tc>
          <w:tcPr>
            <w:tcW w:w="1310" w:type="dxa"/>
          </w:tcPr>
          <w:p>
            <w:pPr>
              <w:pStyle w:val="Compact"/>
              <w:spacing w:before="0" w:after="0" w:line="240" w:lineRule="auto"/>
              <w:ind w:firstLine="0" w:left="0"/>
              <w:jc w:val="left"/>
            </w:pPr>
            <w:r>
              <w:rPr>
                <w:rFonts w:ascii="Times New Roman" w:hAnsi="Times New Roman"/>
                <w:sz w:val="20"/>
              </w:rPr>
              <w:t xml:space="preserve">Loại</w:t>
            </w:r>
          </w:p>
        </w:tc>
        <w:tc>
          <w:tcPr>
            <w:tcW w:w="468" w:type="dxa"/>
          </w:tcPr>
          <w:p>
            <w:pPr>
              <w:pStyle w:val="Compact"/>
              <w:spacing w:before="0" w:after="0" w:line="240" w:lineRule="auto"/>
              <w:ind w:firstLine="0" w:left="0"/>
              <w:jc w:val="center"/>
            </w:pPr>
            <w:r>
              <w:rPr>
                <w:rFonts w:ascii="Times New Roman" w:hAnsi="Times New Roman"/>
                <w:sz w:val="20"/>
              </w:rPr>
              <w:t xml:space="preserve">85</w:t>
            </w:r>
          </w:p>
        </w:tc>
        <w:tc>
          <w:tcPr>
            <w:tcW w:w="1591" w:type="dxa"/>
          </w:tcPr>
          <w:p>
            <w:pPr>
              <w:pStyle w:val="Compact"/>
              <w:spacing w:before="0" w:after="0" w:line="240" w:lineRule="auto"/>
              <w:ind w:firstLine="0" w:left="0"/>
              <w:jc w:val="center"/>
            </w:pPr>
            <w:r>
              <w:rPr>
                <w:rFonts w:ascii="Times New Roman" w:hAnsi="Times New Roman"/>
                <w:sz w:val="20"/>
              </w:rPr>
              <w:t xml:space="preserve">2,60 [−0,41; 5,60]</w:t>
            </w:r>
          </w:p>
        </w:tc>
        <w:tc>
          <w:tcPr>
            <w:tcW w:w="1591" w:type="dxa"/>
          </w:tcPr>
          <w:p>
            <w:pPr>
              <w:pStyle w:val="Compact"/>
              <w:spacing w:before="0" w:after="0" w:line="240" w:lineRule="auto"/>
              <w:ind w:firstLine="0" w:left="0"/>
              <w:jc w:val="center"/>
            </w:pPr>
            <w:r>
              <w:rPr>
                <w:rFonts w:ascii="Times New Roman" w:hAnsi="Times New Roman"/>
                <w:sz w:val="20"/>
              </w:rPr>
              <w:t xml:space="preserve">1,18 [−0,19; 2,54]</w:t>
            </w:r>
          </w:p>
        </w:tc>
      </w:tr>
    </w:tbl>
    <w:p>
      <w:pPr>
        <w:pStyle w:val="BodyText"/>
      </w:pPr>
      <w:r>
        <w:rPr>
          <w:i/>
          <w:iCs/>
        </w:rPr>
        <w:t xml:space="preserve">Chú thích.</w:t>
      </w:r>
      <w:r>
        <w:t xml:space="preserve"> </w:t>
      </w:r>
      <w:r>
        <w:t xml:space="preserve">Ước lượng từ hồi quy OLS với sai số chuẩn HC3.</w:t>
      </w:r>
      <w:r>
        <w:t xml:space="preserve"> </w:t>
      </w:r>
      <w:r>
        <w:t xml:space="preserve">“Chỉ người trả lời đủ 8”</w:t>
      </w:r>
      <w:r>
        <w:t xml:space="preserve"> </w:t>
      </w:r>
      <w:r>
        <w:t xml:space="preserve">giới hạn chỉ số tám tình huống ở những người trả lời đủ tám tình huống; số tình huống là số tình huống đã gặp ít nhất một lần. SOGI: có xu hướng không dị tính hoặc bản dạng giới thiểu số. Dòng đầu tiên là đặc tả chính.</w:t>
      </w:r>
    </w:p>
    <w:p>
      <w:pPr>
        <w:pStyle w:val="BodyText"/>
      </w:pPr>
      <w:r>
        <w:rPr>
          <w:b/>
          <w:bCs/>
        </w:rPr>
        <w:t xml:space="preserve">Bảng S6</w:t>
      </w:r>
      <w:r>
        <w:t xml:space="preserve"> </w:t>
      </w:r>
      <w:r>
        <w:rPr>
          <w:i/>
          <w:iCs/>
        </w:rPr>
        <w:t xml:space="preserve">Các phân tích độ nhạy hậu kiểm</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306"/>
        <w:gridCol w:w="936"/>
        <w:gridCol w:w="936"/>
        <w:gridCol w:w="1872"/>
        <w:gridCol w:w="1310"/>
      </w:tblGrid>
      <w:tr>
        <w:trPr>
          <w:cantSplit/>
          <w:tblHeader/>
        </w:trPr>
        <w:tc>
          <w:tcPr>
            <w:tcW w:w="4306" w:type="dxa"/>
            <w:tcBorders>
              <w:bottom w:val="single" w:sz="6" w:space="0" w:color="000000"/>
            </w:tcBorders>
          </w:tcPr>
          <w:p>
            <w:pPr>
              <w:pStyle w:val="Compact"/>
              <w:spacing w:before="0" w:after="0" w:line="240" w:lineRule="auto"/>
              <w:ind w:firstLine="0" w:left="0"/>
              <w:jc w:val="left"/>
            </w:pPr>
            <w:r>
              <w:rPr>
                <w:rFonts w:ascii="Times New Roman" w:hAnsi="Times New Roman"/>
                <w:sz w:val="20"/>
              </w:rPr>
              <w:t xml:space="preserve">Phân tích</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n</w:t>
            </w:r>
          </w:p>
        </w:tc>
        <w:tc>
          <w:tcPr>
            <w:tcW w:w="936"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η</w:t>
            </w:r>
          </w:p>
        </w:tc>
        <w:tc>
          <w:tcPr>
            <w:tcW w:w="1872" w:type="dxa"/>
            <w:tcBorders>
              <w:bottom w:val="single" w:sz="6" w:space="0" w:color="000000"/>
            </w:tcBorders>
          </w:tcPr>
          <w:p>
            <w:pPr>
              <w:pStyle w:val="Compact"/>
              <w:spacing w:before="0" w:after="0" w:line="240" w:lineRule="auto"/>
              <w:ind w:firstLine="0" w:left="0"/>
              <w:jc w:val="center"/>
            </w:pPr>
            <w:r>
              <w:rPr>
                <w:rFonts w:ascii="Times New Roman" w:hAnsi="Times New Roman"/>
                <w:sz w:val="20"/>
              </w:rPr>
              <w:t xml:space="preserve">KTC 95%</w:t>
            </w:r>
          </w:p>
        </w:tc>
        <w:tc>
          <w:tcPr>
            <w:tcW w:w="1310" w:type="dxa"/>
            <w:tcBorders>
              <w:bottom w:val="single" w:sz="6" w:space="0" w:color="000000"/>
            </w:tcBorders>
          </w:tcPr>
          <w:p>
            <w:pPr>
              <w:pStyle w:val="Compact"/>
              <w:spacing w:before="0" w:after="0" w:line="240" w:lineRule="auto"/>
              <w:ind w:firstLine="0" w:left="0"/>
              <w:jc w:val="center"/>
            </w:pPr>
            <w:r>
              <w:rPr>
                <w:rFonts w:ascii="Times New Roman" w:hAnsi="Times New Roman"/>
                <w:i/>
                <w:iCs/>
                <w:sz w:val="20"/>
              </w:rPr>
              <w:t xml:space="preserve">p</w:t>
            </w:r>
          </w:p>
        </w:tc>
      </w:tr>
      <w:tr>
        <w:trPr>
          <w:cantSplit/>
        </w:trPr>
        <w:tc>
          <w:tcPr>
            <w:tcW w:w="4306" w:type="dxa"/>
          </w:tcPr>
          <w:p>
            <w:pPr>
              <w:pStyle w:val="Compact"/>
              <w:spacing w:before="0" w:after="0" w:line="240" w:lineRule="auto"/>
              <w:ind w:firstLine="0" w:left="0"/>
              <w:jc w:val="left"/>
            </w:pPr>
            <w:r>
              <w:rPr>
                <w:rFonts w:ascii="Times New Roman" w:hAnsi="Times New Roman"/>
                <w:sz w:val="20"/>
              </w:rPr>
              <w:t xml:space="preserve">Chưa điều chỉnh</w:t>
            </w:r>
          </w:p>
        </w:tc>
        <w:tc>
          <w:tcPr>
            <w:tcW w:w="936"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1,47</w:t>
            </w:r>
          </w:p>
        </w:tc>
        <w:tc>
          <w:tcPr>
            <w:tcW w:w="1872" w:type="dxa"/>
          </w:tcPr>
          <w:p>
            <w:pPr>
              <w:pStyle w:val="Compact"/>
              <w:spacing w:before="0" w:after="0" w:line="240" w:lineRule="auto"/>
              <w:ind w:firstLine="0" w:left="0"/>
              <w:jc w:val="center"/>
            </w:pPr>
            <w:r>
              <w:rPr>
                <w:rFonts w:ascii="Times New Roman" w:hAnsi="Times New Roman"/>
                <w:sz w:val="20"/>
              </w:rPr>
              <w:t xml:space="preserve">[0,30; 2,65]</w:t>
            </w:r>
          </w:p>
        </w:tc>
        <w:tc>
          <w:tcPr>
            <w:tcW w:w="1310" w:type="dxa"/>
          </w:tcPr>
          <w:p>
            <w:pPr>
              <w:pStyle w:val="Compact"/>
              <w:spacing w:before="0" w:after="0" w:line="240" w:lineRule="auto"/>
              <w:ind w:firstLine="0" w:left="0"/>
              <w:jc w:val="center"/>
            </w:pPr>
            <w:r>
              <w:rPr>
                <w:rFonts w:ascii="Times New Roman" w:hAnsi="Times New Roman"/>
                <w:sz w:val="20"/>
              </w:rPr>
              <w:t xml:space="preserve">0,014</w:t>
            </w:r>
          </w:p>
        </w:tc>
      </w:tr>
      <w:tr>
        <w:trPr>
          <w:cantSplit/>
        </w:trPr>
        <w:tc>
          <w:tcPr>
            <w:tcW w:w="4306" w:type="dxa"/>
          </w:tcPr>
          <w:p>
            <w:pPr>
              <w:pStyle w:val="Compact"/>
              <w:spacing w:before="0" w:after="0" w:line="240" w:lineRule="auto"/>
              <w:ind w:firstLine="0" w:left="0"/>
              <w:jc w:val="left"/>
            </w:pPr>
            <w:r>
              <w:rPr>
                <w:rFonts w:ascii="Times New Roman" w:hAnsi="Times New Roman"/>
                <w:sz w:val="20"/>
              </w:rPr>
              <w:t xml:space="preserve">Thêm mức độ công khai tại nơi làm việc</w:t>
            </w:r>
          </w:p>
        </w:tc>
        <w:tc>
          <w:tcPr>
            <w:tcW w:w="936"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1,93</w:t>
            </w:r>
          </w:p>
        </w:tc>
        <w:tc>
          <w:tcPr>
            <w:tcW w:w="1872" w:type="dxa"/>
          </w:tcPr>
          <w:p>
            <w:pPr>
              <w:pStyle w:val="Compact"/>
              <w:spacing w:before="0" w:after="0" w:line="240" w:lineRule="auto"/>
              <w:ind w:firstLine="0" w:left="0"/>
              <w:jc w:val="center"/>
            </w:pPr>
            <w:r>
              <w:rPr>
                <w:rFonts w:ascii="Times New Roman" w:hAnsi="Times New Roman"/>
                <w:sz w:val="20"/>
              </w:rPr>
              <w:t xml:space="preserve">[0,76; 3,09]</w:t>
            </w:r>
          </w:p>
        </w:tc>
        <w:tc>
          <w:tcPr>
            <w:tcW w:w="1310" w:type="dxa"/>
          </w:tcPr>
          <w:p>
            <w:pPr>
              <w:pStyle w:val="Compact"/>
              <w:spacing w:before="0" w:after="0" w:line="240" w:lineRule="auto"/>
              <w:ind w:firstLine="0" w:left="0"/>
              <w:jc w:val="center"/>
            </w:pPr>
            <w:r>
              <w:rPr>
                <w:rFonts w:ascii="Times New Roman" w:hAnsi="Times New Roman"/>
                <w:sz w:val="20"/>
              </w:rPr>
              <w:t xml:space="preserve">0,001</w:t>
            </w:r>
          </w:p>
        </w:tc>
      </w:tr>
      <w:tr>
        <w:trPr>
          <w:cantSplit/>
        </w:trPr>
        <w:tc>
          <w:tcPr>
            <w:tcW w:w="4306" w:type="dxa"/>
          </w:tcPr>
          <w:p>
            <w:pPr>
              <w:pStyle w:val="Compact"/>
              <w:spacing w:before="0" w:after="0" w:line="240" w:lineRule="auto"/>
              <w:ind w:firstLine="0" w:left="0"/>
              <w:jc w:val="left"/>
            </w:pPr>
            <w:r>
              <w:rPr>
                <w:rFonts w:ascii="Times New Roman" w:hAnsi="Times New Roman"/>
                <w:sz w:val="20"/>
              </w:rPr>
              <w:t xml:space="preserve">Thêm kinh nghiệm làm việc</w:t>
            </w:r>
          </w:p>
        </w:tc>
        <w:tc>
          <w:tcPr>
            <w:tcW w:w="936"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1,90</w:t>
            </w:r>
          </w:p>
        </w:tc>
        <w:tc>
          <w:tcPr>
            <w:tcW w:w="1872" w:type="dxa"/>
          </w:tcPr>
          <w:p>
            <w:pPr>
              <w:pStyle w:val="Compact"/>
              <w:spacing w:before="0" w:after="0" w:line="240" w:lineRule="auto"/>
              <w:ind w:firstLine="0" w:left="0"/>
              <w:jc w:val="center"/>
            </w:pPr>
            <w:r>
              <w:rPr>
                <w:rFonts w:ascii="Times New Roman" w:hAnsi="Times New Roman"/>
                <w:sz w:val="20"/>
              </w:rPr>
              <w:t xml:space="preserve">[0,71; 3,08]</w:t>
            </w:r>
          </w:p>
        </w:tc>
        <w:tc>
          <w:tcPr>
            <w:tcW w:w="1310" w:type="dxa"/>
          </w:tcPr>
          <w:p>
            <w:pPr>
              <w:pStyle w:val="Compact"/>
              <w:spacing w:before="0" w:after="0" w:line="240" w:lineRule="auto"/>
              <w:ind w:firstLine="0" w:left="0"/>
              <w:jc w:val="center"/>
            </w:pPr>
            <w:r>
              <w:rPr>
                <w:rFonts w:ascii="Times New Roman" w:hAnsi="Times New Roman"/>
                <w:sz w:val="20"/>
              </w:rPr>
              <w:t xml:space="preserve">0,002</w:t>
            </w:r>
          </w:p>
        </w:tc>
      </w:tr>
      <w:tr>
        <w:trPr>
          <w:cantSplit/>
        </w:trPr>
        <w:tc>
          <w:tcPr>
            <w:tcW w:w="4306" w:type="dxa"/>
          </w:tcPr>
          <w:p>
            <w:pPr>
              <w:pStyle w:val="Compact"/>
              <w:spacing w:before="0" w:after="0" w:line="240" w:lineRule="auto"/>
              <w:ind w:firstLine="0" w:left="0"/>
              <w:jc w:val="left"/>
            </w:pPr>
            <w:r>
              <w:rPr>
                <w:rFonts w:ascii="Times New Roman" w:hAnsi="Times New Roman"/>
                <w:sz w:val="20"/>
              </w:rPr>
              <w:t xml:space="preserve">Xᴰ không có tình trạng quan hệ và địa bàn làm việc</w:t>
            </w:r>
          </w:p>
        </w:tc>
        <w:tc>
          <w:tcPr>
            <w:tcW w:w="936" w:type="dxa"/>
          </w:tcPr>
          <w:p>
            <w:pPr>
              <w:pStyle w:val="Compact"/>
              <w:spacing w:before="0" w:after="0" w:line="240" w:lineRule="auto"/>
              <w:ind w:firstLine="0" w:left="0"/>
              <w:jc w:val="center"/>
            </w:pPr>
            <w:r>
              <w:rPr>
                <w:rFonts w:ascii="Times New Roman" w:hAnsi="Times New Roman"/>
                <w:sz w:val="20"/>
              </w:rPr>
              <w:t xml:space="preserve">235</w:t>
            </w:r>
          </w:p>
        </w:tc>
        <w:tc>
          <w:tcPr>
            <w:tcW w:w="936" w:type="dxa"/>
          </w:tcPr>
          <w:p>
            <w:pPr>
              <w:pStyle w:val="Compact"/>
              <w:spacing w:before="0" w:after="0" w:line="240" w:lineRule="auto"/>
              <w:ind w:firstLine="0" w:left="0"/>
              <w:jc w:val="center"/>
            </w:pPr>
            <w:r>
              <w:rPr>
                <w:rFonts w:ascii="Times New Roman" w:hAnsi="Times New Roman"/>
                <w:sz w:val="20"/>
              </w:rPr>
              <w:t xml:space="preserve">1,83</w:t>
            </w:r>
          </w:p>
        </w:tc>
        <w:tc>
          <w:tcPr>
            <w:tcW w:w="1872" w:type="dxa"/>
          </w:tcPr>
          <w:p>
            <w:pPr>
              <w:pStyle w:val="Compact"/>
              <w:spacing w:before="0" w:after="0" w:line="240" w:lineRule="auto"/>
              <w:ind w:firstLine="0" w:left="0"/>
              <w:jc w:val="center"/>
            </w:pPr>
            <w:r>
              <w:rPr>
                <w:rFonts w:ascii="Times New Roman" w:hAnsi="Times New Roman"/>
                <w:sz w:val="20"/>
              </w:rPr>
              <w:t xml:space="preserve">[0,68; 2,99]</w:t>
            </w:r>
          </w:p>
        </w:tc>
        <w:tc>
          <w:tcPr>
            <w:tcW w:w="1310" w:type="dxa"/>
          </w:tcPr>
          <w:p>
            <w:pPr>
              <w:pStyle w:val="Compact"/>
              <w:spacing w:before="0" w:after="0" w:line="240" w:lineRule="auto"/>
              <w:ind w:firstLine="0" w:left="0"/>
              <w:jc w:val="center"/>
            </w:pPr>
            <w:r>
              <w:rPr>
                <w:rFonts w:ascii="Times New Roman" w:hAnsi="Times New Roman"/>
                <w:sz w:val="20"/>
              </w:rPr>
              <w:t xml:space="preserve">0,002</w:t>
            </w:r>
          </w:p>
        </w:tc>
      </w:tr>
    </w:tbl>
    <w:p>
      <w:pPr>
        <w:pStyle w:val="BodyText"/>
      </w:pPr>
      <w:r>
        <w:rPr>
          <w:i/>
          <w:iCs/>
        </w:rPr>
        <w:t xml:space="preserve">Chú thích.</w:t>
      </w:r>
      <w:r>
        <w:t xml:space="preserve"> </w:t>
      </w:r>
      <w:r>
        <w:t xml:space="preserve">Các phân tích này được đặt ra sau khi đã biết kết quả chính. Ước lượng từ hồi quy OLS với sai số chuẩn HC3, và mọi mô hình trừ mô hình đầu đều điều chỉnh các đặc điểm có trước phơi nhiễm. Mức độ công khai tại nơi làm việc và kinh nghiệm làm việc có thể nằm trên con đường giữa kỳ thị và triệu chứng, nên các mô hình này không được dùng để điều chỉnh ước lượng chính.</w:t>
      </w:r>
    </w:p>
    <w:bookmarkEnd w:id="56"/>
    <w:bookmarkEnd w:id="57"/>
    <w:sectPr>
      <w:footerReference r:id="rId9"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ind w:firstLine="720"/>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ind w:firstLine="0"/>
    </w:pPr>
    <w:rPr>
      <w:rFonts w:ascii="Times New Roman" w:cs="Times New Roman" w:eastAsia="Times New Roman" w:hAnsi="Times New Roman"/>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sz w:val="20"/>
    </w:rPr>
  </w:style>
  <w:style w:styleId="Title" w:type="paragraph">
    <w:name w:val="Title"/>
    <w:basedOn w:val="Normal"/>
    <w:next w:val="BodyText"/>
    <w:link w:val="TitleChar"/>
    <w:uiPriority w:val="10"/>
    <w:qFormat/>
    <w:rsid w:val="00A10FD9"/>
    <w:pPr>
      <w:spacing w:after="120" w:before="0" w:line="276" w:lineRule="auto"/>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120" w:before="120" w:line="276" w:lineRule="auto"/>
      <w:jc w:val="center"/>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120" w:line="276"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20" w:line="276" w:lineRule="auto"/>
      <w:outlineLvl w:val="2"/>
    </w:pPr>
    <w:rPr>
      <w:rFonts w:ascii="Times New Roman" w:cs="Times New Roman" w:eastAsia="Times New Roman" w:hAnsi="Times New Roman"/>
      <w:b/>
      <w:i/>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120" w:line="480" w:lineRule="auto"/>
      <w:outlineLvl w:val="3"/>
    </w:pPr>
    <w:rPr>
      <w:rFonts w:ascii="Times New Roman" w:cs="Times New Roman" w:eastAsia="Times New Roman" w:hAnsi="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dịch tiếng Việt (đọc hiểu)</dc:title>
  <dc:creator/>
  <cp:keywords/>
  <dcterms:created xsi:type="dcterms:W3CDTF">2026-10-16T16:03:59Z</dcterms:created>
  <dcterms:modified xsi:type="dcterms:W3CDTF">2026-10-16T16:03:59Z</dcterms:modified>
  <cp:lastModifiedBy/>
</cp:coreProperties>
</file>

<file path=docProps/custom.xml><?xml version="1.0" encoding="utf-8"?>
<Properties xmlns="http://schemas.openxmlformats.org/officeDocument/2006/custom-properties" xmlns:vt="http://schemas.openxmlformats.org/officeDocument/2006/docPropsVTypes"/>
</file>