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right"/>
      </w:pPr>
      <w:r>
        <w:rPr>
          <w:rFonts w:ascii="Times New Roman" w:cs="Times New Roman" w:eastAsia="Times New Roman" w:hAnsi="Times New Roman"/>
          <w:i/>
          <w:iCs/>
          <w:sz w:val="26"/>
          <w:szCs w:val="26"/>
        </w:rPr>
        <w:t xml:space="preserve">Hà Nội, ngày 10 tháng 10 năm 2026</w:t>
      </w:r>
    </w:p>
    <w:p>
      <w:pPr>
        <w:spacing w:after="60"/>
        <w:jc w:val="center"/>
      </w:pPr>
      <w:r>
        <w:rPr>
          <w:rFonts w:ascii="Times New Roman" w:cs="Times New Roman" w:eastAsia="Times New Roman" w:hAnsi="Times New Roman"/>
          <w:b/>
          <w:bCs/>
          <w:sz w:val="28"/>
          <w:szCs w:val="28"/>
        </w:rPr>
        <w:t xml:space="preserve">BÁO CÁO TÓM TẮT KẾT QUẢ NGHIÊN CỨU</w:t>
      </w:r>
    </w:p>
    <w:p>
      <w:pPr>
        <w:spacing w:after="240"/>
        <w:jc w:val="center"/>
      </w:pPr>
      <w:r>
        <w:rPr>
          <w:rFonts w:ascii="Times New Roman" w:cs="Times New Roman" w:eastAsia="Times New Roman" w:hAnsi="Times New Roman"/>
          <w:b/>
          <w:bCs/>
          <w:i/>
          <w:iCs/>
          <w:sz w:val="26"/>
          <w:szCs w:val="26"/>
        </w:rPr>
        <w:t xml:space="preserve">Kỳ thị nơi làm việc và sức khỏe tâm thần của người lao động LGBT tại Việt Nam</w:t>
      </w:r>
    </w:p>
    <w:p>
      <w:pPr>
        <w:spacing w:after="40" w:before="0" w:line="312"/>
        <w:jc w:val="left"/>
      </w:pPr>
      <w:r>
        <w:rPr>
          <w:rFonts w:ascii="Times New Roman" w:cs="Times New Roman" w:eastAsia="Times New Roman" w:hAnsi="Times New Roman"/>
          <w:b/>
          <w:bCs/>
          <w:sz w:val="26"/>
          <w:szCs w:val="26"/>
        </w:rPr>
        <w:t xml:space="preserve">Kính gửi: </w:t>
      </w:r>
      <w:r>
        <w:rPr>
          <w:rFonts w:ascii="Times New Roman" w:cs="Times New Roman" w:eastAsia="Times New Roman" w:hAnsi="Times New Roman"/>
          <w:sz w:val="26"/>
          <w:szCs w:val="26"/>
        </w:rPr>
        <w:t xml:space="preserve">Giảng viên hướng dẫn</w:t>
      </w:r>
    </w:p>
    <w:p>
      <w:pPr>
        <w:spacing w:after="240" w:before="0" w:line="312"/>
        <w:jc w:val="left"/>
      </w:pPr>
      <w:r>
        <w:rPr>
          <w:rFonts w:ascii="Times New Roman" w:cs="Times New Roman" w:eastAsia="Times New Roman" w:hAnsi="Times New Roman"/>
          <w:b/>
          <w:bCs/>
          <w:sz w:val="26"/>
          <w:szCs w:val="26"/>
        </w:rPr>
        <w:t xml:space="preserve">Người thực hiện: </w:t>
      </w:r>
      <w:r>
        <w:rPr>
          <w:rFonts w:ascii="Times New Roman" w:cs="Times New Roman" w:eastAsia="Times New Roman" w:hAnsi="Times New Roman"/>
          <w:sz w:val="26"/>
          <w:szCs w:val="26"/>
        </w:rPr>
        <w:t xml:space="preserve">....................................................................</w:t>
      </w:r>
    </w:p>
    <w:p>
      <w:pPr>
        <w:pStyle w:val="Heading1"/>
        <w:keepNext/>
        <w:spacing w:after="120" w:before="240" w:line="312"/>
      </w:pPr>
      <w:r>
        <w:rPr>
          <w:rFonts w:ascii="Times New Roman" w:cs="Times New Roman" w:eastAsia="Times New Roman" w:hAnsi="Times New Roman"/>
          <w:b/>
          <w:bCs/>
          <w:sz w:val="26"/>
          <w:szCs w:val="26"/>
        </w:rPr>
        <w:t xml:space="preserve">1. Câu hỏi nghiên cứu, dữ liệu và phương pháp</w:t>
      </w:r>
    </w:p>
    <w:p>
      <w:pPr>
        <w:pStyle w:val="Heading2"/>
        <w:keepNext/>
        <w:spacing w:after="80" w:before="120" w:line="312"/>
      </w:pPr>
      <w:r>
        <w:rPr>
          <w:rFonts w:ascii="Times New Roman" w:cs="Times New Roman" w:eastAsia="Times New Roman" w:hAnsi="Times New Roman"/>
          <w:b/>
          <w:bCs/>
          <w:i/>
          <w:iCs/>
          <w:sz w:val="26"/>
          <w:szCs w:val="26"/>
        </w:rPr>
        <w:t xml:space="preserve">1.1. Câu hỏi nghiên cứu</w:t>
      </w:r>
    </w:p>
    <w:p>
      <w:pPr>
        <w:spacing w:after="120" w:before="0" w:line="312"/>
        <w:ind w:firstLine="567"/>
        <w:jc w:val="both"/>
      </w:pPr>
      <w:r>
        <w:rPr>
          <w:rFonts w:ascii="Times New Roman" w:cs="Times New Roman" w:eastAsia="Times New Roman" w:hAnsi="Times New Roman"/>
          <w:sz w:val="26"/>
          <w:szCs w:val="26"/>
        </w:rPr>
        <w:t xml:space="preserve">Nghiên cứu xem xét liệu, trong nhóm người lao động LGBT tại Việt Nam, tần suất kỳ thị thể hiện tại nơi làm việc có liên hệ với mức độ triệu chứng lo âu và trầm cảm hay không, sau khi điều chỉnh các đặc điểm có trước phơi nhiễm. Nghiên cứu sử dụng thiết kế cắt ngang. Số liệu trong báo cáo lấy từ lần chạy Stata ngày 10/10/2026; mọi ước lượng không phụ thuộc vào số ngẫu nhiên đều khớp với bản tái lập độc lập bằng Python.</w:t>
      </w:r>
    </w:p>
    <w:p>
      <w:pPr>
        <w:pStyle w:val="Heading2"/>
        <w:keepNext/>
        <w:spacing w:after="80" w:before="120" w:line="312"/>
      </w:pPr>
      <w:r>
        <w:rPr>
          <w:rFonts w:ascii="Times New Roman" w:cs="Times New Roman" w:eastAsia="Times New Roman" w:hAnsi="Times New Roman"/>
          <w:b/>
          <w:bCs/>
          <w:i/>
          <w:iCs/>
          <w:sz w:val="26"/>
          <w:szCs w:val="26"/>
        </w:rPr>
        <w:t xml:space="preserve">1.2. Mẫu nghiên cứu</w:t>
      </w:r>
    </w:p>
    <w:p>
      <w:pPr>
        <w:spacing w:after="120" w:before="0" w:line="312"/>
        <w:ind w:firstLine="567"/>
        <w:jc w:val="both"/>
      </w:pPr>
      <w:r>
        <w:rPr>
          <w:rFonts w:ascii="Times New Roman" w:cs="Times New Roman" w:eastAsia="Times New Roman" w:hAnsi="Times New Roman"/>
          <w:sz w:val="26"/>
          <w:szCs w:val="26"/>
        </w:rPr>
        <w:t xml:space="preserve">Từ 850 phiếu nhận được, 727 người đủ điều kiện và 640 người phân loại được theo câu tự nhận diện LGBT. Mẫu ước lượng chính gồm 256 người lao động LGBT có đủ điểm PHQ-4, chỉ số kỳ thị và các đặc điểm có trước phơi nhiễm (Bảng 1).</w:t>
      </w:r>
    </w:p>
    <w:p>
      <w:pPr>
        <w:keepNext/>
        <w:spacing w:after="80" w:before="120" w:line="276"/>
        <w:jc w:val="left"/>
      </w:pPr>
      <w:r>
        <w:rPr>
          <w:rFonts w:ascii="Times New Roman" w:cs="Times New Roman" w:eastAsia="Times New Roman" w:hAnsi="Times New Roman"/>
          <w:b/>
          <w:bCs/>
          <w:sz w:val="26"/>
          <w:szCs w:val="26"/>
        </w:rPr>
        <w:t xml:space="preserve">Bảng 1. </w:t>
      </w:r>
      <w:r>
        <w:rPr>
          <w:rFonts w:ascii="Times New Roman" w:cs="Times New Roman" w:eastAsia="Times New Roman" w:hAnsi="Times New Roman"/>
          <w:i/>
          <w:iCs/>
          <w:sz w:val="26"/>
          <w:szCs w:val="26"/>
        </w:rPr>
        <w:t xml:space="preserve">Quá trình hình thành mẫu phân tích</w:t>
      </w:r>
    </w:p>
    <w:tbl>
      <w:tblPr>
        <w:tblW w:type="dxa" w:w="9071"/>
        <w:tblBorders>
          <w:top w:val="single" w:color="000000" w:sz="8"/>
          <w:left w:val="none" w:color="FFFFFF" w:sz="0"/>
          <w:bottom w:val="single" w:color="000000" w:sz="8"/>
          <w:right w:val="none" w:color="FFFFFF" w:sz="0"/>
          <w:insideH w:val="none" w:color="FFFFFF" w:sz="0"/>
          <w:insideV w:val="none" w:color="FFFFFF" w:sz="0"/>
        </w:tblBorders>
        <w:tblLayout w:type="fixed"/>
      </w:tblPr>
      <w:tblGrid>
        <w:gridCol w:w="5071"/>
        <w:gridCol w:w="1300"/>
        <w:gridCol w:w="1300"/>
        <w:gridCol w:w="1400"/>
      </w:tblGrid>
      <w:tr>
        <w:trPr>
          <w:tblHeader/>
        </w:trPr>
        <w:tc>
          <w:tcPr>
            <w:tcW w:type="dxa" w:w="5071"/>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sz w:val="22"/>
                <w:szCs w:val="22"/>
              </w:rPr>
              <w:t xml:space="preserve">Bước</w:t>
            </w:r>
          </w:p>
        </w:tc>
        <w:tc>
          <w:tcPr>
            <w:tcW w:type="dxa" w:w="13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Non-LGBT</w:t>
            </w:r>
          </w:p>
        </w:tc>
        <w:tc>
          <w:tcPr>
            <w:tcW w:type="dxa" w:w="13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LGBT</w:t>
            </w:r>
          </w:p>
        </w:tc>
        <w:tc>
          <w:tcPr>
            <w:tcW w:type="dxa" w:w="1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Tổng</w:t>
            </w:r>
          </w:p>
        </w:tc>
      </w:tr>
      <w:tr>
        <w:trPr>
          <w:cantSplit/>
        </w:trPr>
        <w:tc>
          <w:tcPr>
            <w:tcW w:type="dxa" w:w="50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sz w:val="22"/>
                <w:szCs w:val="22"/>
              </w:rPr>
              <w:t xml:space="preserve">Phiếu nhận được</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850</w:t>
            </w:r>
          </w:p>
        </w:tc>
      </w:tr>
      <w:tr>
        <w:trPr>
          <w:cantSplit/>
        </w:trPr>
        <w:tc>
          <w:tcPr>
            <w:tcW w:type="dxa" w:w="50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sz w:val="22"/>
                <w:szCs w:val="22"/>
              </w:rPr>
              <w:t xml:space="preserve">Đủ điều kiện (từ 18 tuổi, có việc làm chính)</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727</w:t>
            </w:r>
          </w:p>
        </w:tc>
      </w:tr>
      <w:tr>
        <w:trPr>
          <w:cantSplit/>
        </w:trPr>
        <w:tc>
          <w:tcPr>
            <w:tcW w:type="dxa" w:w="50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sz w:val="22"/>
                <w:szCs w:val="22"/>
              </w:rPr>
              <w:t xml:space="preserve">Phân loại được theo câu tự nhận diện</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340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300</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640</w:t>
            </w:r>
          </w:p>
        </w:tc>
      </w:tr>
      <w:tr>
        <w:trPr>
          <w:cantSplit/>
        </w:trPr>
        <w:tc>
          <w:tcPr>
            <w:tcW w:type="dxa" w:w="50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sz w:val="22"/>
                <w:szCs w:val="22"/>
              </w:rPr>
              <w:t xml:space="preserve">Có đủ điểm PHQ-4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323</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278</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601</w:t>
            </w:r>
          </w:p>
        </w:tc>
      </w:tr>
      <w:tr>
        <w:trPr>
          <w:cantSplit/>
        </w:trPr>
        <w:tc>
          <w:tcPr>
            <w:tcW w:type="dxa" w:w="50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sz w:val="22"/>
                <w:szCs w:val="22"/>
              </w:rPr>
              <w:t xml:space="preserve">Mẫu chính: đủ PHQ-4 và chỉ số kỳ thị</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278</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
            </w:r>
          </w:p>
        </w:tc>
      </w:tr>
      <w:tr>
        <w:trPr>
          <w:cantSplit/>
        </w:trPr>
        <w:tc>
          <w:tcPr>
            <w:tcW w:type="dxa" w:w="50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sz w:val="22"/>
                <w:szCs w:val="22"/>
              </w:rPr>
              <w:t xml:space="preserve">Mẫu ước lượng: đủ X</w:t>
            </w:r>
            <w:r>
              <w:rPr>
                <w:rFonts w:ascii="Times New Roman" w:cs="Times New Roman" w:eastAsia="Times New Roman" w:hAnsi="Times New Roman"/>
                <w:sz w:val="22"/>
                <w:szCs w:val="22"/>
                <w:vertAlign w:val="superscript"/>
              </w:rPr>
              <w:t xml:space="preserve">D</w:t>
            </w:r>
            <w:r>
              <w:rPr>
                <w:rFonts w:ascii="Times New Roman" w:cs="Times New Roman" w:eastAsia="Times New Roman" w:hAnsi="Times New Roman"/>
                <w:sz w:val="22"/>
                <w:szCs w:val="22"/>
              </w:rPr>
              <w:t xml:space="preserve">, quy tắc chính</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256</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
            </w:r>
          </w:p>
        </w:tc>
      </w:tr>
      <w:tr>
        <w:trPr>
          <w:cantSplit/>
        </w:trPr>
        <w:tc>
          <w:tcPr>
            <w:tcW w:type="dxa" w:w="50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sz w:val="22"/>
                <w:szCs w:val="22"/>
              </w:rPr>
              <w:t xml:space="preserve">Mẫu ước lượng: đủ X</w:t>
            </w:r>
            <w:r>
              <w:rPr>
                <w:rFonts w:ascii="Times New Roman" w:cs="Times New Roman" w:eastAsia="Times New Roman" w:hAnsi="Times New Roman"/>
                <w:sz w:val="22"/>
                <w:szCs w:val="22"/>
                <w:vertAlign w:val="superscript"/>
              </w:rPr>
              <w:t xml:space="preserve">D</w:t>
            </w:r>
            <w:r>
              <w:rPr>
                <w:rFonts w:ascii="Times New Roman" w:cs="Times New Roman" w:eastAsia="Times New Roman" w:hAnsi="Times New Roman"/>
                <w:sz w:val="22"/>
                <w:szCs w:val="22"/>
              </w:rPr>
              <w:t xml:space="preserve">, quy tắc thay thế</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247</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
            </w:r>
          </w:p>
        </w:tc>
      </w:tr>
      <w:tr>
        <w:trPr>
          <w:cantSplit/>
        </w:trPr>
        <w:tc>
          <w:tcPr>
            <w:tcW w:type="dxa" w:w="5071"/>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sz w:val="22"/>
                <w:szCs w:val="22"/>
              </w:rPr>
              <w:t xml:space="preserve">Mẫu E5: có điểm thực thi DEI</w:t>
            </w:r>
          </w:p>
        </w:tc>
        <w:tc>
          <w:tcPr>
            <w:tcW w:type="dxa" w:w="13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
            </w:r>
          </w:p>
        </w:tc>
        <w:tc>
          <w:tcPr>
            <w:tcW w:type="dxa" w:w="13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243</w:t>
            </w:r>
          </w:p>
        </w:tc>
        <w:tc>
          <w:tcPr>
            <w:tcW w:type="dxa" w:w="1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
            </w:r>
          </w:p>
        </w:tc>
      </w:tr>
    </w:tbl>
    <w:p>
      <w:pPr>
        <w:spacing w:after="200" w:before="60" w:line="264"/>
        <w:jc w:val="both"/>
      </w:pPr>
      <w:r>
        <w:rPr>
          <w:rFonts w:ascii="Times New Roman" w:cs="Times New Roman" w:eastAsia="Times New Roman" w:hAnsi="Times New Roman"/>
          <w:i/>
          <w:iCs/>
          <w:sz w:val="22"/>
          <w:szCs w:val="22"/>
        </w:rPr>
        <w:t xml:space="preserve">Ghi chú. </w:t>
      </w:r>
      <w:r>
        <w:rPr>
          <w:rFonts w:ascii="Times New Roman" w:cs="Times New Roman" w:eastAsia="Times New Roman" w:hAnsi="Times New Roman"/>
          <w:sz w:val="22"/>
          <w:szCs w:val="22"/>
        </w:rPr>
        <w:t xml:space="preserve">Quy tắc chính coi phương án “không muốn trả lời” ở các biến kiểm soát là một nhóm riêng; quy tắc thay thế coi đó là giá trị thiếu.</w:t>
      </w:r>
    </w:p>
    <w:p>
      <w:pPr>
        <w:pStyle w:val="Heading2"/>
        <w:keepNext/>
        <w:spacing w:after="80" w:before="120" w:line="312"/>
      </w:pPr>
      <w:r>
        <w:rPr>
          <w:rFonts w:ascii="Times New Roman" w:cs="Times New Roman" w:eastAsia="Times New Roman" w:hAnsi="Times New Roman"/>
          <w:b/>
          <w:bCs/>
          <w:i/>
          <w:iCs/>
          <w:sz w:val="26"/>
          <w:szCs w:val="26"/>
        </w:rPr>
        <w:t xml:space="preserve">1.3. Thước đo và mô hình</w:t>
      </w:r>
    </w:p>
    <w:p>
      <w:pPr>
        <w:spacing w:after="120" w:before="0" w:line="312"/>
        <w:ind w:firstLine="567"/>
        <w:jc w:val="both"/>
      </w:pPr>
      <w:r>
        <w:rPr>
          <w:rFonts w:ascii="Times New Roman" w:cs="Times New Roman" w:eastAsia="Times New Roman" w:hAnsi="Times New Roman"/>
          <w:sz w:val="26"/>
          <w:szCs w:val="26"/>
        </w:rPr>
        <w:t xml:space="preserve">Triệu chứng lo âu và trầm cảm trong hai tuần gần nhất được đo bằng PHQ-4 (0–12 điểm), gồm hai thang con GAD-2 (lo âu) và PHQ-2 (trầm cảm), mỗi thang 0–6 điểm. Ngưỡng 6 điểm của PHQ-4 chỉ được dùng để mô tả tỷ lệ vượt ngưỡng sàng lọc, không mang ý nghĩa chẩn đoán. Chỉ số kỳ thị S là trung bình tần suất của bảy tình huống kỳ thị tại nơi làm việc trong 12 tháng, từ 0 (không bao giờ) đến 4 (rất thường xuyên).</w:t>
      </w:r>
    </w:p>
    <w:p>
      <w:pPr>
        <w:spacing w:after="120" w:before="0" w:line="312"/>
        <w:ind w:firstLine="567"/>
        <w:jc w:val="both"/>
      </w:pPr>
      <w:r>
        <w:rPr>
          <w:rFonts w:ascii="Times New Roman" w:cs="Times New Roman" w:eastAsia="Times New Roman" w:hAnsi="Times New Roman"/>
          <w:sz w:val="26"/>
          <w:szCs w:val="26"/>
        </w:rPr>
        <w:t xml:space="preserve">Mô hình chính là hồi quy OLS với sai số chuẩn HC3, điều chỉnh các đặc điểm có trước phơi nhiễm (X</w:t>
      </w:r>
      <w:r>
        <w:rPr>
          <w:rFonts w:ascii="Times New Roman" w:cs="Times New Roman" w:eastAsia="Times New Roman" w:hAnsi="Times New Roman"/>
          <w:sz w:val="26"/>
          <w:szCs w:val="26"/>
          <w:vertAlign w:val="superscript"/>
        </w:rPr>
        <w:t xml:space="preserve">D</w:t>
      </w:r>
      <w:r>
        <w:rPr>
          <w:rFonts w:ascii="Times New Roman" w:cs="Times New Roman" w:eastAsia="Times New Roman" w:hAnsi="Times New Roman"/>
          <w:sz w:val="26"/>
          <w:szCs w:val="26"/>
        </w:rPr>
        <w:t xml:space="preserve">): nhóm tuổi, giới tính khi sinh, học vấn, tình trạng quan hệ và địa bàn làm việc. Đại lượng ước lượng η là chênh lệch điểm triệu chứng trung bình giữa hai người lao động LGBT có chỉ số kỳ thị chênh nhau một đơn vị nhưng giống nhau về các đặc điểm này. Giá trị p của H2a, H2b và H3 được hiệu chỉnh theo Holm; của E2 và E4 theo Benjamini-Hochberg. Khi khoảng tin cậy 95% (KTC 95%) chứa cả 0 và những giá trị có ý nghĩa thực tiễn, kết quả được kết luận là chưa xác định.</w:t>
      </w:r>
    </w:p>
    <w:p>
      <w:pPr>
        <w:keepNext/>
        <w:spacing w:after="120" w:before="0" w:line="312"/>
        <w:ind w:firstLine="567"/>
        <w:jc w:val="both"/>
      </w:pPr>
      <w:r>
        <w:rPr>
          <w:rFonts w:ascii="Times New Roman" w:cs="Times New Roman" w:eastAsia="Times New Roman" w:hAnsi="Times New Roman"/>
          <w:sz w:val="26"/>
          <w:szCs w:val="26"/>
        </w:rPr>
        <w:t xml:space="preserve">Một đơn vị S tương ứng với việc cả bảy tình huống cùng tăng một bậc tần suất, lớn hơn nhiều so với phân bố thực tế của mẫu (độ lệch chuẩn 0,48; trung vị 0,14). Vì vậy, bên cạnh hệ số trên một đơn vị S, báo cáo trình bày thêm hệ số trên một độ lệch chuẩn của S. Bảng 2 mô tả các biến nghiên cứu.</w:t>
      </w:r>
    </w:p>
    <w:p>
      <w:pPr>
        <w:keepNext/>
        <w:spacing w:after="80" w:before="120" w:line="276"/>
        <w:jc w:val="left"/>
      </w:pPr>
      <w:r>
        <w:rPr>
          <w:rFonts w:ascii="Times New Roman" w:cs="Times New Roman" w:eastAsia="Times New Roman" w:hAnsi="Times New Roman"/>
          <w:b/>
          <w:bCs/>
          <w:sz w:val="26"/>
          <w:szCs w:val="26"/>
        </w:rPr>
        <w:t xml:space="preserve">Bảng 2. </w:t>
      </w:r>
      <w:r>
        <w:rPr>
          <w:rFonts w:ascii="Times New Roman" w:cs="Times New Roman" w:eastAsia="Times New Roman" w:hAnsi="Times New Roman"/>
          <w:i/>
          <w:iCs/>
          <w:sz w:val="26"/>
          <w:szCs w:val="26"/>
        </w:rPr>
        <w:t xml:space="preserve">Thống kê mô tả các biến nghiên cứu trong mẫu ước lượng</w:t>
      </w:r>
    </w:p>
    <w:tbl>
      <w:tblPr>
        <w:tblW w:type="dxa" w:w="9071"/>
        <w:tblBorders>
          <w:top w:val="single" w:color="000000" w:sz="8"/>
          <w:left w:val="none" w:color="FFFFFF" w:sz="0"/>
          <w:bottom w:val="single" w:color="000000" w:sz="8"/>
          <w:right w:val="none" w:color="FFFFFF" w:sz="0"/>
          <w:insideH w:val="none" w:color="FFFFFF" w:sz="0"/>
          <w:insideV w:val="none" w:color="FFFFFF" w:sz="0"/>
        </w:tblBorders>
        <w:tblLayout w:type="fixed"/>
      </w:tblPr>
      <w:tblGrid>
        <w:gridCol w:w="3271"/>
        <w:gridCol w:w="900"/>
        <w:gridCol w:w="1300"/>
        <w:gridCol w:w="1300"/>
        <w:gridCol w:w="1100"/>
        <w:gridCol w:w="1200"/>
      </w:tblGrid>
      <w:tr>
        <w:trPr>
          <w:tblHeader/>
        </w:trPr>
        <w:tc>
          <w:tcPr>
            <w:tcW w:type="dxa" w:w="3271"/>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sz w:val="22"/>
                <w:szCs w:val="22"/>
              </w:rPr>
              <w:t xml:space="preserve">Biến</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n</w:t>
            </w:r>
          </w:p>
        </w:tc>
        <w:tc>
          <w:tcPr>
            <w:tcW w:type="dxa" w:w="13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Trung bình</w:t>
            </w:r>
          </w:p>
        </w:tc>
        <w:tc>
          <w:tcPr>
            <w:tcW w:type="dxa" w:w="13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Độ lệch chuẩn</w:t>
            </w:r>
          </w:p>
        </w:tc>
        <w:tc>
          <w:tcPr>
            <w:tcW w:type="dxa" w:w="11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Trung vị</w:t>
            </w:r>
          </w:p>
        </w:tc>
        <w:tc>
          <w:tcPr>
            <w:tcW w:type="dxa" w:w="1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Khoảng quan sát</w:t>
            </w:r>
          </w:p>
        </w:tc>
      </w:tr>
      <w:tr>
        <w:trPr>
          <w:cantSplit/>
        </w:trPr>
        <w:tc>
          <w:tcPr>
            <w:tcW w:type="dxa" w:w="32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sz w:val="22"/>
                <w:szCs w:val="22"/>
              </w:rPr>
              <w:t xml:space="preserve">PHQ-4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256</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3,30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3,19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3,00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0–12</w:t>
            </w:r>
          </w:p>
        </w:tc>
      </w:tr>
      <w:tr>
        <w:trPr>
          <w:cantSplit/>
        </w:trPr>
        <w:tc>
          <w:tcPr>
            <w:tcW w:type="dxa" w:w="32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sz w:val="22"/>
                <w:szCs w:val="22"/>
              </w:rPr>
              <w:t xml:space="preserve">GAD-2</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256</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1,60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1,66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1,00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0–6</w:t>
            </w:r>
          </w:p>
        </w:tc>
      </w:tr>
      <w:tr>
        <w:trPr>
          <w:cantSplit/>
        </w:trPr>
        <w:tc>
          <w:tcPr>
            <w:tcW w:type="dxa" w:w="32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sz w:val="22"/>
                <w:szCs w:val="22"/>
              </w:rPr>
              <w:t xml:space="preserve">PHQ-2</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256</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1,70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1,79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1,00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0–6</w:t>
            </w:r>
          </w:p>
        </w:tc>
      </w:tr>
      <w:tr>
        <w:trPr>
          <w:cantSplit/>
        </w:trPr>
        <w:tc>
          <w:tcPr>
            <w:tcW w:type="dxa" w:w="32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sz w:val="22"/>
                <w:szCs w:val="22"/>
              </w:rPr>
              <w:t xml:space="preserve">Chỉ số kỳ thị S</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256</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0,33</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0,48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0,14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0–2,86</w:t>
            </w:r>
          </w:p>
        </w:tc>
      </w:tr>
      <w:tr>
        <w:trPr>
          <w:cantSplit/>
        </w:trPr>
        <w:tc>
          <w:tcPr>
            <w:tcW w:type="dxa" w:w="32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sz w:val="22"/>
                <w:szCs w:val="22"/>
              </w:rPr>
              <w:t xml:space="preserve">Che giấu danh tính C</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254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2,93</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1,14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3,00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1–5</w:t>
            </w:r>
          </w:p>
        </w:tc>
      </w:tr>
      <w:tr>
        <w:trPr>
          <w:cantSplit/>
        </w:trPr>
        <w:tc>
          <w:tcPr>
            <w:tcW w:type="dxa" w:w="3271"/>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sz w:val="22"/>
                <w:szCs w:val="22"/>
              </w:rPr>
              <w:t xml:space="preserve">Thực thi DEI được cảm nhận Q</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243</w:t>
            </w:r>
          </w:p>
        </w:tc>
        <w:tc>
          <w:tcPr>
            <w:tcW w:type="dxa" w:w="13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3,35</w:t>
            </w:r>
          </w:p>
        </w:tc>
        <w:tc>
          <w:tcPr>
            <w:tcW w:type="dxa" w:w="13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0,78</w:t>
            </w:r>
          </w:p>
        </w:tc>
        <w:tc>
          <w:tcPr>
            <w:tcW w:type="dxa" w:w="11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3,33</w:t>
            </w:r>
          </w:p>
        </w:tc>
        <w:tc>
          <w:tcPr>
            <w:tcW w:type="dxa" w:w="1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1–5</w:t>
            </w:r>
          </w:p>
        </w:tc>
      </w:tr>
    </w:tbl>
    <w:p>
      <w:pPr>
        <w:spacing w:after="200" w:before="60" w:line="264"/>
        <w:jc w:val="both"/>
      </w:pPr>
      <w:r>
        <w:rPr>
          <w:rFonts w:ascii="Times New Roman" w:cs="Times New Roman" w:eastAsia="Times New Roman" w:hAnsi="Times New Roman"/>
          <w:i/>
          <w:iCs/>
          <w:sz w:val="22"/>
          <w:szCs w:val="22"/>
        </w:rPr>
        <w:t xml:space="preserve">Ghi chú. </w:t>
      </w:r>
      <w:r>
        <w:rPr>
          <w:rFonts w:ascii="Times New Roman" w:cs="Times New Roman" w:eastAsia="Times New Roman" w:hAnsi="Times New Roman"/>
          <w:sz w:val="22"/>
          <w:szCs w:val="22"/>
        </w:rPr>
        <w:t xml:space="preserve">21,5% người trong mẫu có điểm PHQ-4 từ 6 trở lên; 55,1% gặp ít nhất một trong bảy tình huống kỳ thị. Hệ số tương quan giữa S và PHQ-4 là r = 0,23.</w:t>
      </w:r>
    </w:p>
    <w:p>
      <w:pPr>
        <w:pStyle w:val="Heading1"/>
        <w:keepNext/>
        <w:spacing w:after="120" w:before="240" w:line="312"/>
      </w:pPr>
      <w:r>
        <w:rPr>
          <w:rFonts w:ascii="Times New Roman" w:cs="Times New Roman" w:eastAsia="Times New Roman" w:hAnsi="Times New Roman"/>
          <w:b/>
          <w:bCs/>
          <w:sz w:val="26"/>
          <w:szCs w:val="26"/>
        </w:rPr>
        <w:t xml:space="preserve">2. Kết quả kiểm định giả thuyết</w:t>
      </w:r>
    </w:p>
    <w:p>
      <w:pPr>
        <w:keepNext/>
        <w:spacing w:after="120" w:before="0" w:line="312"/>
        <w:ind w:firstLine="567"/>
        <w:jc w:val="both"/>
      </w:pPr>
      <w:r>
        <w:rPr>
          <w:rFonts w:ascii="Times New Roman" w:cs="Times New Roman" w:eastAsia="Times New Roman" w:hAnsi="Times New Roman"/>
          <w:sz w:val="26"/>
          <w:szCs w:val="26"/>
        </w:rPr>
        <w:t xml:space="preserve">Ba trong bốn giả thuyết được ủng hộ. Chỉ số kỳ thị liên hệ đồng biến với điểm PHQ-4 (H1), với điểm lo âu (H2a) và với điểm trầm cảm (H2b). Giả thuyết về đường dẫn qua che giấu danh tính (H3) không được ủng hộ (Bảng 3).</w:t>
      </w:r>
    </w:p>
    <w:p>
      <w:pPr>
        <w:keepNext/>
        <w:spacing w:after="80" w:before="120" w:line="276"/>
        <w:jc w:val="left"/>
      </w:pPr>
      <w:r>
        <w:rPr>
          <w:rFonts w:ascii="Times New Roman" w:cs="Times New Roman" w:eastAsia="Times New Roman" w:hAnsi="Times New Roman"/>
          <w:b/>
          <w:bCs/>
          <w:sz w:val="26"/>
          <w:szCs w:val="26"/>
        </w:rPr>
        <w:t xml:space="preserve">Bảng 3. </w:t>
      </w:r>
      <w:r>
        <w:rPr>
          <w:rFonts w:ascii="Times New Roman" w:cs="Times New Roman" w:eastAsia="Times New Roman" w:hAnsi="Times New Roman"/>
          <w:i/>
          <w:iCs/>
          <w:sz w:val="26"/>
          <w:szCs w:val="26"/>
        </w:rPr>
        <w:t xml:space="preserve">Kết quả kiểm định các giả thuyết H1–H3</w:t>
      </w:r>
    </w:p>
    <w:tbl>
      <w:tblPr>
        <w:tblW w:type="dxa" w:w="9071"/>
        <w:tblBorders>
          <w:top w:val="single" w:color="000000" w:sz="8"/>
          <w:left w:val="none" w:color="FFFFFF" w:sz="0"/>
          <w:bottom w:val="single" w:color="000000" w:sz="8"/>
          <w:right w:val="none" w:color="FFFFFF" w:sz="0"/>
          <w:insideH w:val="none" w:color="FFFFFF" w:sz="0"/>
          <w:insideV w:val="none" w:color="FFFFFF" w:sz="0"/>
        </w:tblBorders>
        <w:tblLayout w:type="fixed"/>
      </w:tblPr>
      <w:tblGrid>
        <w:gridCol w:w="900"/>
        <w:gridCol w:w="1650"/>
        <w:gridCol w:w="2271"/>
        <w:gridCol w:w="1750"/>
        <w:gridCol w:w="1100"/>
        <w:gridCol w:w="1400"/>
      </w:tblGrid>
      <w:tr>
        <w:trPr>
          <w:tblHeader/>
        </w:trPr>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sz w:val="22"/>
                <w:szCs w:val="22"/>
              </w:rPr>
              <w:t xml:space="preserve">Giả thuyết</w:t>
            </w:r>
          </w:p>
        </w:tc>
        <w:tc>
          <w:tcPr>
            <w:tcW w:type="dxa" w:w="16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Biến phụ thuộc</w:t>
            </w:r>
          </w:p>
        </w:tc>
        <w:tc>
          <w:tcPr>
            <w:tcW w:type="dxa" w:w="2271"/>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Hệ số trên 1 đơn vị S [KTC 95%]</w:t>
            </w:r>
          </w:p>
        </w:tc>
        <w:tc>
          <w:tcPr>
            <w:tcW w:type="dxa" w:w="17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Hệ số trên 1 ĐLC của S [KTC 95%]</w:t>
            </w:r>
          </w:p>
        </w:tc>
        <w:tc>
          <w:tcPr>
            <w:tcW w:type="dxa" w:w="11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p</w:t>
            </w:r>
          </w:p>
        </w:tc>
        <w:tc>
          <w:tcPr>
            <w:tcW w:type="dxa" w:w="1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Kết luận</w:t>
            </w:r>
          </w:p>
        </w:tc>
      </w:tr>
      <w:tr>
        <w:trPr>
          <w:cantSplit/>
        </w:trP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sz w:val="22"/>
                <w:szCs w:val="22"/>
              </w:rPr>
              <w:t xml:space="preserve">H1</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PHQ-4</w:t>
            </w:r>
          </w:p>
        </w:tc>
        <w:tc>
          <w:tcPr>
            <w:tcW w:type="dxa" w:w="22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1,72 [0,74; 2,69]</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0,82 [0,35; 1,28]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&lt; 0,001</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Được ủng hộ</w:t>
            </w:r>
          </w:p>
        </w:tc>
      </w:tr>
      <w:tr>
        <w:trPr>
          <w:cantSplit/>
        </w:trP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sz w:val="22"/>
                <w:szCs w:val="22"/>
              </w:rPr>
              <w:t xml:space="preserve">H2a</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GAD-2</w:t>
            </w:r>
          </w:p>
        </w:tc>
        <w:tc>
          <w:tcPr>
            <w:tcW w:type="dxa" w:w="22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0,75 [0,24; 1,26]</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0,36 [0,11; 0,60]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0,009</w:t>
            </w:r>
            <w:r>
              <w:rPr>
                <w:rFonts w:ascii="Times New Roman" w:cs="Times New Roman" w:eastAsia="Times New Roman" w:hAnsi="Times New Roman"/>
                <w:sz w:val="22"/>
                <w:szCs w:val="22"/>
                <w:vertAlign w:val="superscript"/>
              </w:rPr>
              <w:t xml:space="preserve">a</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Được ủng hộ</w:t>
            </w:r>
          </w:p>
        </w:tc>
      </w:tr>
      <w:tr>
        <w:trPr>
          <w:cantSplit/>
        </w:trP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sz w:val="22"/>
                <w:szCs w:val="22"/>
              </w:rPr>
              <w:t xml:space="preserve">H2b</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PHQ-2</w:t>
            </w:r>
          </w:p>
        </w:tc>
        <w:tc>
          <w:tcPr>
            <w:tcW w:type="dxa" w:w="22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0,97 [0,44; 1,49]</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0,46 [0,21; 0,71]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0,001</w:t>
            </w:r>
            <w:r>
              <w:rPr>
                <w:rFonts w:ascii="Times New Roman" w:cs="Times New Roman" w:eastAsia="Times New Roman" w:hAnsi="Times New Roman"/>
                <w:sz w:val="22"/>
                <w:szCs w:val="22"/>
                <w:vertAlign w:val="superscript"/>
              </w:rPr>
              <w:t xml:space="preserve">a</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Được ủng hộ</w:t>
            </w:r>
          </w:p>
        </w:tc>
      </w:tr>
      <w:tr>
        <w:trPr>
          <w:cantSplit/>
        </w:trPr>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sz w:val="22"/>
                <w:szCs w:val="22"/>
              </w:rPr>
              <w:t xml:space="preserve">H3</w:t>
            </w:r>
          </w:p>
        </w:tc>
        <w:tc>
          <w:tcPr>
            <w:tcW w:type="dxa" w:w="16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Đường dẫn qua che giấu danh tính</w:t>
            </w:r>
          </w:p>
        </w:tc>
        <w:tc>
          <w:tcPr>
            <w:tcW w:type="dxa" w:w="2271"/>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a = 0,25 [−0,08; 0,59]; b = 0,31 [−0,06; 0,68]</w:t>
            </w:r>
          </w:p>
        </w:tc>
        <w:tc>
          <w:tcPr>
            <w:tcW w:type="dxa" w:w="175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Không áp dụng</w:t>
            </w:r>
          </w:p>
        </w:tc>
        <w:tc>
          <w:tcPr>
            <w:tcW w:type="dxa" w:w="11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0,140</w:t>
            </w:r>
            <w:r>
              <w:rPr>
                <w:rFonts w:ascii="Times New Roman" w:cs="Times New Roman" w:eastAsia="Times New Roman" w:hAnsi="Times New Roman"/>
                <w:sz w:val="22"/>
                <w:szCs w:val="22"/>
                <w:vertAlign w:val="superscript"/>
              </w:rPr>
              <w:t xml:space="preserve">a, b</w:t>
            </w:r>
          </w:p>
        </w:tc>
        <w:tc>
          <w:tcPr>
            <w:tcW w:type="dxa" w:w="1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Không được ủng hộ</w:t>
            </w:r>
          </w:p>
        </w:tc>
      </w:tr>
    </w:tbl>
    <w:p>
      <w:pPr>
        <w:spacing w:after="200" w:before="60" w:line="264"/>
        <w:jc w:val="both"/>
      </w:pPr>
      <w:r>
        <w:rPr>
          <w:rFonts w:ascii="Times New Roman" w:cs="Times New Roman" w:eastAsia="Times New Roman" w:hAnsi="Times New Roman"/>
          <w:i/>
          <w:iCs/>
          <w:sz w:val="22"/>
          <w:szCs w:val="22"/>
        </w:rPr>
        <w:t xml:space="preserve">Ghi chú. </w:t>
      </w:r>
      <w:r>
        <w:rPr>
          <w:rFonts w:ascii="Times New Roman" w:cs="Times New Roman" w:eastAsia="Times New Roman" w:hAnsi="Times New Roman"/>
          <w:sz w:val="22"/>
          <w:szCs w:val="22"/>
        </w:rPr>
        <w:t xml:space="preserve">n = 256 (H3: n = 254). Hồi quy OLS, sai số chuẩn HC3, điều chỉnh X</w:t>
      </w:r>
      <w:r>
        <w:rPr>
          <w:rFonts w:ascii="Times New Roman" w:cs="Times New Roman" w:eastAsia="Times New Roman" w:hAnsi="Times New Roman"/>
          <w:sz w:val="22"/>
          <w:szCs w:val="22"/>
          <w:vertAlign w:val="superscript"/>
        </w:rPr>
        <w:t xml:space="preserve">D</w:t>
      </w:r>
      <w:r>
        <w:rPr>
          <w:rFonts w:ascii="Times New Roman" w:cs="Times New Roman" w:eastAsia="Times New Roman" w:hAnsi="Times New Roman"/>
          <w:sz w:val="22"/>
          <w:szCs w:val="22"/>
        </w:rPr>
        <w:t xml:space="preserve">. ĐLC: độ lệch chuẩn. a: hệ số của S đối với điểm che giấu C; b: hệ số của C đối với PHQ-4 khi giữ nguyên S. </w:t>
      </w:r>
      <w:r>
        <w:rPr>
          <w:rFonts w:ascii="Times New Roman" w:cs="Times New Roman" w:eastAsia="Times New Roman" w:hAnsi="Times New Roman"/>
          <w:sz w:val="22"/>
          <w:szCs w:val="22"/>
          <w:vertAlign w:val="superscript"/>
        </w:rPr>
        <w:t xml:space="preserve">a</w:t>
      </w:r>
      <w:r>
        <w:rPr>
          <w:rFonts w:ascii="Times New Roman" w:cs="Times New Roman" w:eastAsia="Times New Roman" w:hAnsi="Times New Roman"/>
          <w:sz w:val="22"/>
          <w:szCs w:val="22"/>
        </w:rPr>
        <w:t xml:space="preserve"> Giá trị p hiệu chỉnh Holm. </w:t>
      </w:r>
      <w:r>
        <w:rPr>
          <w:rFonts w:ascii="Times New Roman" w:cs="Times New Roman" w:eastAsia="Times New Roman" w:hAnsi="Times New Roman"/>
          <w:sz w:val="22"/>
          <w:szCs w:val="22"/>
          <w:vertAlign w:val="superscript"/>
        </w:rPr>
        <w:t xml:space="preserve">b</w:t>
      </w:r>
      <w:r>
        <w:rPr>
          <w:rFonts w:ascii="Times New Roman" w:cs="Times New Roman" w:eastAsia="Times New Roman" w:hAnsi="Times New Roman"/>
          <w:sz w:val="22"/>
          <w:szCs w:val="22"/>
        </w:rPr>
        <w:t xml:space="preserve"> Kiểm định giao-hợp: giá trị p lớn hơn trong hai nhánh a và b.</w:t>
      </w:r>
    </w:p>
    <w:p>
      <w:pPr>
        <w:pStyle w:val="Heading2"/>
        <w:keepNext/>
        <w:spacing w:after="80" w:before="120" w:line="312"/>
      </w:pPr>
      <w:r>
        <w:rPr>
          <w:rFonts w:ascii="Times New Roman" w:cs="Times New Roman" w:eastAsia="Times New Roman" w:hAnsi="Times New Roman"/>
          <w:b/>
          <w:bCs/>
          <w:i/>
          <w:iCs/>
          <w:sz w:val="26"/>
          <w:szCs w:val="26"/>
        </w:rPr>
        <w:t xml:space="preserve">2.1. Giả thuyết H1</w:t>
      </w:r>
    </w:p>
    <w:p>
      <w:pPr>
        <w:spacing w:after="120" w:before="0" w:line="312"/>
        <w:ind w:firstLine="567"/>
        <w:jc w:val="both"/>
      </w:pPr>
      <w:r>
        <w:rPr>
          <w:rFonts w:ascii="Times New Roman" w:cs="Times New Roman" w:eastAsia="Times New Roman" w:hAnsi="Times New Roman"/>
          <w:sz w:val="26"/>
          <w:szCs w:val="26"/>
        </w:rPr>
        <w:t xml:space="preserve">Với cùng đặc điểm có trước phơi nhiễm, chênh lệch một độ lệch chuẩn của chỉ số kỳ thị đi kèm điểm PHQ-4 cao hơn 0,82 điểm, tương đương 0,26 độ lệch chuẩn của PHQ-4. Đây là mức liên hệ nhỏ đến vừa. Trên thang 12 điểm, mức chênh này gần bằng việc một triệu chứng tăng thêm một bậc, chẳng hạn từ “không ngày nào” lên “vài ngày”.</w:t>
      </w:r>
    </w:p>
    <w:p>
      <w:pPr>
        <w:spacing w:after="120" w:before="0" w:line="312"/>
        <w:ind w:firstLine="567"/>
        <w:jc w:val="both"/>
      </w:pPr>
      <w:r>
        <w:rPr>
          <w:rFonts w:ascii="Times New Roman" w:cs="Times New Roman" w:eastAsia="Times New Roman" w:hAnsi="Times New Roman"/>
          <w:sz w:val="26"/>
          <w:szCs w:val="26"/>
        </w:rPr>
        <w:t xml:space="preserve">Hệ số trên một đơn vị S (1,72) vượt ngưỡng hiệu ứng nhỏ nhất có ý nghĩa đã xác định trước là 1,0 điểm. Tuy nhiên, cận dưới của khoảng tin cậy 90% là 0,90. Theo quy tắc quyết định đã chốt, kết luận là có mối liên hệ dương, chưa khẳng định được mối liên hệ vượt ngưỡng này. Kết quả ổn định khi điều chỉnh thêm đặc điểm công việc (1,93 [0,65; 3,21]; n = 225) và khi coi “không muốn trả lời” là giá trị thiếu (1,79 [0,79; 2,78]; n = 247).</w:t>
      </w:r>
    </w:p>
    <w:p>
      <w:pPr>
        <w:pStyle w:val="Heading2"/>
        <w:keepNext/>
        <w:spacing w:after="80" w:before="120" w:line="312"/>
      </w:pPr>
      <w:r>
        <w:rPr>
          <w:rFonts w:ascii="Times New Roman" w:cs="Times New Roman" w:eastAsia="Times New Roman" w:hAnsi="Times New Roman"/>
          <w:b/>
          <w:bCs/>
          <w:i/>
          <w:iCs/>
          <w:sz w:val="26"/>
          <w:szCs w:val="26"/>
        </w:rPr>
        <w:t xml:space="preserve">2.2. Giả thuyết H2a và H2b</w:t>
      </w:r>
    </w:p>
    <w:p>
      <w:pPr>
        <w:spacing w:after="120" w:before="0" w:line="312"/>
        <w:ind w:firstLine="567"/>
        <w:jc w:val="both"/>
      </w:pPr>
      <w:r>
        <w:rPr>
          <w:rFonts w:ascii="Times New Roman" w:cs="Times New Roman" w:eastAsia="Times New Roman" w:hAnsi="Times New Roman"/>
          <w:sz w:val="26"/>
          <w:szCs w:val="26"/>
        </w:rPr>
        <w:t xml:space="preserve">Kỳ thị đi kèm điểm cao hơn ở cả thang lo âu và thang trầm cảm, và cả hai kết quả vẫn có ý nghĩa sau hiệu chỉnh Holm. Hiệu giữa hai hệ số (GAD-2 trừ PHQ-2) là −0,22 [−0,55; 0,12]. Dữ liệu vì vậy không cho phép kết luận kỳ thị liên hệ mạnh hơn với chiều triệu chứng nào.</w:t>
      </w:r>
    </w:p>
    <w:p>
      <w:pPr>
        <w:pStyle w:val="Heading2"/>
        <w:keepNext/>
        <w:spacing w:after="80" w:before="120" w:line="312"/>
      </w:pPr>
      <w:r>
        <w:rPr>
          <w:rFonts w:ascii="Times New Roman" w:cs="Times New Roman" w:eastAsia="Times New Roman" w:hAnsi="Times New Roman"/>
          <w:b/>
          <w:bCs/>
          <w:i/>
          <w:iCs/>
          <w:sz w:val="26"/>
          <w:szCs w:val="26"/>
        </w:rPr>
        <w:t xml:space="preserve">2.3. Giả thuyết H3</w:t>
      </w:r>
    </w:p>
    <w:p>
      <w:pPr>
        <w:spacing w:after="120" w:before="0" w:line="312"/>
        <w:ind w:firstLine="567"/>
        <w:jc w:val="both"/>
      </w:pPr>
      <w:r>
        <w:rPr>
          <w:rFonts w:ascii="Times New Roman" w:cs="Times New Roman" w:eastAsia="Times New Roman" w:hAnsi="Times New Roman"/>
          <w:sz w:val="26"/>
          <w:szCs w:val="26"/>
        </w:rPr>
        <w:t xml:space="preserve">Cả hai nhánh của đường dẫn đều mang dấu dương, nhưng khoảng tin cậy của cả hai đều chứa 0 và cả những giá trị đáng kể. Kết quả này là chưa xác định: dữ liệu không ủng hộ đường dẫn qua che giấu danh tính, nhưng cũng không cho thấy che giấu không có vai trò. Khi đưa điểm che giấu vào mô hình, hệ số của kỳ thị hầu như không đổi (1,88 [0,85; 2,90]); tích a × b ước lượng bằng bootstrap là 0,08 [−0,03; 0,25].</w:t>
      </w:r>
    </w:p>
    <w:p>
      <w:pPr>
        <w:pStyle w:val="Heading1"/>
        <w:keepNext/>
        <w:spacing w:after="120" w:before="240" w:line="312"/>
      </w:pPr>
      <w:r>
        <w:rPr>
          <w:rFonts w:ascii="Times New Roman" w:cs="Times New Roman" w:eastAsia="Times New Roman" w:hAnsi="Times New Roman"/>
          <w:b/>
          <w:bCs/>
          <w:sz w:val="26"/>
          <w:szCs w:val="26"/>
        </w:rPr>
        <w:t xml:space="preserve">3. Phân tích thăm dò</w:t>
      </w:r>
    </w:p>
    <w:p>
      <w:pPr>
        <w:keepNext/>
        <w:spacing w:after="120" w:before="0" w:line="312"/>
        <w:ind w:firstLine="567"/>
        <w:jc w:val="both"/>
      </w:pPr>
      <w:r>
        <w:rPr>
          <w:rFonts w:ascii="Times New Roman" w:cs="Times New Roman" w:eastAsia="Times New Roman" w:hAnsi="Times New Roman"/>
          <w:sz w:val="26"/>
          <w:szCs w:val="26"/>
        </w:rPr>
        <w:t xml:space="preserve">Các phân tích E1–E5 mang tính thăm dò. Kết quả được dùng để mô tả thêm, không dùng để củng cố kết luận về các giả thuyết. Bảng 4 trình bày các hệ số; Bảng 5 mô tả điểm PHQ-4 theo nhóm.</w:t>
      </w:r>
    </w:p>
    <w:p>
      <w:pPr>
        <w:keepNext/>
        <w:spacing w:after="80" w:before="120" w:line="276"/>
        <w:jc w:val="left"/>
      </w:pPr>
      <w:r>
        <w:rPr>
          <w:rFonts w:ascii="Times New Roman" w:cs="Times New Roman" w:eastAsia="Times New Roman" w:hAnsi="Times New Roman"/>
          <w:b/>
          <w:bCs/>
          <w:sz w:val="26"/>
          <w:szCs w:val="26"/>
        </w:rPr>
        <w:t xml:space="preserve">Bảng 4. </w:t>
      </w:r>
      <w:r>
        <w:rPr>
          <w:rFonts w:ascii="Times New Roman" w:cs="Times New Roman" w:eastAsia="Times New Roman" w:hAnsi="Times New Roman"/>
          <w:i/>
          <w:iCs/>
          <w:sz w:val="26"/>
          <w:szCs w:val="26"/>
        </w:rPr>
        <w:t xml:space="preserve">Kết quả các phân tích thăm dò (biến phụ thuộc: PHQ-4)</w:t>
      </w:r>
    </w:p>
    <w:tbl>
      <w:tblPr>
        <w:tblW w:type="dxa" w:w="9071"/>
        <w:tblBorders>
          <w:top w:val="single" w:color="000000" w:sz="8"/>
          <w:left w:val="none" w:color="FFFFFF" w:sz="0"/>
          <w:bottom w:val="single" w:color="000000" w:sz="8"/>
          <w:right w:val="none" w:color="FFFFFF" w:sz="0"/>
          <w:insideH w:val="none" w:color="FFFFFF" w:sz="0"/>
          <w:insideV w:val="none" w:color="FFFFFF" w:sz="0"/>
        </w:tblBorders>
        <w:tblLayout w:type="fixed"/>
      </w:tblPr>
      <w:tblGrid>
        <w:gridCol w:w="3871"/>
        <w:gridCol w:w="700"/>
        <w:gridCol w:w="2000"/>
        <w:gridCol w:w="1200"/>
        <w:gridCol w:w="1300"/>
      </w:tblGrid>
      <w:tr>
        <w:trPr>
          <w:tblHeader/>
        </w:trPr>
        <w:tc>
          <w:tcPr>
            <w:tcW w:type="dxa" w:w="3871"/>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sz w:val="22"/>
                <w:szCs w:val="22"/>
              </w:rPr>
              <w:t xml:space="preserve">Phân tích và nội dung</w:t>
            </w:r>
          </w:p>
        </w:tc>
        <w:tc>
          <w:tcPr>
            <w:tcW w:type="dxa" w:w="7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n</w:t>
            </w:r>
          </w:p>
        </w:tc>
        <w:tc>
          <w:tcPr>
            <w:tcW w:type="dxa" w:w="20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Hệ số [KTC 95%]</w:t>
            </w:r>
          </w:p>
        </w:tc>
        <w:tc>
          <w:tcPr>
            <w:tcW w:type="dxa" w:w="1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p</w:t>
            </w:r>
          </w:p>
        </w:tc>
        <w:tc>
          <w:tcPr>
            <w:tcW w:type="dxa" w:w="13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p (BH)</w:t>
            </w:r>
          </w:p>
        </w:tc>
      </w:tr>
      <w:tr>
        <w:trPr>
          <w:cantSplit/>
        </w:trPr>
        <w:tc>
          <w:tcPr>
            <w:tcW w:type="dxa" w:w="9071"/>
            <w:gridSpan w:val="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i/>
                <w:iCs/>
                <w:sz w:val="22"/>
                <w:szCs w:val="22"/>
              </w:rPr>
              <w:t xml:space="preserve">E1. Mức phơi nhiễm (so với chưa gặp kỳ thị)</w:t>
            </w:r>
          </w:p>
        </w:tc>
      </w:tr>
      <w:tr>
        <w:trPr>
          <w:cantSplit/>
        </w:trPr>
        <w:tc>
          <w:tcPr>
            <w:tcW w:type="dxa" w:w="38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ind w:left="200"/>
              <w:jc w:val="left"/>
            </w:pPr>
            <w:r>
              <w:rPr>
                <w:rFonts w:ascii="Times New Roman" w:cs="Times New Roman" w:eastAsia="Times New Roman" w:hAnsi="Times New Roman"/>
                <w:sz w:val="22"/>
                <w:szCs w:val="22"/>
              </w:rPr>
              <w:t xml:space="preserve">Gặp ít</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256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0,90 [0,02; 1,77]</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0,044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
            </w:r>
          </w:p>
        </w:tc>
      </w:tr>
      <w:tr>
        <w:trPr>
          <w:cantSplit/>
        </w:trPr>
        <w:tc>
          <w:tcPr>
            <w:tcW w:type="dxa" w:w="38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ind w:left="200"/>
              <w:jc w:val="left"/>
            </w:pPr>
            <w:r>
              <w:rPr>
                <w:rFonts w:ascii="Times New Roman" w:cs="Times New Roman" w:eastAsia="Times New Roman" w:hAnsi="Times New Roman"/>
                <w:sz w:val="22"/>
                <w:szCs w:val="22"/>
              </w:rPr>
              <w:t xml:space="preserve">Gặp nhiều</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256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2,21 [1,16; 3,27]</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&lt; 0,001</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
            </w:r>
          </w:p>
        </w:tc>
      </w:tr>
      <w:tr>
        <w:trPr>
          <w:cantSplit/>
        </w:trPr>
        <w:tc>
          <w:tcPr>
            <w:tcW w:type="dxa" w:w="9071"/>
            <w:gridSpan w:val="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i/>
                <w:iCs/>
                <w:sz w:val="22"/>
                <w:szCs w:val="22"/>
              </w:rPr>
              <w:t xml:space="preserve">E2. Từng tình huống (đã gặp ít nhất một lần)</w:t>
            </w:r>
          </w:p>
        </w:tc>
      </w:tr>
      <w:tr>
        <w:trPr>
          <w:cantSplit/>
        </w:trPr>
        <w:tc>
          <w:tcPr>
            <w:tcW w:type="dxa" w:w="38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ind w:left="200"/>
              <w:jc w:val="left"/>
            </w:pPr>
            <w:r>
              <w:rPr>
                <w:rFonts w:ascii="Times New Roman" w:cs="Times New Roman" w:eastAsia="Times New Roman" w:hAnsi="Times New Roman"/>
                <w:sz w:val="22"/>
                <w:szCs w:val="22"/>
              </w:rPr>
              <w:t xml:space="preserve">1. Câu đùa, bình luận xúc phạm</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252</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1,56 [0,66; 2,46]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0,001</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0,003</w:t>
            </w:r>
          </w:p>
        </w:tc>
      </w:tr>
      <w:tr>
        <w:trPr>
          <w:cantSplit/>
        </w:trPr>
        <w:tc>
          <w:tcPr>
            <w:tcW w:type="dxa" w:w="38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ind w:left="200"/>
              <w:jc w:val="left"/>
            </w:pPr>
            <w:r>
              <w:rPr>
                <w:rFonts w:ascii="Times New Roman" w:cs="Times New Roman" w:eastAsia="Times New Roman" w:hAnsi="Times New Roman"/>
                <w:sz w:val="22"/>
                <w:szCs w:val="22"/>
              </w:rPr>
              <w:t xml:space="preserve">2. Câu hỏi riêng tư không mong muốn</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246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1,77 [0,85; 2,69]</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&lt; 0,001</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0,001</w:t>
            </w:r>
          </w:p>
        </w:tc>
      </w:tr>
      <w:tr>
        <w:trPr>
          <w:cantSplit/>
        </w:trPr>
        <w:tc>
          <w:tcPr>
            <w:tcW w:type="dxa" w:w="38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ind w:left="200"/>
              <w:jc w:val="left"/>
            </w:pPr>
            <w:r>
              <w:rPr>
                <w:rFonts w:ascii="Times New Roman" w:cs="Times New Roman" w:eastAsia="Times New Roman" w:hAnsi="Times New Roman"/>
                <w:sz w:val="22"/>
                <w:szCs w:val="22"/>
              </w:rPr>
              <w:t xml:space="preserve">3. Tiết lộ hoặc đe dọa tiết lộ danh tính</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239</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0,57 [−0,63; 1,78]</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0,351</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0,434</w:t>
            </w:r>
          </w:p>
        </w:tc>
      </w:tr>
      <w:tr>
        <w:trPr>
          <w:cantSplit/>
        </w:trPr>
        <w:tc>
          <w:tcPr>
            <w:tcW w:type="dxa" w:w="38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ind w:left="200"/>
              <w:jc w:val="left"/>
            </w:pPr>
            <w:r>
              <w:rPr>
                <w:rFonts w:ascii="Times New Roman" w:cs="Times New Roman" w:eastAsia="Times New Roman" w:hAnsi="Times New Roman"/>
                <w:sz w:val="22"/>
                <w:szCs w:val="22"/>
              </w:rPr>
              <w:t xml:space="preserve">4. Bị loại khỏi đào tạo, phát triển nghề nghiệp</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Không ước lượng</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
            </w:r>
          </w:p>
        </w:tc>
      </w:tr>
      <w:tr>
        <w:trPr>
          <w:cantSplit/>
        </w:trPr>
        <w:tc>
          <w:tcPr>
            <w:tcW w:type="dxa" w:w="38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ind w:left="200"/>
              <w:jc w:val="left"/>
            </w:pPr>
            <w:r>
              <w:rPr>
                <w:rFonts w:ascii="Times New Roman" w:cs="Times New Roman" w:eastAsia="Times New Roman" w:hAnsi="Times New Roman"/>
                <w:sz w:val="22"/>
                <w:szCs w:val="22"/>
              </w:rPr>
              <w:t xml:space="preserve">5. Đánh giá, lương, thăng tiến không công bằng</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223</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0,83 [−0,99; 2,65]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0,372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0,434</w:t>
            </w:r>
          </w:p>
        </w:tc>
      </w:tr>
      <w:tr>
        <w:trPr>
          <w:cantSplit/>
        </w:trPr>
        <w:tc>
          <w:tcPr>
            <w:tcW w:type="dxa" w:w="38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ind w:left="200"/>
              <w:jc w:val="left"/>
            </w:pPr>
            <w:r>
              <w:rPr>
                <w:rFonts w:ascii="Times New Roman" w:cs="Times New Roman" w:eastAsia="Times New Roman" w:hAnsi="Times New Roman"/>
                <w:sz w:val="22"/>
                <w:szCs w:val="22"/>
              </w:rPr>
              <w:t xml:space="preserve">6. Bị phân công công việc bất lợi</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240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0,97 [−0,53; 2,48]</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0,204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0,357</w:t>
            </w:r>
          </w:p>
        </w:tc>
      </w:tr>
      <w:tr>
        <w:trPr>
          <w:cantSplit/>
        </w:trPr>
        <w:tc>
          <w:tcPr>
            <w:tcW w:type="dxa" w:w="38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ind w:left="200"/>
              <w:jc w:val="left"/>
            </w:pPr>
            <w:r>
              <w:rPr>
                <w:rFonts w:ascii="Times New Roman" w:cs="Times New Roman" w:eastAsia="Times New Roman" w:hAnsi="Times New Roman"/>
                <w:sz w:val="22"/>
                <w:szCs w:val="22"/>
              </w:rPr>
              <w:t xml:space="preserve">7. Áp lực tuân theo khuôn mẫu giới</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240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1,16 [−0,15; 2,48]</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0,082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0,192</w:t>
            </w:r>
          </w:p>
        </w:tc>
      </w:tr>
      <w:tr>
        <w:trPr>
          <w:cantSplit/>
        </w:trPr>
        <w:tc>
          <w:tcPr>
            <w:tcW w:type="dxa" w:w="38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ind w:left="200"/>
              <w:jc w:val="left"/>
            </w:pPr>
            <w:r>
              <w:rPr>
                <w:rFonts w:ascii="Times New Roman" w:cs="Times New Roman" w:eastAsia="Times New Roman" w:hAnsi="Times New Roman"/>
                <w:sz w:val="22"/>
                <w:szCs w:val="22"/>
              </w:rPr>
              <w:t xml:space="preserve">8. Khó dùng tên gọi, đại từ, trang phục phù hợp</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199</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0,36 [−2,05; 2,77]</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0,768</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0,768</w:t>
            </w:r>
          </w:p>
        </w:tc>
      </w:tr>
      <w:tr>
        <w:trPr>
          <w:cantSplit/>
        </w:trPr>
        <w:tc>
          <w:tcPr>
            <w:tcW w:type="dxa" w:w="9071"/>
            <w:gridSpan w:val="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i/>
                <w:iCs/>
                <w:sz w:val="22"/>
                <w:szCs w:val="22"/>
              </w:rPr>
              <w:t xml:space="preserve">E2. Đối chiếu hai nhóm tình huống</w:t>
            </w:r>
          </w:p>
        </w:tc>
      </w:tr>
      <w:tr>
        <w:trPr>
          <w:cantSplit/>
        </w:trPr>
        <w:tc>
          <w:tcPr>
            <w:tcW w:type="dxa" w:w="38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ind w:left="200"/>
              <w:jc w:val="left"/>
            </w:pPr>
            <w:r>
              <w:rPr>
                <w:rFonts w:ascii="Times New Roman" w:cs="Times New Roman" w:eastAsia="Times New Roman" w:hAnsi="Times New Roman"/>
                <w:sz w:val="22"/>
                <w:szCs w:val="22"/>
              </w:rPr>
              <w:t xml:space="preserve">Nhóm sự kiện (1, 2, 3, 7)</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255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1,21 [0,45; 1,98]</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0,002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
            </w:r>
          </w:p>
        </w:tc>
      </w:tr>
      <w:tr>
        <w:trPr>
          <w:cantSplit/>
        </w:trPr>
        <w:tc>
          <w:tcPr>
            <w:tcW w:type="dxa" w:w="38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ind w:left="200"/>
              <w:jc w:val="left"/>
            </w:pPr>
            <w:r>
              <w:rPr>
                <w:rFonts w:ascii="Times New Roman" w:cs="Times New Roman" w:eastAsia="Times New Roman" w:hAnsi="Times New Roman"/>
                <w:sz w:val="22"/>
                <w:szCs w:val="22"/>
              </w:rPr>
              <w:t xml:space="preserve">Nhóm cần quy kết nguyên nhân (5, 6)</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255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0,18 [−0,85; 1,20]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0,733</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
            </w:r>
          </w:p>
        </w:tc>
      </w:tr>
      <w:tr>
        <w:trPr>
          <w:cantSplit/>
        </w:trPr>
        <w:tc>
          <w:tcPr>
            <w:tcW w:type="dxa" w:w="38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ind w:left="200"/>
              <w:jc w:val="left"/>
            </w:pPr>
            <w:r>
              <w:rPr>
                <w:rFonts w:ascii="Times New Roman" w:cs="Times New Roman" w:eastAsia="Times New Roman" w:hAnsi="Times New Roman"/>
                <w:sz w:val="22"/>
                <w:szCs w:val="22"/>
              </w:rPr>
              <w:t xml:space="preserve">Hiệu (quy kết trừ sự kiện)</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255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−1,03 [−2,55; 0,49]</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0,181</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
            </w:r>
          </w:p>
        </w:tc>
      </w:tr>
      <w:tr>
        <w:trPr>
          <w:cantSplit/>
        </w:trPr>
        <w:tc>
          <w:tcPr>
            <w:tcW w:type="dxa" w:w="9071"/>
            <w:gridSpan w:val="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i/>
                <w:iCs/>
                <w:sz w:val="22"/>
                <w:szCs w:val="22"/>
              </w:rPr>
              <w:t xml:space="preserve">E4. Tương tác với S</w:t>
            </w:r>
          </w:p>
        </w:tc>
      </w:tr>
      <w:tr>
        <w:trPr>
          <w:cantSplit/>
        </w:trPr>
        <w:tc>
          <w:tcPr>
            <w:tcW w:type="dxa" w:w="38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ind w:left="200"/>
              <w:jc w:val="left"/>
            </w:pPr>
            <w:r>
              <w:rPr>
                <w:rFonts w:ascii="Times New Roman" w:cs="Times New Roman" w:eastAsia="Times New Roman" w:hAnsi="Times New Roman"/>
                <w:sz w:val="22"/>
                <w:szCs w:val="22"/>
              </w:rPr>
              <w:t xml:space="preserve">Nữ khi sinh (so với nam)</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256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1,10 [−0,85; 3,05]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0,268</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0,402</w:t>
            </w:r>
          </w:p>
        </w:tc>
      </w:tr>
      <w:tr>
        <w:trPr>
          <w:cantSplit/>
        </w:trPr>
        <w:tc>
          <w:tcPr>
            <w:tcW w:type="dxa" w:w="38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ind w:left="200"/>
              <w:jc w:val="left"/>
            </w:pPr>
            <w:r>
              <w:rPr>
                <w:rFonts w:ascii="Times New Roman" w:cs="Times New Roman" w:eastAsia="Times New Roman" w:hAnsi="Times New Roman"/>
                <w:sz w:val="22"/>
                <w:szCs w:val="22"/>
              </w:rPr>
              <w:t xml:space="preserve">Đồng tính nữ (so với song tính, toàn tính)</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231</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−0,91 [−3,26; 1,44]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0,447</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0,447</w:t>
            </w:r>
          </w:p>
        </w:tc>
      </w:tr>
      <w:tr>
        <w:trPr>
          <w:cantSplit/>
        </w:trPr>
        <w:tc>
          <w:tcPr>
            <w:tcW w:type="dxa" w:w="38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ind w:left="200"/>
              <w:jc w:val="left"/>
            </w:pPr>
            <w:r>
              <w:rPr>
                <w:rFonts w:ascii="Times New Roman" w:cs="Times New Roman" w:eastAsia="Times New Roman" w:hAnsi="Times New Roman"/>
                <w:sz w:val="22"/>
                <w:szCs w:val="22"/>
              </w:rPr>
              <w:t xml:space="preserve">Đồng tính nam (so với song tính, toàn tính)</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231</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−1,36 [−3,59; 0,88]</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0,232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0,402</w:t>
            </w:r>
          </w:p>
        </w:tc>
      </w:tr>
      <w:tr>
        <w:trPr>
          <w:cantSplit/>
        </w:trPr>
        <w:tc>
          <w:tcPr>
            <w:tcW w:type="dxa" w:w="9071"/>
            <w:gridSpan w:val="5"/>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i/>
                <w:iCs/>
                <w:sz w:val="22"/>
                <w:szCs w:val="22"/>
              </w:rPr>
              <w:t xml:space="preserve">E5. Thực thi DEI được cảm nhận</w:t>
            </w:r>
          </w:p>
        </w:tc>
      </w:tr>
      <w:tr>
        <w:trPr>
          <w:cantSplit/>
        </w:trPr>
        <w:tc>
          <w:tcPr>
            <w:tcW w:type="dxa" w:w="3871"/>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ind w:left="200"/>
              <w:jc w:val="left"/>
            </w:pPr>
            <w:r>
              <w:rPr>
                <w:rFonts w:ascii="Times New Roman" w:cs="Times New Roman" w:eastAsia="Times New Roman" w:hAnsi="Times New Roman"/>
                <w:sz w:val="22"/>
                <w:szCs w:val="22"/>
              </w:rPr>
              <w:t xml:space="preserve">Tương tác S × Q</w:t>
            </w:r>
          </w:p>
        </w:tc>
        <w:tc>
          <w:tcPr>
            <w:tcW w:type="dxa" w:w="7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243</w:t>
            </w:r>
          </w:p>
        </w:tc>
        <w:tc>
          <w:tcPr>
            <w:tcW w:type="dxa" w:w="20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−1,19 [−2,63; 0,25]</w:t>
            </w:r>
          </w:p>
        </w:tc>
        <w:tc>
          <w:tcPr>
            <w:tcW w:type="dxa" w:w="12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0,106</w:t>
            </w:r>
          </w:p>
        </w:tc>
        <w:tc>
          <w:tcPr>
            <w:tcW w:type="dxa" w:w="13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
            </w:r>
          </w:p>
        </w:tc>
      </w:tr>
    </w:tbl>
    <w:p>
      <w:pPr>
        <w:spacing w:after="200" w:before="60" w:line="264"/>
        <w:jc w:val="both"/>
      </w:pPr>
      <w:r>
        <w:rPr>
          <w:rFonts w:ascii="Times New Roman" w:cs="Times New Roman" w:eastAsia="Times New Roman" w:hAnsi="Times New Roman"/>
          <w:i/>
          <w:iCs/>
          <w:sz w:val="22"/>
          <w:szCs w:val="22"/>
        </w:rPr>
        <w:t xml:space="preserve">Ghi chú. </w:t>
      </w:r>
      <w:r>
        <w:rPr>
          <w:rFonts w:ascii="Times New Roman" w:cs="Times New Roman" w:eastAsia="Times New Roman" w:hAnsi="Times New Roman"/>
          <w:sz w:val="22"/>
          <w:szCs w:val="22"/>
        </w:rPr>
        <w:t xml:space="preserve">Mọi mô hình điều chỉnh X</w:t>
      </w:r>
      <w:r>
        <w:rPr>
          <w:rFonts w:ascii="Times New Roman" w:cs="Times New Roman" w:eastAsia="Times New Roman" w:hAnsi="Times New Roman"/>
          <w:sz w:val="22"/>
          <w:szCs w:val="22"/>
          <w:vertAlign w:val="superscript"/>
        </w:rPr>
        <w:t xml:space="preserve">D</w:t>
      </w:r>
      <w:r>
        <w:rPr>
          <w:rFonts w:ascii="Times New Roman" w:cs="Times New Roman" w:eastAsia="Times New Roman" w:hAnsi="Times New Roman"/>
          <w:sz w:val="22"/>
          <w:szCs w:val="22"/>
        </w:rPr>
        <w:t xml:space="preserve"> và dùng sai số chuẩn HC3. p (BH): giá trị p hiệu chỉnh Benjamini-Hochberg trong họ E2 và trong họ E4. Tình huống 4 không được ước lượng vì có dưới 10 người gặp.</w:t>
      </w:r>
    </w:p>
    <w:p>
      <w:pPr>
        <w:spacing w:after="120" w:before="0" w:line="312"/>
        <w:ind w:firstLine="567"/>
        <w:jc w:val="both"/>
      </w:pPr>
      <w:r>
        <w:rPr>
          <w:rFonts w:ascii="Times New Roman" w:cs="Times New Roman" w:eastAsia="Times New Roman" w:hAnsi="Times New Roman"/>
          <w:sz w:val="26"/>
          <w:szCs w:val="26"/>
        </w:rPr>
        <w:t xml:space="preserve">Mối liên hệ rõ nhất ở câu đùa xúc phạm và câu hỏi riêng tư không mong muốn, cũng là hai tình huống phổ biến nhất. Hệ số của các tình huống còn lại đều dương nhưng chưa xác định, chủ yếu do số người gặp ít. Ở phép đối chiếu, hệ số của nhóm tình huống cần quy kết nguyên nhân nhỏ hơn, nhưng hiệu giữa hai nhóm có khoảng tin cậy chứa 0, nên không thể kết luận hai nhóm khác nhau. Các tương tác ở E4 và E5 có khoảng tin cậy rộng; vì vậy chưa xác định được mối liên hệ có khác nhau giữa các nhóm, hay theo mức thực thi DEI, hay không.</w:t>
      </w:r>
    </w:p>
    <w:p>
      <w:pPr>
        <w:keepNext/>
        <w:spacing w:after="80" w:before="120" w:line="276"/>
        <w:jc w:val="left"/>
      </w:pPr>
      <w:r>
        <w:rPr>
          <w:rFonts w:ascii="Times New Roman" w:cs="Times New Roman" w:eastAsia="Times New Roman" w:hAnsi="Times New Roman"/>
          <w:b/>
          <w:bCs/>
          <w:sz w:val="26"/>
          <w:szCs w:val="26"/>
        </w:rPr>
        <w:t xml:space="preserve">Bảng 5. </w:t>
      </w:r>
      <w:r>
        <w:rPr>
          <w:rFonts w:ascii="Times New Roman" w:cs="Times New Roman" w:eastAsia="Times New Roman" w:hAnsi="Times New Roman"/>
          <w:i/>
          <w:iCs/>
          <w:sz w:val="26"/>
          <w:szCs w:val="26"/>
        </w:rPr>
        <w:t xml:space="preserve">Điểm PHQ-4 theo nhóm (E3, chỉ mô tả)</w:t>
      </w:r>
    </w:p>
    <w:tbl>
      <w:tblPr>
        <w:tblW w:type="dxa" w:w="9071"/>
        <w:tblBorders>
          <w:top w:val="single" w:color="000000" w:sz="8"/>
          <w:left w:val="none" w:color="FFFFFF" w:sz="0"/>
          <w:bottom w:val="single" w:color="000000" w:sz="8"/>
          <w:right w:val="none" w:color="FFFFFF" w:sz="0"/>
          <w:insideH w:val="none" w:color="FFFFFF" w:sz="0"/>
          <w:insideV w:val="none" w:color="FFFFFF" w:sz="0"/>
        </w:tblBorders>
        <w:tblLayout w:type="fixed"/>
      </w:tblPr>
      <w:tblGrid>
        <w:gridCol w:w="4071"/>
        <w:gridCol w:w="900"/>
        <w:gridCol w:w="1300"/>
        <w:gridCol w:w="1400"/>
        <w:gridCol w:w="1400"/>
      </w:tblGrid>
      <w:tr>
        <w:trPr>
          <w:tblHeader/>
        </w:trPr>
        <w:tc>
          <w:tcPr>
            <w:tcW w:type="dxa" w:w="4071"/>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sz w:val="22"/>
                <w:szCs w:val="22"/>
              </w:rPr>
              <w:t xml:space="preserve">Nhóm</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n</w:t>
            </w:r>
          </w:p>
        </w:tc>
        <w:tc>
          <w:tcPr>
            <w:tcW w:type="dxa" w:w="13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Trung bình</w:t>
            </w:r>
          </w:p>
        </w:tc>
        <w:tc>
          <w:tcPr>
            <w:tcW w:type="dxa" w:w="1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Độ lệch chuẩn</w:t>
            </w:r>
          </w:p>
        </w:tc>
        <w:tc>
          <w:tcPr>
            <w:tcW w:type="dxa" w:w="1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Từ 6 điểm trở lên (%)</w:t>
            </w:r>
          </w:p>
        </w:tc>
      </w:tr>
      <w:tr>
        <w:trPr>
          <w:cantSplit/>
        </w:trPr>
        <w:tc>
          <w:tcPr>
            <w:tcW w:type="dxa" w:w="40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sz w:val="22"/>
                <w:szCs w:val="22"/>
              </w:rPr>
              <w:t xml:space="preserve">Non-LGBT</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323</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3,27</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3,07</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22,9</w:t>
            </w:r>
          </w:p>
        </w:tc>
      </w:tr>
      <w:tr>
        <w:trPr>
          <w:cantSplit/>
        </w:trPr>
        <w:tc>
          <w:tcPr>
            <w:tcW w:type="dxa" w:w="40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sz w:val="22"/>
                <w:szCs w:val="22"/>
              </w:rPr>
              <w:t xml:space="preserve">LGBT, chưa gặp tình huống kỳ thị nào</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125</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2,58</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2,85</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14,4</w:t>
            </w:r>
          </w:p>
        </w:tc>
      </w:tr>
      <w:tr>
        <w:trPr>
          <w:cantSplit/>
        </w:trPr>
        <w:tc>
          <w:tcPr>
            <w:tcW w:type="dxa" w:w="4071"/>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sz w:val="22"/>
                <w:szCs w:val="22"/>
              </w:rPr>
              <w:t xml:space="preserve">LGBT, gặp ít nhất một tình huống</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153</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4,12</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3,42</w:t>
            </w:r>
          </w:p>
        </w:tc>
        <w:tc>
          <w:tcPr>
            <w:tcW w:type="dxa" w:w="1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30,7</w:t>
            </w:r>
          </w:p>
        </w:tc>
      </w:tr>
      <w:tr>
        <w:trPr>
          <w:cantSplit/>
        </w:trPr>
        <w:tc>
          <w:tcPr>
            <w:tcW w:type="dxa" w:w="4071"/>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left"/>
            </w:pPr>
            <w:r>
              <w:rPr>
                <w:rFonts w:ascii="Times New Roman" w:cs="Times New Roman" w:eastAsia="Times New Roman" w:hAnsi="Times New Roman"/>
                <w:sz w:val="22"/>
                <w:szCs w:val="22"/>
              </w:rPr>
              <w:t xml:space="preserve">LGBT, toàn bộ mẫu chính</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278</w:t>
            </w:r>
          </w:p>
        </w:tc>
        <w:tc>
          <w:tcPr>
            <w:tcW w:type="dxa" w:w="13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3,43</w:t>
            </w:r>
          </w:p>
        </w:tc>
        <w:tc>
          <w:tcPr>
            <w:tcW w:type="dxa" w:w="1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3,26</w:t>
            </w:r>
          </w:p>
        </w:tc>
        <w:tc>
          <w:tcPr>
            <w:tcW w:type="dxa" w:w="1400"/>
            <w:tcBorders>
              <w:top w:val="none" w:color="FFFFFF" w:sz="0"/>
              <w:left w:val="none" w:color="FFFFFF" w:sz="0"/>
              <w:bottom w:val="single" w:color="000000" w:sz="4"/>
              <w:right w:val="none" w:color="FFFFFF" w:sz="0"/>
            </w:tcBorders>
            <w:tcMar>
              <w:top w:type="dxa" w:w="40"/>
              <w:left w:type="dxa" w:w="80"/>
              <w:bottom w:type="dxa" w:w="40"/>
              <w:right w:type="dxa" w:w="80"/>
            </w:tcMar>
            <w:vAlign w:val="center"/>
          </w:tcPr>
          <w:p>
            <w:pPr>
              <w:spacing w:after="0" w:before="0" w:line="252"/>
              <w:jc w:val="center"/>
            </w:pPr>
            <w:r>
              <w:rPr>
                <w:rFonts w:ascii="Times New Roman" w:cs="Times New Roman" w:eastAsia="Times New Roman" w:hAnsi="Times New Roman"/>
                <w:sz w:val="22"/>
                <w:szCs w:val="22"/>
              </w:rPr>
              <w:t xml:space="preserve">23,4</w:t>
            </w:r>
          </w:p>
        </w:tc>
      </w:tr>
    </w:tbl>
    <w:p>
      <w:pPr>
        <w:spacing w:after="200" w:before="60" w:line="264"/>
        <w:jc w:val="both"/>
      </w:pPr>
      <w:r>
        <w:rPr>
          <w:rFonts w:ascii="Times New Roman" w:cs="Times New Roman" w:eastAsia="Times New Roman" w:hAnsi="Times New Roman"/>
          <w:i/>
          <w:iCs/>
          <w:sz w:val="22"/>
          <w:szCs w:val="22"/>
        </w:rPr>
        <w:t xml:space="preserve">Ghi chú. </w:t>
      </w:r>
      <w:r>
        <w:rPr>
          <w:rFonts w:ascii="Times New Roman" w:cs="Times New Roman" w:eastAsia="Times New Roman" w:hAnsi="Times New Roman"/>
          <w:sz w:val="22"/>
          <w:szCs w:val="22"/>
        </w:rPr>
        <w:t xml:space="preserve">Không kiểm định thống kê giữa các nhóm.</w:t>
      </w:r>
    </w:p>
    <w:p>
      <w:pPr>
        <w:spacing w:after="120" w:before="0" w:line="312"/>
        <w:ind w:firstLine="567"/>
        <w:jc w:val="both"/>
      </w:pPr>
      <w:r>
        <w:rPr>
          <w:rFonts w:ascii="Times New Roman" w:cs="Times New Roman" w:eastAsia="Times New Roman" w:hAnsi="Times New Roman"/>
          <w:sz w:val="26"/>
          <w:szCs w:val="26"/>
        </w:rPr>
        <w:t xml:space="preserve">Trong mẫu này, điểm trung bình của nhóm LGBT nói chung (3,43) gần bằng nhóm non-LGBT (3,27). Phép so sánh chỉ mang tính mô tả, vì hai nhóm được tiếp cận qua các kênh tuyển mẫu khác nhau và nhóm non-LGBT không được hỏi về trải nghiệm kỳ thị.</w:t>
      </w:r>
    </w:p>
    <w:p>
      <w:pPr>
        <w:pStyle w:val="Heading1"/>
        <w:keepNext/>
        <w:spacing w:after="120" w:before="240" w:line="312"/>
      </w:pPr>
      <w:r>
        <w:rPr>
          <w:rFonts w:ascii="Times New Roman" w:cs="Times New Roman" w:eastAsia="Times New Roman" w:hAnsi="Times New Roman"/>
          <w:b/>
          <w:bCs/>
          <w:sz w:val="26"/>
          <w:szCs w:val="26"/>
        </w:rPr>
        <w:t xml:space="preserve">4. Độ bền và độ nhạy của kết quả chính</w:t>
      </w:r>
    </w:p>
    <w:p>
      <w:pPr>
        <w:keepNext/>
        <w:spacing w:after="120" w:before="0" w:line="312"/>
        <w:ind w:firstLine="567"/>
        <w:jc w:val="both"/>
      </w:pPr>
      <w:r>
        <w:rPr>
          <w:rFonts w:ascii="Times New Roman" w:cs="Times New Roman" w:eastAsia="Times New Roman" w:hAnsi="Times New Roman"/>
          <w:sz w:val="26"/>
          <w:szCs w:val="26"/>
        </w:rPr>
        <w:t xml:space="preserve">Hình 1 trình bày hệ số của chỉ số kỳ thị trong mô hình chính, chín kiểm tra độ bền đã xác định trước và bốn mô hình bổ sung sau khi có kết quả. Mười ba ước lượng nằm trong khoảng 1,53–1,93 và đều có khoảng tin cậy loại trừ 0. Ước lượng không điều chỉnh (1,53) nhỏ hơn ước lượng chính, cho thấy các đặc điểm có trước phơi nhiễm không giải thích được mối liên hệ.</w:t>
      </w:r>
    </w:p>
    <w:p>
      <w:pPr>
        <w:keepNext/>
        <w:spacing w:after="60" w:before="120"/>
        <w:jc w:val="center"/>
      </w:pPr>
      <w:r>
        <w:drawing>
          <wp:inline distT="0" distB="0" distL="0" distR="0">
            <wp:extent cx="571500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448175"/>
                    </a:xfrm>
                    <a:prstGeom prst="rect">
                      <a:avLst/>
                    </a:prstGeom>
                  </pic:spPr>
                </pic:pic>
              </a:graphicData>
            </a:graphic>
          </wp:inline>
        </w:drawing>
      </w:r>
    </w:p>
    <w:p>
      <w:pPr>
        <w:spacing w:after="60" w:before="60" w:line="276"/>
        <w:jc w:val="center"/>
      </w:pPr>
      <w:r>
        <w:rPr>
          <w:rFonts w:ascii="Times New Roman" w:cs="Times New Roman" w:eastAsia="Times New Roman" w:hAnsi="Times New Roman"/>
          <w:b/>
          <w:bCs/>
          <w:sz w:val="26"/>
          <w:szCs w:val="26"/>
        </w:rPr>
        <w:t xml:space="preserve">Hình 1. </w:t>
      </w:r>
      <w:r>
        <w:rPr>
          <w:rFonts w:ascii="Times New Roman" w:cs="Times New Roman" w:eastAsia="Times New Roman" w:hAnsi="Times New Roman"/>
          <w:i/>
          <w:iCs/>
          <w:sz w:val="26"/>
          <w:szCs w:val="26"/>
        </w:rPr>
        <w:t xml:space="preserve">Hệ số của chỉ số kỳ thị đối với PHQ-4 qua các kiểm tra độ bền và độ nhạy</w:t>
      </w:r>
    </w:p>
    <w:p>
      <w:pPr>
        <w:spacing w:after="200" w:before="60" w:line="264"/>
        <w:jc w:val="both"/>
      </w:pPr>
      <w:r>
        <w:rPr>
          <w:rFonts w:ascii="Times New Roman" w:cs="Times New Roman" w:eastAsia="Times New Roman" w:hAnsi="Times New Roman"/>
          <w:i/>
          <w:iCs/>
          <w:sz w:val="22"/>
          <w:szCs w:val="22"/>
        </w:rPr>
        <w:t xml:space="preserve">Ghi chú. </w:t>
      </w:r>
      <w:r>
        <w:rPr>
          <w:rFonts w:ascii="Times New Roman" w:cs="Times New Roman" w:eastAsia="Times New Roman" w:hAnsi="Times New Roman"/>
          <w:sz w:val="22"/>
          <w:szCs w:val="22"/>
        </w:rPr>
        <w:t xml:space="preserve">Điểm là hệ số ước lượng, đoạn thẳng là khoảng tin cậy 95%; đường nét đứt là ước lượng của mô hình chính. Nhóm thứ ba gồm các mô hình bổ sung sau khi đã có kết quả chính. Số quan sát từ 225 đến 300.</w:t>
      </w:r>
    </w:p>
    <w:p>
      <w:pPr>
        <w:spacing w:after="120" w:before="0" w:line="312"/>
        <w:ind w:firstLine="567"/>
        <w:jc w:val="both"/>
      </w:pPr>
      <w:r>
        <w:rPr>
          <w:rFonts w:ascii="Times New Roman" w:cs="Times New Roman" w:eastAsia="Times New Roman" w:hAnsi="Times New Roman"/>
          <w:sz w:val="26"/>
          <w:szCs w:val="26"/>
        </w:rPr>
        <w:t xml:space="preserve">Hai kiểm tra không thể hiện trên Hình 1 vì khác thang đo. Spline bậc ba không cho thấy quan hệ phi tuyến (p = 0,231). Khi tách S thành hai thành phần “có gặp hay không” và “cường độ ở người đã gặp”, mỗi thành phần riêng đều có khoảng tin cậy chứa 0 (0,75 [−0,27; 1,76] và 1,22 [−0,07; 2,50]), nên dữ liệu chưa phân biệt được hai thành phần này.</w:t>
      </w:r>
    </w:p>
    <w:p>
      <w:pPr>
        <w:keepNext/>
        <w:spacing w:after="120" w:before="0" w:line="312"/>
        <w:ind w:firstLine="567"/>
        <w:jc w:val="both"/>
      </w:pPr>
      <w:r>
        <w:rPr>
          <w:rFonts w:ascii="Times New Roman" w:cs="Times New Roman" w:eastAsia="Times New Roman" w:hAnsi="Times New Roman"/>
          <w:sz w:val="26"/>
          <w:szCs w:val="26"/>
        </w:rPr>
        <w:t xml:space="preserve">Đường cong đặc tả gồm 32 cách phân tích (Hình 2). Cả 32 ước lượng đều dương, quy đổi từ 0,65 đến 1,11 điểm PHQ-4 trên một độ lệch chuẩn; 29 ước lượng có khoảng tin cậy loại trừ 0. Ba ngoại lệ đều kết hợp hai lựa chọn: chỉ giữ người trả lời đủ bảy tình huống và điều chỉnh thêm đặc điểm công việc, khiến mẫu chỉ còn 118–136 người.</w:t>
      </w:r>
    </w:p>
    <w:p>
      <w:pPr>
        <w:keepNext/>
        <w:spacing w:after="60" w:before="120"/>
        <w:jc w:val="center"/>
      </w:pPr>
      <w:r>
        <w:drawing>
          <wp:inline distT="0" distB="0" distL="0" distR="0">
            <wp:extent cx="5715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000500"/>
                    </a:xfrm>
                    <a:prstGeom prst="rect">
                      <a:avLst/>
                    </a:prstGeom>
                  </pic:spPr>
                </pic:pic>
              </a:graphicData>
            </a:graphic>
          </wp:inline>
        </w:drawing>
      </w:r>
    </w:p>
    <w:p>
      <w:pPr>
        <w:spacing w:after="60" w:before="60" w:line="276"/>
        <w:jc w:val="center"/>
      </w:pPr>
      <w:r>
        <w:rPr>
          <w:rFonts w:ascii="Times New Roman" w:cs="Times New Roman" w:eastAsia="Times New Roman" w:hAnsi="Times New Roman"/>
          <w:b/>
          <w:bCs/>
          <w:sz w:val="26"/>
          <w:szCs w:val="26"/>
        </w:rPr>
        <w:t xml:space="preserve">Hình 2. </w:t>
      </w:r>
      <w:r>
        <w:rPr>
          <w:rFonts w:ascii="Times New Roman" w:cs="Times New Roman" w:eastAsia="Times New Roman" w:hAnsi="Times New Roman"/>
          <w:i/>
          <w:iCs/>
          <w:sz w:val="26"/>
          <w:szCs w:val="26"/>
        </w:rPr>
        <w:t xml:space="preserve">Đường cong đặc tả của mối liên hệ giữa chỉ số kỳ thị và PHQ-4</w:t>
      </w:r>
    </w:p>
    <w:p>
      <w:pPr>
        <w:spacing w:after="200" w:before="60" w:line="264"/>
        <w:jc w:val="both"/>
      </w:pPr>
      <w:r>
        <w:rPr>
          <w:rFonts w:ascii="Times New Roman" w:cs="Times New Roman" w:eastAsia="Times New Roman" w:hAnsi="Times New Roman"/>
          <w:i/>
          <w:iCs/>
          <w:sz w:val="22"/>
          <w:szCs w:val="22"/>
        </w:rPr>
        <w:t xml:space="preserve">Ghi chú. </w:t>
      </w:r>
      <w:r>
        <w:rPr>
          <w:rFonts w:ascii="Times New Roman" w:cs="Times New Roman" w:eastAsia="Times New Roman" w:hAnsi="Times New Roman"/>
          <w:sz w:val="22"/>
          <w:szCs w:val="22"/>
        </w:rPr>
        <w:t xml:space="preserve">Phần trên: hệ số trên một độ lệch chuẩn của chỉ số kỳ thị và khoảng tin cậy 95%, xếp theo độ lớn; hình thoi là mô hình chính. Phần dưới: các lựa chọn phân tích của từng cách. Hình xuất từ Stata, giữ nhãn tiếng Anh như trong bài báo.</w:t>
      </w:r>
    </w:p>
    <w:p>
      <w:pPr>
        <w:spacing w:after="120" w:before="0" w:line="312"/>
        <w:ind w:firstLine="567"/>
        <w:jc w:val="both"/>
      </w:pPr>
      <w:r>
        <w:rPr>
          <w:rFonts w:ascii="Times New Roman" w:cs="Times New Roman" w:eastAsia="Times New Roman" w:hAnsi="Times New Roman"/>
          <w:sz w:val="26"/>
          <w:szCs w:val="26"/>
        </w:rPr>
        <w:t xml:space="preserve">Theo phân tích độ nhạy của Cinelli và Hazlett (2020), một yếu tố gây nhiễu chưa đo phải giải thích ít nhất 23,7% phần biến thiên còn lại của cả chỉ số kỳ thị và PHQ-4 thì mới đưa ước lượng về 0, và 13,4% thì mới làm khoảng tin cậy chứa 0. Để so sánh, học vấn chỉ giải thích 0,9% phần biến thiên còn lại của chỉ số kỳ thị và 2,4% của PHQ-4; một yếu tố mạnh gấp ba lần học vấn vẫn để lại hệ số 1,42 [0,63; 2,20]. Kết quả này không loại trừ được những yếu tố mạnh hơn nhiều, chẳng hạn sự từ chối của gia đình.</w:t>
      </w:r>
    </w:p>
    <w:p>
      <w:pPr>
        <w:pStyle w:val="Heading1"/>
        <w:keepNext/>
        <w:spacing w:after="120" w:before="240" w:line="312"/>
      </w:pPr>
      <w:r>
        <w:rPr>
          <w:rFonts w:ascii="Times New Roman" w:cs="Times New Roman" w:eastAsia="Times New Roman" w:hAnsi="Times New Roman"/>
          <w:b/>
          <w:bCs/>
          <w:sz w:val="26"/>
          <w:szCs w:val="26"/>
        </w:rPr>
        <w:t xml:space="preserve">5. Kết luận và giới hạn</w:t>
      </w:r>
    </w:p>
    <w:p>
      <w:pPr>
        <w:spacing w:after="120" w:before="0" w:line="312"/>
        <w:ind w:firstLine="567"/>
        <w:jc w:val="both"/>
      </w:pPr>
      <w:r>
        <w:rPr>
          <w:rFonts w:ascii="Times New Roman" w:cs="Times New Roman" w:eastAsia="Times New Roman" w:hAnsi="Times New Roman"/>
          <w:sz w:val="26"/>
          <w:szCs w:val="26"/>
        </w:rPr>
        <w:t xml:space="preserve">Trong mẫu người lao động LGBT này, những người gặp kỳ thị tại nơi làm việc nhiều hơn cũng báo cáo nhiều triệu chứng lo âu và trầm cảm hơn. Mức liên hệ nhỏ đến vừa, ổn định qua các kiểm tra độ bền và không được giải thích bởi các đặc điểm đã đo. Mối liên hệ rõ nhất ở các hành vi giữa người với người, như câu đùa xúc phạm và câu hỏi riêng tư, là những hành vi Bộ luật Lao động hiện chưa điều chỉnh. Dữ liệu không xác nhận đường dẫn qua che giấu danh tính và chưa cho biết mối liên hệ có khác nhau giữa các nhóm hay không.</w:t>
      </w:r>
    </w:p>
    <w:p>
      <w:pPr>
        <w:spacing w:after="120" w:before="0" w:line="312"/>
        <w:ind w:firstLine="567"/>
        <w:jc w:val="both"/>
      </w:pPr>
      <w:r>
        <w:rPr>
          <w:rFonts w:ascii="Times New Roman" w:cs="Times New Roman" w:eastAsia="Times New Roman" w:hAnsi="Times New Roman"/>
          <w:sz w:val="26"/>
          <w:szCs w:val="26"/>
        </w:rPr>
        <w:t xml:space="preserve">Các kết quả cần được đọc trong một số giới hạn. Thứ nhất, thiết kế cắt ngang và tự báo cáo không xác lập được chiều nhân quả; phần câu hỏi về kỳ thị đặt ngay trước PHQ-4, nên cách nhớ lại và thứ tự câu hỏi có thể góp phần vào mối liên hệ. Thứ hai, mẫu thuận tiện tập trung ở đô thị và người có học vấn cao, và không bao gồm người đã rời bỏ công việc. Thứ ba, thang đo kỳ thị do nhóm nghiên cứu xây dựng và bản PHQ-4 tiếng Việt chưa được thẩm định. Thứ tư, nhóm chuyển giới và phi nhị nguyên chỉ có 13 người nên không được phân tích riêng. Cuối cùng, kế hoạch phân tích được chốt trước khi ước lượng nhưng được đăng ký sau, nên nghiên cứu được trình bày như một nghiên cứu khám phá.</w:t>
      </w:r>
    </w:p>
    <w:p>
      <w:pPr>
        <w:pStyle w:val="Heading1"/>
        <w:keepNext/>
        <w:spacing w:after="120" w:before="240" w:line="312"/>
      </w:pPr>
      <w:r>
        <w:rPr>
          <w:rFonts w:ascii="Times New Roman" w:cs="Times New Roman" w:eastAsia="Times New Roman" w:hAnsi="Times New Roman"/>
          <w:b/>
          <w:bCs/>
          <w:sz w:val="26"/>
          <w:szCs w:val="26"/>
        </w:rPr>
        <w:t xml:space="preserve">6. Các nội dung đề nghị giảng viên cho ý kiến</w:t>
      </w:r>
    </w:p>
    <w:p>
      <w:pPr>
        <w:keepNext/>
        <w:spacing w:after="120" w:before="0" w:line="312"/>
        <w:ind w:firstLine="567"/>
        <w:jc w:val="both"/>
      </w:pPr>
      <w:r>
        <w:rPr>
          <w:rFonts w:ascii="Times New Roman" w:cs="Times New Roman" w:eastAsia="Times New Roman" w:hAnsi="Times New Roman"/>
          <w:sz w:val="26"/>
          <w:szCs w:val="26"/>
        </w:rPr>
        <w:t xml:space="preserve">Trước khi chỉnh sửa bài báo, nhóm nghiên cứu đề nghị giảng viên cho ý kiến về bốn nội dung sau.</w:t>
      </w:r>
    </w:p>
    <w:p>
      <w:pPr>
        <w:spacing w:after="120" w:before="0" w:line="312"/>
        <w:ind w:firstLine="0"/>
        <w:jc w:val="both"/>
      </w:pPr>
      <w:r>
        <w:rPr>
          <w:rFonts w:ascii="Times New Roman" w:cs="Times New Roman" w:eastAsia="Times New Roman" w:hAnsi="Times New Roman"/>
          <w:sz w:val="26"/>
          <w:szCs w:val="26"/>
        </w:rPr>
        <w:t xml:space="preserve">(1) Cách trình bày độ lớn của mối liên hệ: “0,82 điểm PHQ-4 trên một độ lệch chuẩn của chỉ số kỳ thị, mức nhỏ đến vừa”, không mô tả là mối liên hệ lớn hay có ý nghĩa lâm sàng.</w:t>
      </w:r>
    </w:p>
    <w:p>
      <w:pPr>
        <w:spacing w:after="120" w:before="0" w:line="312"/>
        <w:ind w:firstLine="0"/>
        <w:jc w:val="both"/>
      </w:pPr>
      <w:r>
        <w:rPr>
          <w:rFonts w:ascii="Times New Roman" w:cs="Times New Roman" w:eastAsia="Times New Roman" w:hAnsi="Times New Roman"/>
          <w:sz w:val="26"/>
          <w:szCs w:val="26"/>
        </w:rPr>
        <w:t xml:space="preserve">(2) Cách trình bày kết quả E3: nhóm LGBT nói chung không có điểm PHQ-4 cao hơn nhóm non-LGBT (3,43 so với 3,27). Nhóm đề xuất nêu rõ kết quả này trong bài và giải thích bằng khác biệt về kênh tuyển mẫu, không kiểm định thống kê.</w:t>
      </w:r>
    </w:p>
    <w:p>
      <w:pPr>
        <w:spacing w:after="120" w:before="0" w:line="312"/>
        <w:ind w:firstLine="0"/>
        <w:jc w:val="both"/>
      </w:pPr>
      <w:r>
        <w:rPr>
          <w:rFonts w:ascii="Times New Roman" w:cs="Times New Roman" w:eastAsia="Times New Roman" w:hAnsi="Times New Roman"/>
          <w:sz w:val="26"/>
          <w:szCs w:val="26"/>
        </w:rPr>
        <w:t xml:space="preserve">(3) Việc đưa bốn mô hình độ nhạy bổ sung sau khi có kết quả (hệ số từ 1,53 đến 1,81) vào phụ lục, kèm ghi chú rõ đây là phân tích thực hiện sau khi có kết quả chính.</w:t>
      </w:r>
    </w:p>
    <w:p>
      <w:pPr>
        <w:spacing w:after="120" w:before="0" w:line="312"/>
        <w:ind w:firstLine="0"/>
        <w:jc w:val="both"/>
      </w:pPr>
      <w:r>
        <w:rPr>
          <w:rFonts w:ascii="Times New Roman" w:cs="Times New Roman" w:eastAsia="Times New Roman" w:hAnsi="Times New Roman"/>
          <w:sz w:val="26"/>
          <w:szCs w:val="26"/>
        </w:rPr>
        <w:t xml:space="preserve">(4) Tiêu đề bài báo: giữ câu hỏi “Pathology or Prejudice?” và đổi phụ đề thành “A Within-Group Test of Workplace Stigma and Anxiety and Depressive Symptoms among LGBT Workers in Vietnam”.</w:t>
      </w:r>
    </w:p>
    <w:p>
      <w:pPr>
        <w:spacing w:after="120" w:before="0" w:line="312"/>
        <w:ind w:firstLine="567"/>
        <w:jc w:val="both"/>
      </w:pPr>
      <w:r>
        <w:rPr>
          <w:rFonts w:ascii="Times New Roman" w:cs="Times New Roman" w:eastAsia="Times New Roman" w:hAnsi="Times New Roman"/>
          <w:sz w:val="26"/>
          <w:szCs w:val="26"/>
        </w:rPr>
        <w:t xml:space="preserve">Mọi thay đổi về phân tích sau khi thống nhất sẽ được ghi vào nhật ký điều chỉnh kế hoạch trước khi chạy lại mô hình.</w:t>
      </w:r>
    </w:p>
    <w:sectPr>
      <w:footerReference w:type="default" r:id="rId7"/>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spacing w:after="80" w:before="120"/>
      <w:outlineLvl w:val="1"/>
    </w:pPr>
    <w:rPr>
      <w:rFonts w:ascii="Times New Roman" w:cs="Times New Roman" w:eastAsia="Times New Roman" w:hAnsi="Times New Roman"/>
      <w:b/>
      <w:bCs/>
      <w:i/>
      <w:i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441fc22c1ac1d5e55369fb3b8c6618efb40cec.png"/><Relationship Id="rId9" Type="http://schemas.openxmlformats.org/officeDocument/2006/relationships/image" Target="media/9e55243c67f5ff339cfd60ce6378217abe533fd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tóm tắt kết quả nghiên cứu</dc:title>
  <cp:lastModifiedBy>Un-named</cp:lastModifiedBy>
  <cp:revision>1</cp:revision>
  <dcterms:created xsi:type="dcterms:W3CDTF">2026-10-10T09:13:04.596Z</dcterms:created>
  <dcterms:modified xsi:type="dcterms:W3CDTF">2026-10-10T09:13:04.596Z</dcterms:modified>
</cp:coreProperties>
</file>

<file path=docProps/custom.xml><?xml version="1.0" encoding="utf-8"?>
<Properties xmlns="http://schemas.openxmlformats.org/officeDocument/2006/custom-properties" xmlns:vt="http://schemas.openxmlformats.org/officeDocument/2006/docPropsVTypes"/>
</file>