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Pathology or Prejudice? Workplace Stigma and Mental Health among LGBT Workers in Vietnam</w:t>
      </w:r>
    </w:p>
    <w:p>
      <w:pPr>
        <w:pStyle w:val="FirstParagraph"/>
      </w:pPr>
      <w:r>
        <w:t xml:space="preserve">[Author names]¹</w:t>
      </w:r>
    </w:p>
    <w:p>
      <w:pPr>
        <w:pStyle w:val="BodyText"/>
      </w:pPr>
      <w:r>
        <w:t xml:space="preserve">¹ Banking Academy of Vietnam, Hanoi, Vietnam</w:t>
      </w:r>
    </w:p>
    <w:p>
      <w:pPr>
        <w:pStyle w:val="BodyText"/>
      </w:pPr>
      <w:r>
        <w:t xml:space="preserve">Corresponding author: [name, email]</w:t>
      </w:r>
    </w:p>
    <w:p>
      <w:r>
        <w:br w:type="page"/>
      </w:r>
    </w:p>
    <w:bookmarkStart w:id="18" w:name="abstract"/>
    <w:p>
      <w:pPr>
        <w:pStyle w:val="Heading1"/>
      </w:pPr>
      <w:r>
        <w:t xml:space="preserve">Abstract</w:t>
      </w:r>
    </w:p>
    <w:p>
      <w:pPr>
        <w:pStyle w:val="FirstParagraph"/>
      </w:pPr>
      <w:r>
        <w:rPr>
          <w:b/>
          <w:bCs/>
        </w:rPr>
        <w:t xml:space="preserve">Introduction</w:t>
      </w:r>
      <w:r>
        <w:t xml:space="preserve"> </w:t>
      </w:r>
      <w:r>
        <w:t xml:space="preserve">Sexual and gender minority adults report more anxiety and depression than other adults, but a disparity cannot show whether distress originates in identity or in prejudice. Minority stress theory predicts that members of a minority group who encounter more stigma report more symptoms. We asked which forms of stigma LGBT workers experience at work in Vietnam, where labor law does not name sexual orientation or gender identity, and how these forms are associated with symptoms.</w:t>
      </w:r>
    </w:p>
    <w:p>
      <w:pPr>
        <w:pStyle w:val="BodyText"/>
      </w:pPr>
      <w:r>
        <w:rPr>
          <w:b/>
          <w:bCs/>
        </w:rPr>
        <w:t xml:space="preserve">Methods</w:t>
      </w:r>
      <w:r>
        <w:t xml:space="preserve"> </w:t>
      </w:r>
      <w:r>
        <w:t xml:space="preserve">In a cross-sectional survey, 235 LGBT workers reported how often they had experienced eight stigmatizing situations at work in the previous 12 months and completed the PHQ-4. Models adjusted for eight groups of pre-exposure characteristics.</w:t>
      </w:r>
    </w:p>
    <w:p>
      <w:pPr>
        <w:pStyle w:val="BodyText"/>
      </w:pPr>
      <w:r>
        <w:rPr>
          <w:b/>
          <w:bCs/>
        </w:rPr>
        <w:t xml:space="preserve">Results</w:t>
      </w:r>
      <w:r>
        <w:t xml:space="preserve"> </w:t>
      </w:r>
      <w:r>
        <w:t xml:space="preserve">Fifty-seven percent reported at least one situation. Interpersonal stigma was the most common form (47.2%), led by unwanted personal questions (33.9%) and offensive jokes (26.8%); career-related (17.4%) and gender-expression stigma (18.0%) were less common. A one-unit difference in the stigma index was associated with 1.85 points higher PHQ-4 scores (95% CI [0.71, 2.99]), and the estimate was positive in all 32 specifications. In exploratory analyses, the association was clear for interpersonal stigma and inconclusive for the other forms.</w:t>
      </w:r>
    </w:p>
    <w:p>
      <w:pPr>
        <w:pStyle w:val="BodyText"/>
      </w:pPr>
      <w:r>
        <w:rPr>
          <w:b/>
          <w:bCs/>
        </w:rPr>
        <w:t xml:space="preserve">Conclusions</w:t>
      </w:r>
      <w:r>
        <w:t xml:space="preserve"> </w:t>
      </w:r>
      <w:r>
        <w:t xml:space="preserve">Symptoms varied with exposure to stigma within the group, a gradient predicted by minority stress theory but not by an identity-based account. The design does not establish direction.</w:t>
      </w:r>
    </w:p>
    <w:p>
      <w:pPr>
        <w:pStyle w:val="BodyText"/>
      </w:pPr>
      <w:r>
        <w:rPr>
          <w:b/>
          <w:bCs/>
        </w:rPr>
        <w:t xml:space="preserve">Policy Implications</w:t>
      </w:r>
      <w:r>
        <w:t xml:space="preserve"> </w:t>
      </w:r>
      <w:r>
        <w:t xml:space="preserve">Elevated symptoms among LGBT people should not be read as evidence of pathology. Naming sexual orientation and gender identity in Vietnam’s Labor Code, and workplace rules against derogatory jokes and intrusive questions, would address the forms of stigma that LGBT workers most often report.</w:t>
      </w:r>
    </w:p>
    <w:p>
      <w:pPr>
        <w:pStyle w:val="BodyText"/>
      </w:pPr>
      <w:r>
        <w:rPr>
          <w:b/>
          <w:bCs/>
        </w:rPr>
        <w:t xml:space="preserve">Keywords</w:t>
      </w:r>
      <w:r>
        <w:t xml:space="preserve"> </w:t>
      </w:r>
      <w:r>
        <w:t xml:space="preserve">Minority stress · Workplace stigma · Enacted stigma · LGBT workers · Anxiety · Depression · Vietnam</w:t>
      </w:r>
    </w:p>
    <w:p>
      <w:r>
        <w:br w:type="page"/>
      </w:r>
    </w:p>
    <w:bookmarkEnd w:id="18"/>
    <w:bookmarkStart w:id="24" w:name="introduction"/>
    <w:p>
      <w:pPr>
        <w:pStyle w:val="Heading1"/>
      </w:pPr>
      <w:r>
        <w:t xml:space="preserve">Introduction</w:t>
      </w:r>
    </w:p>
    <w:p>
      <w:pPr>
        <w:pStyle w:val="FirstParagraph"/>
      </w:pPr>
      <w:r>
        <w:t xml:space="preserve">Sexual minority adults report higher rates of depression and anxiety disorders than heterosexual adults (King et al., 2008; Plöderl &amp; Tremblay, 2015), and bisexual people report higher rates than both heterosexual and gay or lesbian people (Ross et al., 2018). A difference in rates, however, does not identify its source. One reading treats sexual or gender minority identity as the origin of psychological distress. The other treats distress as a consequence of how societies treat people who hold these identities (I. H. Meyer, 2003).</w:t>
      </w:r>
    </w:p>
    <w:p>
      <w:pPr>
        <w:pStyle w:val="BodyText"/>
      </w:pPr>
      <w:r>
        <w:t xml:space="preserve">The first reading has lost its scientific standing. Homosexuality was removed from the American Psychiatric Association’s diagnostic manual in 1973 (Drescher, 2015), and ICD-11 moved gender incongruence out of the chapter on mental disorders (World Health Organization, 2019). Pathologizing interpretations nonetheless persist in social life. In Vietnam, the Ministry of Health instructed medical facilities in 2022 not to regard homosexuality, bisexuality, or being transgender as illnesses (Ministry of Health of Vietnam, 2022), and school lessons have been documented as presenting same-sex attraction as a mental disorder that can be cured (Human Rights Watch, 2020). In such an environment, evidence of elevated distress among LGBT people risks being absorbed into the very prejudice that may help to produce it.</w:t>
      </w:r>
    </w:p>
    <w:p>
      <w:pPr>
        <w:pStyle w:val="BodyText"/>
      </w:pPr>
      <w:r>
        <w:t xml:space="preserve">Minority stress theory turns this dispute into a testable prediction. If symptoms arise partly from prejudice, members of a minority group who encounter stigma more often should report more symptoms (I. H. Meyer, 2003). An account that locates distress in identity, which all members of the group share, offers no reason to expect such a gradient. The test is asymmetric. A precisely estimated absence of a gradient would weaken the minority stress account in the setting studied. A gradient would be consistent with the account, but it would not exclude rival explanations, such as people with more symptoms recalling more negative events, or a third factor shaping both.</w:t>
      </w:r>
    </w:p>
    <w:p>
      <w:pPr>
        <w:pStyle w:val="BodyText"/>
      </w:pPr>
      <w:r>
        <w:t xml:space="preserve">The workplace is an informative setting for this test. Adults spend much of their waking time at work, interact repeatedly with the same colleagues and supervisors, and cannot easily avoid them. Workplaces also convert prejudice into decisions about assignments, evaluation, and pay. In Vietnam, the Labor Code prohibits employment discrimination on a list of grounds that does not include sexual orientation or gender identity (National Assembly of Vietnam, 2019), so the protection that LGBT workers receive depends largely on their employers. Which forms of stigma LGBT workers encounter at work, and which of these forms accompany distress, are therefore questions with direct consequences for law and for workplace policy. The present study asks both questions.</w:t>
      </w:r>
    </w:p>
    <w:bookmarkStart w:id="19" w:name="X2619d22ed26025387dd47ce97a0b58f1c79ce32"/>
    <w:p>
      <w:pPr>
        <w:pStyle w:val="Heading2"/>
      </w:pPr>
      <w:r>
        <w:t xml:space="preserve">Minority Stress and the Within-Group Prediction</w:t>
      </w:r>
    </w:p>
    <w:p>
      <w:pPr>
        <w:pStyle w:val="FirstParagraph"/>
      </w:pPr>
      <w:r>
        <w:t xml:space="preserve">Minority stress theory explains mental health disparities through social conditions rather than identity. Building on work with gay men (I. H. Meyer, 1995), I. H. Meyer (2003) described minority stress as unique, chronic, and socially based. The model distinguishes distal stressors, such as discrimination and harassment, from proximal stressors, such as expectations of rejection, concealment, and internalized stigma, and places coping and social support in a position to alter the link between stress and health. Hatzenbuehler (2009) added that stigma-related stress may impair emotion regulation, interpersonal functioning, and cognition, which in turn lead to psychopathology. Later work extended the theory to structural stigma (Hatzenbuehler, 2016; Hatzenbuehler et al., 2010; Pachankis &amp; Bränström, 2018) and to transgender and gender nonconforming people (Hendricks &amp; Testa, 2012), and emphasized that minority stress processes must be studied across different social and policy contexts (Frost &amp; Meyer, 2023).</w:t>
      </w:r>
    </w:p>
    <w:p>
      <w:pPr>
        <w:pStyle w:val="BodyText"/>
      </w:pPr>
      <w:r>
        <w:t xml:space="preserve">The theory yields three kinds of prediction. Minority groups should report more symptoms than majority groups, which is a disparity prediction. Members exposed to more distal stressors should report more symptoms than other members, which is a gradient prediction. Proximal stressors should lie between distal stressors and symptoms, which is a pathway prediction. A disparity test requires an equivalently recruited comparison group, and a pathway test requires temporally ordered data, because cross-sectional mediation estimates can be substantially biased (Maxwell &amp; Cole, 2007). A gradient test requires only variation in exposure within the group. It is also the prediction that sets the two readings against each other: both predict a disparity, but only the prejudice reading predicts a gradient.</w:t>
      </w:r>
    </w:p>
    <w:p>
      <w:pPr>
        <w:pStyle w:val="BodyText"/>
      </w:pPr>
      <w:r>
        <w:t xml:space="preserve">Evidence for the gradient is stronger for concurrent than for prospective associations. Across stigmatized groups, people who report more discrimination also report more symptoms (Lewis et al., 2015; Schmitt et al., 2014). Perceived discrimination remained associated with lower well-being in longitudinal studies that controlled for earlier well-being (</w:t>
      </w:r>
      <w:r>
        <w:rPr>
          <w:i/>
          <w:iCs/>
        </w:rPr>
        <w:t xml:space="preserve">r</w:t>
      </w:r>
      <w:r>
        <w:t xml:space="preserve"> </w:t>
      </w:r>
      <w:r>
        <w:t xml:space="preserve">= −.15; Schmitt et al., 2014). Among sexual and gender minority individuals assigned female at birth, minority stress predicted increases in anxiety and depressive symptoms six months later (Dyar et al., 2020, as cited in Herry &amp; Dyar, 2025). In an eight-year study of young gay and bisexual men, by contrast, distal stressors were associated with concurrent symptoms but did not predict later change (Pachankis et al., 2018, as cited in Herry &amp; Dyar, 2025). A cross-sectional gradient therefore establishes co-occurrence, not temporal order.</w:t>
      </w:r>
    </w:p>
    <w:bookmarkEnd w:id="19"/>
    <w:bookmarkStart w:id="20" w:name="forms-of-stigma-in-the-workplace"/>
    <w:p>
      <w:pPr>
        <w:pStyle w:val="Heading2"/>
      </w:pPr>
      <w:r>
        <w:t xml:space="preserve">Forms of Stigma in the Workplace</w:t>
      </w:r>
    </w:p>
    <w:p>
      <w:pPr>
        <w:pStyle w:val="FirstParagraph"/>
      </w:pPr>
      <w:r>
        <w:t xml:space="preserve">Several features of the workplace may change how distal stressors operate. Interaction at work is repeated and hard to avoid, and leaving a stigmatizing workplace means losing income. Workplaces allocate resources hierarchically, so the prejudice of a decision-maker can become a formal disadvantage. Hebl et al. (2002) found that job applicants presented as gay were not treated differently in formal terms but received more negative interpersonal responses. Organizations can sanction or tolerate stigma: gay and lesbian employees reported more discrimination in organizations that lacked supportive policies (Ragins &amp; Cornwell, 2001).</w:t>
      </w:r>
    </w:p>
    <w:p>
      <w:pPr>
        <w:pStyle w:val="BodyText"/>
      </w:pPr>
      <w:r>
        <w:t xml:space="preserve">Link and Phelan (2001) define stigma as the co-occurrence of labeling, stereotyping, separation, status loss, and discrimination in a situation of power, so discrimination is one component of stigma. We use the broader concept of enacted stigma, defined as workplace behavior and conditions that target, or are based on, a worker’s sexual orientation, gender identity, or gender expression and that demean, intrude upon, or disadvantage the worker. We distinguish three forms. Interpersonal stigma comprises derogation, such as offensive jokes, which partly overlaps with microaggressions (Nadal et al., 2016), and intrusion into privacy, including unwanted questions and disclosure of a worker’s identity without consent. Career-related stigma comprises formal discrimination in training, evaluation, pay, or work assignments. Gender-expression stigma comprises pressure to conform to gender stereotypes and barriers to gender identity, such as difficulty using one’s name, pronouns, dress, or restrooms. Only career-related stigma corresponds to discrimination as defined in Vietnam’s Labor Code (National Assembly of Vietnam, 2019).</w:t>
      </w:r>
    </w:p>
    <w:p>
      <w:pPr>
        <w:pStyle w:val="BodyText"/>
      </w:pPr>
      <w:r>
        <w:t xml:space="preserve">The forms differ in ways that matter for both measurement and policy. Interpersonal events are recognizable as they occur: an offensive joke carries its stigmatizing content within itself. A decision about training or pay counts as stigma only if the worker attributes it to their sexual orientation or gender identity, and reports of such forms are more open to the influence of mood and expectations (Lewis et al., 2015). The forms may also differ in their association with distress. In experiments included in the meta-analysis of Schmitt et al. (2014), perceptions that discrimination is pervasive lowered well-being, whereas attributing a single negative event to discrimination did not, which suggests that frequent everyday events may matter more than rare decisions. A single summed score cannot show which forms workers encounter most often or which forms carry an association with symptoms, yet law and workplace policy address specific behaviors rather than a total.</w:t>
      </w:r>
    </w:p>
    <w:p>
      <w:pPr>
        <w:pStyle w:val="BodyText"/>
      </w:pPr>
      <w:r>
        <w:t xml:space="preserve">Evidence on minority stress at work is consistent in direction but limited in design and context. Heterosexism and discrimination at work accompany greater psychological distress (Velez et al., 2013; Waldo, 1999). A systematic review of 32 studies including 8,369 LGBTQ+ workers identified internalized stigma, heterosexism, job stress, and low income as correlates of poorer mental health. Thirty of the 32 studies were cross-sectional, and the main findings were expressed as differences between LGBTQ+ and other workers (Tomic et al., 2025; see also Owens et al., 2022). Evidence from Asia has only recently appeared. Among 706 LGBTQ employees in China, minority stressors were associated with less favorable perceptions of workplace climate, which were associated with more depressive symptoms; anxiety was not examined (Lo et al., 2025).</w:t>
      </w:r>
    </w:p>
    <w:bookmarkEnd w:id="20"/>
    <w:bookmarkStart w:id="21" w:name="the-vietnamese-context"/>
    <w:p>
      <w:pPr>
        <w:pStyle w:val="Heading2"/>
      </w:pPr>
      <w:r>
        <w:t xml:space="preserve">The Vietnamese Context</w:t>
      </w:r>
    </w:p>
    <w:p>
      <w:pPr>
        <w:pStyle w:val="FirstParagraph"/>
      </w:pPr>
      <w:r>
        <w:t xml:space="preserve">Vietnam’s legal treatment of LGBT people combines elements that pull in different directions. The health sector has rejected the pathologizing view (Ministry of Health of Vietnam, 2022), and the Civil Code recognizes gender transition while leaving its regulation to a separate law (National Assembly of Vietnam, 2015, Art. 37). The Law on Marriage and Family does not recognize marriage between people of the same sex (National Assembly of Vietnam, 2014, Art. 8(2)), and Article 3(8) of the Labor Code defines employment discrimination through a list of grounds that omits sexual orientation and gender identity (National Assembly of Vietnam, 2019). Workers therefore have weak grounds for complaint, employers have no specific legal duty to respond, and offensive jokes or intrusive questions are especially likely to be treated as private matters between colleagues. Because labor law applies uniformly across the country, protection varies mainly across organizations, whereas research in the United States has exploited variation across jurisdictions (Herry &amp; Dyar, 2025; Ragins &amp; Cornwell, 2001).</w:t>
      </w:r>
    </w:p>
    <w:p>
      <w:pPr>
        <w:pStyle w:val="BodyText"/>
      </w:pPr>
      <w:r>
        <w:t xml:space="preserve">Reports by international and civil society organizations document the prevalence of stigma. In a national survey of 2,363 respondents, about one in three felt they had experienced discrimination because of their sexual orientation or gender identity in the previous 12 months, most often in the family, at school, and at work (Institute for Studies of Society, Economy and Environment, 2015; see also United Nations Development Programme &amp; United States Agency for International Development, 2014). These reports do not distinguish forms of stigma within a domain or estimate associations with mental health. Peer-reviewed quantitative studies have developed measures (T. Q. Nguyen, Bandeen-Roche, et al., 2016; T. Q. Nguyen, Poteat, et al., 2016) and have examined mainly proximal processes within single groups: internalized homophobia, disclosure, and depressive symptoms among sexual minority women (Tran et al., 2020), self-stigma among LGBTQ+ people (Ngo et al., 2026), and gender dysphoria and distress among transgender people (L. V. Nguyen et al., 2026). Among men who have sex with men in Hanoi, depression and substance use were intermediate links between stigma and sexual risk behavior (Ha et al., 2015). Distal stressors within a specific domain of life, such as the workplace, have not been measured systematically.</w:t>
      </w:r>
    </w:p>
    <w:bookmarkEnd w:id="21"/>
    <w:bookmarkStart w:id="23" w:name="current-study"/>
    <w:p>
      <w:pPr>
        <w:pStyle w:val="Heading2"/>
      </w:pPr>
      <w:r>
        <w:t xml:space="preserve">Current Study</w:t>
      </w:r>
    </w:p>
    <w:p>
      <w:pPr>
        <w:pStyle w:val="FirstParagraph"/>
      </w:pPr>
      <w:r>
        <w:t xml:space="preserve">Three limitations of the existing evidence motivate the present study. First, evidence on LGBT workers’ mental health is reported mainly as differences from non-LGBT workers (Tomic et al., 2025), which cannot discriminate between the pathology and prejudice readings. Second, the foundational studies of minority stress at work come from the United States. Evidence from settings in which labor law does not name sexual orientation or gender identity and in which pathologizing views persist is scarce. To our knowledge, no peer-reviewed study in Vietnam has described the forms of enacted stigma that LGBT workers encounter at work or estimated their association with anxiety or depressive symptoms. Third, when workplace stigma is summed into a single score or combined with stigma in other domains (e.g., Herry &amp; Dyar, 2025), it is not possible to tell which forms of behavior workers encounter or which forms carry the association, and some studies measure depressive symptoms only (Lo et al., 2025; Tran et al., 2020).</w:t>
      </w:r>
    </w:p>
    <w:p>
      <w:pPr>
        <w:pStyle w:val="BodyText"/>
      </w:pPr>
      <w:r>
        <w:t xml:space="preserve">We ask two questions. First, which forms of enacted stigma do LGBT workers in Vietnam experience at work, and how often? Second, how are these forms associated with the severity of anxiety and depressive symptoms, after adjustment for characteristics that precede exposure? We use LGBT as an umbrella term for sexual minorities and gender minorities, recognizing that sex assigned at birth, gender identity, and sexual orientation are distinct (National Academies of Sciences, Engineering, and Medicine, 2022). We examine symptom severity rather than disorder; a higher score indicates neither a disorder nor that an identity is pathological. All analyses compare LGBT workers with one another. The analysis plan was finalized before the models were estimated, but it was not registered and parts of it were revised after initial estimation (see Analysis History). We therefore present the study as exploratory research rather than as a confirmatory test.</w:t>
      </w:r>
    </w:p>
    <w:bookmarkStart w:id="22" w:name="hypothesis-and-research-question"/>
    <w:p>
      <w:pPr>
        <w:pStyle w:val="Heading3"/>
      </w:pPr>
      <w:r>
        <w:t xml:space="preserve">Hypothesis and Research Question</w:t>
      </w:r>
    </w:p>
    <w:p>
      <w:pPr>
        <w:pStyle w:val="FirstParagraph"/>
      </w:pPr>
      <w:r>
        <w:t xml:space="preserve">The first question is descriptive and is answered without hypothesis tests. For the second, we tested one hypothesis: among LGBT workers, the workplace stigma index is positively associated with total symptom severity on the PHQ-4 (H1). As an exploratory research question, we asked how interpersonal, career-related, and gender-expression stigma are each associated with PHQ-4 scores, and whether their associations differ (RQ1). Supplementary exploratory analyses examine each stigma situation and three levels of exposure. These analyses describe the data and inform future research; they are not used to replace or strengthen the test of H1.</w:t>
      </w:r>
    </w:p>
    <w:bookmarkEnd w:id="22"/>
    <w:bookmarkEnd w:id="23"/>
    <w:bookmarkEnd w:id="24"/>
    <w:bookmarkStart w:id="31" w:name="methods"/>
    <w:p>
      <w:pPr>
        <w:pStyle w:val="Heading1"/>
      </w:pPr>
      <w:r>
        <w:t xml:space="preserve">Methods</w:t>
      </w:r>
    </w:p>
    <w:bookmarkStart w:id="25" w:name="participants-and-procedures"/>
    <w:p>
      <w:pPr>
        <w:pStyle w:val="Heading2"/>
      </w:pPr>
      <w:r>
        <w:t xml:space="preserve">Participants and Procedures</w:t>
      </w:r>
    </w:p>
    <w:p>
      <w:pPr>
        <w:pStyle w:val="FirstParagraph"/>
      </w:pPr>
      <w:r>
        <w:t xml:space="preserve">We used data from a cross-sectional survey of workers in Vietnam. The survey was open to workers of any sexual orientation and gender identity; this article analyzes the respondents who identified as LGBT. Respondents were eligible if they were 18 years or older and had a main income-generating job in Vietnam, as verified by two screening questions. Because no sampling frame exists for LGBT people in Vietnam, participants were recruited by convenience and snowball sampling through community networks. Before answering, participants read an information page that described the purpose of the study, warned that the questionnaire contained sensitive questions, and explained that they could skip any question or stop at any time. The questionnaire did not collect names, contact details, places of residence, or names of employers.</w:t>
      </w:r>
    </w:p>
    <w:p>
      <w:pPr>
        <w:pStyle w:val="BodyText"/>
      </w:pPr>
      <w:r>
        <w:t xml:space="preserve">Table 1 shows how the samples were formed. Of 850 responses, 734 reported a main income-generating job, and 719 of these answered at least one question after the screening questions. Every respondent with such data had passed the age screening question, so age required no separate exclusion. Of the 719, 300 identified as LGBT. The analytic sample comprises the 272 LGBT respondents with complete PHQ-4 responses and a valid stigma index. The main sample comprises the 235 of them with complete pre-exposure covariates when</w:t>
      </w:r>
      <w:r>
        <w:t xml:space="preserve"> </w:t>
      </w:r>
      <w:r>
        <w:t xml:space="preserve">“prefer not to answer”</w:t>
      </w:r>
      <w:r>
        <w:t xml:space="preserve"> </w:t>
      </w:r>
      <w:r>
        <w:t xml:space="preserve">is coded as a separate category (main rule); 226 had complete covariates when it is treated as missing (alternative rule). Each model uses the respondents with complete data on the variables it contains.</w:t>
      </w:r>
    </w:p>
    <w:p>
      <w:pPr>
        <w:pStyle w:val="BodyText"/>
      </w:pPr>
      <w:r>
        <w:rPr>
          <w:b/>
          <w:bCs/>
        </w:rPr>
        <w:t xml:space="preserve">Table 1</w:t>
      </w:r>
      <w:r>
        <w:t xml:space="preserve"> </w:t>
      </w:r>
      <w:r>
        <w:rPr>
          <w:i/>
          <w:iCs/>
        </w:rPr>
        <w:t xml:space="preserve">Formation of the samples</w:t>
      </w:r>
    </w:p>
    <w:tbl>
      <w:tblPr>
        <w:tblStyle w:val="Table"/>
        <w:tblW w:type="pct" w:w="5000"/>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3960"/>
        <w:gridCol w:w="3960"/>
      </w:tblGrid>
      <w:tr>
        <w:trPr>
          <w:tblHeader w:val="on"/>
        </w:trPr>
        <w:tc>
          <w:tcPr>
            <w:tcBorders>
              <w:bottom w:val="single" w:sz="6" w:space="0" w:color="000000"/>
            </w:tcBorders>
          </w:tcPr>
          <w:p>
            <w:pPr>
              <w:pStyle w:val="Compact"/>
            </w:pPr>
            <w:r>
              <w:rPr>
                <w:rFonts w:ascii="Times New Roman" w:hAnsi="Times New Roman"/>
                <w:sz w:val="20"/>
              </w:rPr>
              <w:t xml:space="preserve">Step</w:t>
            </w:r>
          </w:p>
        </w:tc>
        <w:tc>
          <w:tcPr>
            <w:tcBorders>
              <w:bottom w:val="single" w:sz="6" w:space="0" w:color="000000"/>
            </w:tcBorders>
          </w:tcPr>
          <w:p>
            <w:pPr>
              <w:pStyle w:val="Compact"/>
            </w:pPr>
            <w:r>
              <w:rPr>
                <w:rFonts w:ascii="Times New Roman" w:hAnsi="Times New Roman"/>
                <w:i/>
                <w:iCs/>
                <w:sz w:val="20"/>
              </w:rPr>
              <w:t xml:space="preserve">n</w:t>
            </w:r>
          </w:p>
        </w:tc>
      </w:tr>
      <w:tr>
        <w:tc>
          <w:tcPr/>
          <w:p>
            <w:pPr>
              <w:pStyle w:val="Compact"/>
            </w:pPr>
            <w:r>
              <w:rPr>
                <w:rFonts w:ascii="Times New Roman" w:hAnsi="Times New Roman"/>
                <w:sz w:val="20"/>
              </w:rPr>
              <w:t xml:space="preserve">Responses received</w:t>
            </w:r>
          </w:p>
        </w:tc>
        <w:tc>
          <w:tcPr/>
          <w:p>
            <w:pPr>
              <w:pStyle w:val="Compact"/>
            </w:pPr>
            <w:r>
              <w:rPr>
                <w:rFonts w:ascii="Times New Roman" w:hAnsi="Times New Roman"/>
                <w:sz w:val="20"/>
              </w:rPr>
              <w:t xml:space="preserve">850</w:t>
            </w:r>
          </w:p>
        </w:tc>
      </w:tr>
      <w:tr>
        <w:tc>
          <w:tcPr/>
          <w:p>
            <w:pPr>
              <w:pStyle w:val="Compact"/>
            </w:pPr>
            <w:r>
              <w:rPr>
                <w:rFonts w:ascii="Times New Roman" w:hAnsi="Times New Roman"/>
                <w:sz w:val="20"/>
              </w:rPr>
              <w:t xml:space="preserve">Reported a main income-generating job in Vietnam</w:t>
            </w:r>
          </w:p>
        </w:tc>
        <w:tc>
          <w:tcPr/>
          <w:p>
            <w:pPr>
              <w:pStyle w:val="Compact"/>
            </w:pPr>
            <w:r>
              <w:rPr>
                <w:rFonts w:ascii="Times New Roman" w:hAnsi="Times New Roman"/>
                <w:sz w:val="20"/>
              </w:rPr>
              <w:t xml:space="preserve">734</w:t>
            </w:r>
          </w:p>
        </w:tc>
      </w:tr>
      <w:tr>
        <w:tc>
          <w:tcPr/>
          <w:p>
            <w:pPr>
              <w:pStyle w:val="Compact"/>
            </w:pPr>
            <w:r>
              <w:rPr>
                <w:rFonts w:ascii="Times New Roman" w:hAnsi="Times New Roman"/>
                <w:sz w:val="20"/>
              </w:rPr>
              <w:t xml:space="preserve">Answered at least one question after the screening questions</w:t>
            </w:r>
          </w:p>
        </w:tc>
        <w:tc>
          <w:tcPr/>
          <w:p>
            <w:pPr>
              <w:pStyle w:val="Compact"/>
            </w:pPr>
            <w:r>
              <w:rPr>
                <w:rFonts w:ascii="Times New Roman" w:hAnsi="Times New Roman"/>
                <w:sz w:val="20"/>
              </w:rPr>
              <w:t xml:space="preserve">719</w:t>
            </w:r>
          </w:p>
        </w:tc>
      </w:tr>
      <w:tr>
        <w:tc>
          <w:tcPr/>
          <w:p>
            <w:pPr>
              <w:pStyle w:val="Compact"/>
            </w:pPr>
            <w:r>
              <w:rPr>
                <w:rFonts w:ascii="Times New Roman" w:hAnsi="Times New Roman"/>
                <w:sz w:val="20"/>
              </w:rPr>
              <w:t xml:space="preserve">Self-identified as LGBT</w:t>
            </w:r>
          </w:p>
        </w:tc>
        <w:tc>
          <w:tcPr/>
          <w:p>
            <w:pPr>
              <w:pStyle w:val="Compact"/>
            </w:pPr>
            <w:r>
              <w:rPr>
                <w:rFonts w:ascii="Times New Roman" w:hAnsi="Times New Roman"/>
                <w:sz w:val="20"/>
              </w:rPr>
              <w:t xml:space="preserve">300</w:t>
            </w:r>
          </w:p>
        </w:tc>
      </w:tr>
      <w:tr>
        <w:tc>
          <w:tcPr/>
          <w:p>
            <w:pPr>
              <w:pStyle w:val="Compact"/>
            </w:pPr>
            <w:r>
              <w:rPr>
                <w:rFonts w:ascii="Times New Roman" w:hAnsi="Times New Roman"/>
                <w:sz w:val="20"/>
              </w:rPr>
              <w:t xml:space="preserve">Complete PHQ-4 and valid stigma index (analytic sample)</w:t>
            </w:r>
          </w:p>
        </w:tc>
        <w:tc>
          <w:tcPr/>
          <w:p>
            <w:pPr>
              <w:pStyle w:val="Compact"/>
            </w:pPr>
            <w:r>
              <w:rPr>
                <w:rFonts w:ascii="Times New Roman" w:hAnsi="Times New Roman"/>
                <w:sz w:val="20"/>
              </w:rPr>
              <w:t xml:space="preserve">272</w:t>
            </w:r>
          </w:p>
        </w:tc>
      </w:tr>
      <w:tr>
        <w:tc>
          <w:tcPr/>
          <w:p>
            <w:pPr>
              <w:pStyle w:val="Compact"/>
            </w:pPr>
            <w:r>
              <w:rPr>
                <w:rFonts w:ascii="Times New Roman" w:hAnsi="Times New Roman"/>
                <w:sz w:val="20"/>
              </w:rPr>
              <w:t xml:space="preserve">Complete pre-exposure covariates, main rule (main sample)</w:t>
            </w:r>
          </w:p>
        </w:tc>
        <w:tc>
          <w:tcPr/>
          <w:p>
            <w:pPr>
              <w:pStyle w:val="Compact"/>
            </w:pPr>
            <w:r>
              <w:rPr>
                <w:rFonts w:ascii="Times New Roman" w:hAnsi="Times New Roman"/>
                <w:sz w:val="20"/>
              </w:rPr>
              <w:t xml:space="preserve">235</w:t>
            </w:r>
          </w:p>
        </w:tc>
      </w:tr>
      <w:tr>
        <w:tc>
          <w:tcPr/>
          <w:p>
            <w:pPr>
              <w:pStyle w:val="Compact"/>
            </w:pPr>
            <w:r>
              <w:rPr>
                <w:rFonts w:ascii="Times New Roman" w:hAnsi="Times New Roman"/>
                <w:sz w:val="20"/>
              </w:rPr>
              <w:t xml:space="preserve">Complete pre-exposure covariates, alternative rule</w:t>
            </w:r>
          </w:p>
        </w:tc>
        <w:tc>
          <w:tcPr/>
          <w:p>
            <w:pPr>
              <w:pStyle w:val="Compact"/>
            </w:pPr>
            <w:r>
              <w:rPr>
                <w:rFonts w:ascii="Times New Roman" w:hAnsi="Times New Roman"/>
                <w:sz w:val="20"/>
              </w:rPr>
              <w:t xml:space="preserve">226</w:t>
            </w:r>
          </w:p>
        </w:tc>
      </w:tr>
      <w:tr>
        <w:tc>
          <w:tcPr/>
          <w:p>
            <w:pPr>
              <w:pStyle w:val="Compact"/>
            </w:pPr>
            <w:r>
              <w:rPr>
                <w:rFonts w:ascii="Times New Roman" w:hAnsi="Times New Roman"/>
                <w:sz w:val="20"/>
              </w:rPr>
              <w:t xml:space="preserve">Main sample with valid scores on the three stigma sub-indices (RQ1)</w:t>
            </w:r>
          </w:p>
        </w:tc>
        <w:tc>
          <w:tcPr/>
          <w:p>
            <w:pPr>
              <w:pStyle w:val="Compact"/>
            </w:pPr>
            <w:r>
              <w:rPr>
                <w:rFonts w:ascii="Times New Roman" w:hAnsi="Times New Roman"/>
                <w:sz w:val="20"/>
              </w:rPr>
              <w:t xml:space="preserve">233</w:t>
            </w:r>
          </w:p>
        </w:tc>
      </w:tr>
    </w:tbl>
    <w:p>
      <w:pPr>
        <w:pStyle w:val="BodyText"/>
      </w:pPr>
      <w:r>
        <w:rPr>
          <w:i/>
          <w:iCs/>
        </w:rPr>
        <w:t xml:space="preserve">Note.</w:t>
      </w:r>
      <w:r>
        <w:t xml:space="preserve"> </w:t>
      </w:r>
      <w:r>
        <w:t xml:space="preserve">A valid stigma index requires at least six of the eight situations to be answered. Under the main rule,</w:t>
      </w:r>
      <w:r>
        <w:t xml:space="preserve"> </w:t>
      </w:r>
      <w:r>
        <w:t xml:space="preserve">“prefer not to answer”</w:t>
      </w:r>
      <w:r>
        <w:t xml:space="preserve"> </w:t>
      </w:r>
      <w:r>
        <w:t xml:space="preserve">on a covariate is a separate category; under the alternative rule it is treated as missing.</w:t>
      </w:r>
    </w:p>
    <w:p>
      <w:pPr>
        <w:pStyle w:val="BodyText"/>
      </w:pPr>
      <w:r>
        <w:t xml:space="preserve">By the sexual orientation item, the main sample included 78 bisexual, 62 gay, 62 lesbian, and 21 pansexual respondents, and 10 respondents reported a transgender, nonbinary, or other gender identity. Results are not reported separately for transgender and nonbinary respondents, because the group is too small for estimates that are both stable and safe from re-identification.</w:t>
      </w:r>
    </w:p>
    <w:bookmarkEnd w:id="25"/>
    <w:bookmarkStart w:id="26" w:name="measures"/>
    <w:p>
      <w:pPr>
        <w:pStyle w:val="Heading2"/>
      </w:pPr>
      <w:r>
        <w:t xml:space="preserve">Measures</w:t>
      </w:r>
    </w:p>
    <w:p>
      <w:pPr>
        <w:pStyle w:val="FirstParagraph"/>
      </w:pPr>
      <w:r>
        <w:rPr>
          <w:b/>
          <w:bCs/>
        </w:rPr>
        <w:t xml:space="preserve">Anxiety and depressive symptoms.</w:t>
      </w:r>
      <w:r>
        <w:t xml:space="preserve"> </w:t>
      </w:r>
      <w:r>
        <w:t xml:space="preserve">Symptoms over the previous two weeks were measured with the PHQ-4 (Kroenke et al., 2009), which comprises the two anxiety items of the GAD-7 (Spitzer et al., 2006) and the two depression items of the PHQ-9 (Kroenke et al., 2001). Items are rated from 0 (</w:t>
      </w:r>
      <w:r>
        <w:rPr>
          <w:i/>
          <w:iCs/>
        </w:rPr>
        <w:t xml:space="preserve">not at all</w:t>
      </w:r>
      <w:r>
        <w:t xml:space="preserve">) to 3 (</w:t>
      </w:r>
      <w:r>
        <w:rPr>
          <w:i/>
          <w:iCs/>
        </w:rPr>
        <w:t xml:space="preserve">nearly every day</w:t>
      </w:r>
      <w:r>
        <w:t xml:space="preserve">), giving a total of 0–12, computed only when all four items were answered (α = .82 in the main sample). We found no validation study of the Vietnamese PHQ-4. The closest evidence is the evaluation of the PHQ-9 among Vietnamese sexual minority women (T. Q. Nguyen, Bandeen-Roche, et al., 2016), from which the two depression items are drawn. We therefore treat scores as a continuous measure of symptom severity. For description only, we report the conventional categories of normal (0–2), mild (3–5), moderate (6–8), and severe (9–12) symptom levels (Kroenke et al., 2009) and the share scoring 6 or more. Because 25.1% of respondents scored 0, the outcome has a floor, which the robustness checks address.</w:t>
      </w:r>
    </w:p>
    <w:p>
      <w:pPr>
        <w:pStyle w:val="BodyText"/>
      </w:pPr>
      <w:r>
        <w:rPr>
          <w:b/>
          <w:bCs/>
        </w:rPr>
        <w:t xml:space="preserve">Workplace stigma.</w:t>
      </w:r>
      <w:r>
        <w:t xml:space="preserve"> </w:t>
      </w:r>
      <w:r>
        <w:t xml:space="preserve">LGBT respondents reported how often, in the previous 12 months at their current workplace, they had experienced eight situations: (1) offensive jokes or comments; (2) unwanted personal questions about their sexual orientation, gender identity, or romantic life; (3) disclosure, or threatened disclosure, of their sexual orientation or gender identity without consent; (4) exclusion from training or career development; (5) unfair evaluation, pay, or promotion; (6) unfavorable work assignments; (7) pressure to conform to gender stereotypes; and (8) difficulty using a name, pronouns, dress, or restrooms consistent with their gender identity. Responses were 0 (</w:t>
      </w:r>
      <w:r>
        <w:rPr>
          <w:i/>
          <w:iCs/>
        </w:rPr>
        <w:t xml:space="preserve">never</w:t>
      </w:r>
      <w:r>
        <w:t xml:space="preserve">), 1 (</w:t>
      </w:r>
      <w:r>
        <w:rPr>
          <w:i/>
          <w:iCs/>
        </w:rPr>
        <w:t xml:space="preserve">once</w:t>
      </w:r>
      <w:r>
        <w:t xml:space="preserve">), 2 (</w:t>
      </w:r>
      <w:r>
        <w:rPr>
          <w:i/>
          <w:iCs/>
        </w:rPr>
        <w:t xml:space="preserve">sometimes</w:t>
      </w:r>
      <w:r>
        <w:t xml:space="preserve">), 3 (</w:t>
      </w:r>
      <w:r>
        <w:rPr>
          <w:i/>
          <w:iCs/>
        </w:rPr>
        <w:t xml:space="preserve">often</w:t>
      </w:r>
      <w:r>
        <w:t xml:space="preserve">), and 4 (</w:t>
      </w:r>
      <w:r>
        <w:rPr>
          <w:i/>
          <w:iCs/>
        </w:rPr>
        <w:t xml:space="preserve">very often</w:t>
      </w:r>
      <w:r>
        <w:t xml:space="preserve">).</w:t>
      </w:r>
      <w:r>
        <w:t xml:space="preserve"> </w:t>
      </w:r>
      <w:r>
        <w:t xml:space="preserve">“Not applicable or prefer not to answer”</w:t>
      </w:r>
      <w:r>
        <w:t xml:space="preserve"> </w:t>
      </w:r>
      <w:r>
        <w:t xml:space="preserve">was coded as missing, not as zero. The situations were adapted from Waldo (1999) and behavioral indicators of workplace stigma, developed with the project supervisor, revised after expert consultation, and piloted with 30 respondents. The instrument has not been validated.</w:t>
      </w:r>
    </w:p>
    <w:p>
      <w:pPr>
        <w:pStyle w:val="BodyText"/>
      </w:pPr>
      <w:r>
        <w:t xml:space="preserve">We treat the situations as a formative index rather than a reflective scale. Each situation is a distinct type of event, and experiencing one does not imply experiencing another, so internal consistency is not a criterion of quality (Bollen &amp; Lennox, 1991); Cronbach’s α was .69 among the 112 respondents who answered all eight. The stigma index</w:t>
      </w:r>
      <w:r>
        <w:t xml:space="preserve"> </w:t>
      </w:r>
      <w:r>
        <w:rPr>
          <w:i/>
          <w:iCs/>
        </w:rPr>
        <w:t xml:space="preserve">S</w:t>
      </w:r>
      <w:r>
        <w:t xml:space="preserve"> </w:t>
      </w:r>
      <w:r>
        <w:t xml:space="preserve">is the mean frequency of the eight situations, computed when at least six were answered. In the main sample, 203 respondents answered at least seven situations and 112 answered all eight. Situation 8 was the situation most often left without a frequency (57 of the 272 respondents of the analytic sample), presumably because it applies mainly to transgender and nonbinary people. Coding these responses as missing rather than zero scores each respondent on the situations that apply to them.</w:t>
      </w:r>
    </w:p>
    <w:p>
      <w:pPr>
        <w:pStyle w:val="BodyText"/>
      </w:pPr>
      <w:r>
        <w:t xml:space="preserve">For RQ1, the situations were grouped into the three forms described in the Introduction: interpersonal (situations 1, 2, and 3), career-related (4, 5, and 6), and gender-expression stigma (7 and 8). Each sub-index is the mean of its situations, computed when at least two (interpersonal, career-related) or at least one (gender expression) were answered. Their α values were .51, .44, and .42, which are expected for formative indices of distinct events. For description, a situation or form counts as experienced when it occurred at least once (for a form, a sub-index above zero), and as experienced often when at least one of its situations was rated 3 or 4.</w:t>
      </w:r>
    </w:p>
    <w:p>
      <w:pPr>
        <w:pStyle w:val="BodyText"/>
      </w:pPr>
      <w:r>
        <w:rPr>
          <w:b/>
          <w:bCs/>
        </w:rPr>
        <w:t xml:space="preserve">Other measures.</w:t>
      </w:r>
      <w:r>
        <w:t xml:space="preserve"> </w:t>
      </w:r>
      <w:r>
        <w:t xml:space="preserve">The questionnaire also contained short scales on identity concealment and on perceived enforcement of diversity, equity, and inclusion policies at work. These constructs are outside the scope of this article; the scales are used only in the response-quality check described below.</w:t>
      </w:r>
    </w:p>
    <w:p>
      <w:pPr>
        <w:pStyle w:val="BodyText"/>
      </w:pPr>
      <w:r>
        <w:rPr>
          <w:b/>
          <w:bCs/>
        </w:rPr>
        <w:t xml:space="preserve">Covariates.</w:t>
      </w:r>
      <w:r>
        <w:t xml:space="preserve"> </w:t>
      </w:r>
      <w:r>
        <w:t xml:space="preserve">Pre-exposure characteristics (Xᴰ) comprised eight groups: age group, education, sex assigned at birth, gender minority status (transgender, nonbinary, or other gender identity, compared with man or woman), sexual orientation group (gay; lesbian; bisexual or pansexual; other or questioning), relationship status, region of work, and industry. Job characteristics (Xᴶ) were work experience, position, employment relationship, type and size of organization, social insurance coverage, and weekly working hours. All covariates are categorical. Before estimation, categories with fewer than five respondents in the estimation sample were merged by a rule that uses counts only (Supplementary Methods), because categories with one or two respondents produce leverage values near one, at which heteroskedasticity-consistent standard errors become unstable. Descriptive tables use the original categories. The coefficient of gender minority status is estimated but not reported, so that transgender and nonbinary respondents are not presented as a separate group.</w:t>
      </w:r>
    </w:p>
    <w:p>
      <w:pPr>
        <w:pStyle w:val="BodyText"/>
      </w:pPr>
      <w:r>
        <w:rPr>
          <w:b/>
          <w:bCs/>
        </w:rPr>
        <w:t xml:space="preserve">Response quality.</w:t>
      </w:r>
      <w:r>
        <w:t xml:space="preserve"> </w:t>
      </w:r>
      <w:r>
        <w:t xml:space="preserve">We flagged respondents who chose the same option for every item of all three Likert scales of the questionnaire (the PHQ-4 and the two scales named above), and respondents with clearly contradictory answers, such as the youngest age group combined with a senior management position. Flagged responses are retained in the main analyses and excluded in a robustness check.</w:t>
      </w:r>
    </w:p>
    <w:bookmarkEnd w:id="26"/>
    <w:bookmarkStart w:id="30" w:name="analytic-plan"/>
    <w:p>
      <w:pPr>
        <w:pStyle w:val="Heading2"/>
      </w:pPr>
      <w:r>
        <w:t xml:space="preserve">Analytic Plan</w:t>
      </w:r>
    </w:p>
    <w:p>
      <w:pPr>
        <w:pStyle w:val="FirstParagraph"/>
      </w:pPr>
      <w:r>
        <w:rPr>
          <w:b/>
          <w:bCs/>
        </w:rPr>
        <w:t xml:space="preserve">Descriptive analyses.</w:t>
      </w:r>
      <w:r>
        <w:t xml:space="preserve"> </w:t>
      </w:r>
      <w:r>
        <w:t xml:space="preserve">For each situation, each form, and any of the eight situations, we report the number of respondents who answered, the number and share who experienced it at least once and often or very often, and the mean frequency score; percentages use the respondents who answered as the denominator. We also report how many situations respondents experienced. To describe how the forms relate to symptoms before adjustment, we compare the mean PHQ-4 score and the share scoring 6 or more between respondents who did and did not experience each form. These comparisons are unadjusted and carry no hypothesis tests.</w:t>
      </w:r>
    </w:p>
    <w:p>
      <w:pPr>
        <w:pStyle w:val="BodyText"/>
      </w:pPr>
      <w:r>
        <w:rPr>
          <w:b/>
          <w:bCs/>
        </w:rPr>
        <w:t xml:space="preserve">Estimand and identification.</w:t>
      </w:r>
      <w:r>
        <w:t xml:space="preserve"> </w:t>
      </w:r>
      <w:r>
        <w:t xml:space="preserve">The estimand, η, is the expected difference in PHQ-4 scores between two LGBT workers whose stigma indices differ by one unit on the 0–4 scale and who share the same pre-exposure characteristics. It would equal a causal effect only if no unadjusted factor affected both stigma and symptoms and if reported stigma were not itself shaped by current symptoms. A cross-sectional design with self-reported measures cannot establish either assumption, so we interpret η as an adjusted association.</w:t>
      </w:r>
    </w:p>
    <w:p>
      <w:pPr>
        <w:pStyle w:val="BodyText"/>
      </w:pPr>
      <w:r>
        <w:t xml:space="preserve">Covariates were selected from a causal diagram (Figure 1; Greenland et al., 1999), following the principle of adjusting for pre-exposure causes of the exposure or the outcome (VanderWeele, 2019). Gender minority status and sexual orientation group precede workplace experiences and may shape both exposure and symptoms (Ross et al., 2018). Industry is treated as pre-exposure because most workers enter a sector before their experiences at the current workplace, but some may move to sectors perceived as more accepting, so a robustness check omits it. Relationship status may partly reflect symptoms, and region of work may reflect moves to cities perceived as more accepting. The other job characteristics may confound the association, because the type and size of an organization may shape exposure. They may also lie on the pathway, because stigma may push workers into lower positions or less secure employment, and adjusting for a mediator removes part of the association of interest (Angrist &amp; Pischke, 2009). Job characteristics are therefore added only in a second specification.</w:t>
      </w:r>
    </w:p>
    <w:p>
      <w:pPr>
        <w:pStyle w:val="BodyText"/>
      </w:pPr>
      <w:r>
        <w:rPr>
          <w:b/>
          <w:bCs/>
        </w:rPr>
        <w:t xml:space="preserve">Figure 1</w:t>
      </w:r>
      <w:r>
        <w:t xml:space="preserve"> </w:t>
      </w:r>
      <w:r>
        <w:rPr>
          <w:i/>
          <w:iCs/>
        </w:rPr>
        <w:t xml:space="preserve">Simplified causal diagram used to select covariates</w:t>
      </w:r>
    </w:p>
    <w:p>
      <w:pPr>
        <w:pStyle w:val="BodyText"/>
      </w:pPr>
      <w:r>
        <w:drawing>
          <wp:inline>
            <wp:extent cx="5334000" cy="2987039"/>
            <wp:effectExtent b="0" l="0" r="0" t="0"/>
            <wp:docPr descr="Causal diagram" title="" id="28" name="Picture"/>
            <a:graphic>
              <a:graphicData uri="http://schemas.openxmlformats.org/drawingml/2006/picture">
                <pic:pic>
                  <pic:nvPicPr>
                    <pic:cNvPr descr="figures/fig1_causal_diagram.png" id="29" name="Picture"/>
                    <pic:cNvPicPr>
                      <a:picLocks noChangeArrowheads="1" noChangeAspect="1"/>
                    </pic:cNvPicPr>
                  </pic:nvPicPr>
                  <pic:blipFill>
                    <a:blip r:embed="rId27"/>
                    <a:stretch>
                      <a:fillRect/>
                    </a:stretch>
                  </pic:blipFill>
                  <pic:spPr bwMode="auto">
                    <a:xfrm>
                      <a:off x="0" y="0"/>
                      <a:ext cx="5334000" cy="2987039"/>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Solid arrows are assumed paths. The blue arrow is the association of interest. The dashed red arrow marks recall bias and reverse causation;</w:t>
      </w:r>
      <w:r>
        <w:t xml:space="preserve"> </w:t>
      </w:r>
      <w:r>
        <w:rPr>
          <w:i/>
          <w:iCs/>
        </w:rPr>
        <w:t xml:space="preserve">U</w:t>
      </w:r>
      <w:r>
        <w:t xml:space="preserve"> </w:t>
      </w:r>
      <w:r>
        <w:t xml:space="preserve">denotes unobserved factors.</w:t>
      </w:r>
    </w:p>
    <w:p>
      <w:pPr>
        <w:pStyle w:val="BodyText"/>
      </w:pPr>
      <w:r>
        <w:rPr>
          <w:b/>
          <w:bCs/>
        </w:rPr>
        <w:t xml:space="preserve">Main model (H1).</w:t>
      </w:r>
      <w:r>
        <w:t xml:space="preserve"> </w:t>
      </w:r>
      <w:r>
        <w:t xml:space="preserve">H1 was tested with PHQᵢ = α + η·Sᵢ + γ′Xᵢᴰ + εᵢ, estimated by ordinary least squares, whose coefficient on</w:t>
      </w:r>
      <w:r>
        <w:t xml:space="preserve"> </w:t>
      </w:r>
      <w:r>
        <w:rPr>
          <w:i/>
          <w:iCs/>
        </w:rPr>
        <w:t xml:space="preserve">S</w:t>
      </w:r>
      <w:r>
        <w:t xml:space="preserve"> </w:t>
      </w:r>
      <w:r>
        <w:t xml:space="preserve">is directly the estimand. Standard errors are heteroskedasticity-consistent of type HC3, which perform better than HC1 in samples of a few hundred observations (Long &amp; Ervin, 2000); this choice was fixed before estimation, whatever the results of heteroskedasticity tests. H1 is supported if η is positive and statistically significant in a two-sided test at the 5% level. A second specification adds Xᴶ; it indicates how far the association may run through job characteristics and is never used to select results.</w:t>
      </w:r>
    </w:p>
    <w:p>
      <w:pPr>
        <w:pStyle w:val="BodyText"/>
      </w:pPr>
      <w:r>
        <w:rPr>
          <w:b/>
          <w:bCs/>
        </w:rPr>
        <w:t xml:space="preserve">Forms of stigma (RQ1).</w:t>
      </w:r>
      <w:r>
        <w:t xml:space="preserve"> </w:t>
      </w:r>
      <w:r>
        <w:t xml:space="preserve">RQ1 uses the 233 respondents of the main sample with valid scores on all three sub-indices. Each sub-index is standardized in this sample, so its coefficient is the difference in PHQ-4 points per standard deviation and can be compared across forms whose frequencies differ. We estimated one model per sub-index, with the same covariates as H1, and a joint model that enters the three sub-indices together. Because a difference in statistical significance between two coefficients is not evidence that the coefficients differ (Gelman &amp; Stern, 2006), the joint model tests the three pairwise differences directly.</w:t>
      </w:r>
    </w:p>
    <w:p>
      <w:pPr>
        <w:pStyle w:val="BodyText"/>
      </w:pPr>
      <w:r>
        <w:rPr>
          <w:b/>
          <w:bCs/>
        </w:rPr>
        <w:t xml:space="preserve">Supplementary exploratory analyses.</w:t>
      </w:r>
      <w:r>
        <w:t xml:space="preserve"> </w:t>
      </w:r>
      <w:r>
        <w:t xml:space="preserve">One model per situation replaces</w:t>
      </w:r>
      <w:r>
        <w:t xml:space="preserve"> </w:t>
      </w:r>
      <w:r>
        <w:rPr>
          <w:i/>
          <w:iCs/>
        </w:rPr>
        <w:t xml:space="preserve">S</w:t>
      </w:r>
      <w:r>
        <w:t xml:space="preserve"> </w:t>
      </w:r>
      <w:r>
        <w:t xml:space="preserve">with the indicator for that situation. Situations experienced by fewer than 10 respondents, or not experienced by fewer than 10, are not estimated, so that small cells are not disclosed. A second model replaces</w:t>
      </w:r>
      <w:r>
        <w:t xml:space="preserve"> </w:t>
      </w:r>
      <w:r>
        <w:rPr>
          <w:i/>
          <w:iCs/>
        </w:rPr>
        <w:t xml:space="preserve">S</w:t>
      </w:r>
      <w:r>
        <w:t xml:space="preserve"> </w:t>
      </w:r>
      <w:r>
        <w:t xml:space="preserve">with indicators for low and high exposure, with no exposure as the reference; the cut point is the median of</w:t>
      </w:r>
      <w:r>
        <w:t xml:space="preserve"> </w:t>
      </w:r>
      <w:r>
        <w:rPr>
          <w:i/>
          <w:iCs/>
        </w:rPr>
        <w:t xml:space="preserve">S</w:t>
      </w:r>
      <w:r>
        <w:t xml:space="preserve"> </w:t>
      </w:r>
      <w:r>
        <w:t xml:space="preserve">among exposed respondents in the main sample.</w:t>
      </w:r>
    </w:p>
    <w:p>
      <w:pPr>
        <w:pStyle w:val="BodyText"/>
      </w:pPr>
      <w:r>
        <w:rPr>
          <w:b/>
          <w:bCs/>
        </w:rPr>
        <w:t xml:space="preserve">Multiple testing.</w:t>
      </w:r>
      <w:r>
        <w:t xml:space="preserve"> </w:t>
      </w:r>
      <w:r>
        <w:t xml:space="preserve">H1 is the single hypothesis test and is not adjusted. Within the three separate RQ1 models and within the situation-level models,</w:t>
      </w:r>
      <w:r>
        <w:t xml:space="preserve"> </w:t>
      </w:r>
      <w:r>
        <w:rPr>
          <w:i/>
          <w:iCs/>
        </w:rPr>
        <w:t xml:space="preserve">p</w:t>
      </w:r>
      <w:r>
        <w:t xml:space="preserve"> </w:t>
      </w:r>
      <w:r>
        <w:t xml:space="preserve">values are adjusted with the Benjamini and Hochberg (1995) procedure.</w:t>
      </w:r>
    </w:p>
    <w:p>
      <w:pPr>
        <w:pStyle w:val="BodyText"/>
      </w:pPr>
      <w:r>
        <w:rPr>
          <w:b/>
          <w:bCs/>
        </w:rPr>
        <w:t xml:space="preserve">Inference and decision rules.</w:t>
      </w:r>
      <w:r>
        <w:t xml:space="preserve"> </w:t>
      </w:r>
      <w:r>
        <w:t xml:space="preserve">All coefficients are reported with 95% confidence intervals. To distinguish an absent association from an imprecise one, we fixed the smallest effect size of interest at 1.0 PHQ-4 point per unit of</w:t>
      </w:r>
      <w:r>
        <w:t xml:space="preserve"> </w:t>
      </w:r>
      <w:r>
        <w:rPr>
          <w:i/>
          <w:iCs/>
        </w:rPr>
        <w:t xml:space="preserve">S</w:t>
      </w:r>
      <w:r>
        <w:t xml:space="preserve">, about 0.14 standard deviations of the PHQ-4 per standard deviation of</w:t>
      </w:r>
      <w:r>
        <w:t xml:space="preserve"> </w:t>
      </w:r>
      <w:r>
        <w:rPr>
          <w:i/>
          <w:iCs/>
        </w:rPr>
        <w:t xml:space="preserve">S</w:t>
      </w:r>
      <w:r>
        <w:t xml:space="preserve"> </w:t>
      </w:r>
      <w:r>
        <w:t xml:space="preserve">in the main sample. The bound is smaller than the average association between perceived discrimination and well-being reported by Schmitt et al. (2014), so an association of the size typical in that literature is not treated as negligible. For H1 we report, alongside the conventional test, a two one-sided tests procedure (Lakens, 2017; Lakens et al., 2018) with three possible conclusions: no practically meaningful association, only if the 90% confidence interval lies entirely within ±1.0; a positive association, if the 95% interval excludes zero and the estimate is positive; and inconclusive, if the interval contains both zero and values beyond the bound. The same reading of intervals is applied to the exploratory analyses. After estimation we report the minimum detectable effect at 5% significance and 80% power as 2.8 times the standard error of η.</w:t>
      </w:r>
    </w:p>
    <w:p>
      <w:pPr>
        <w:pStyle w:val="BodyText"/>
      </w:pPr>
      <w:r>
        <w:rPr>
          <w:b/>
          <w:bCs/>
        </w:rPr>
        <w:t xml:space="preserve">Threats to identification and sensitivity analysis.</w:t>
      </w:r>
      <w:r>
        <w:t xml:space="preserve"> </w:t>
      </w:r>
      <w:r>
        <w:t xml:space="preserve">Four sources of bias could inflate η: unmeasured minority stress outside work, reverse causation, recall bias, and common-method variance (Podsakoff et al., 2003). The stigma and PHQ-4 sections use different response scales and reference periods. However, the stigma section immediately precedes the PHQ-4, and recalling stigmatizing events just before rating one’s symptoms may raise symptom reports (Schwarz, 1999). We quantified sensitivity to unmeasured confounding with the omitted-variable bias framework of Cinelli and Hazlett (2020), reporting the partial</w:t>
      </w:r>
      <w:r>
        <w:t xml:space="preserve"> </w:t>
      </w:r>
      <w:r>
        <w:rPr>
          <w:i/>
          <w:iCs/>
        </w:rPr>
        <w:t xml:space="preserve">R</w:t>
      </w:r>
      <w:r>
        <w:t xml:space="preserve">² of</w:t>
      </w:r>
      <w:r>
        <w:t xml:space="preserve"> </w:t>
      </w:r>
      <w:r>
        <w:rPr>
          <w:i/>
          <w:iCs/>
        </w:rPr>
        <w:t xml:space="preserve">S</w:t>
      </w:r>
      <w:r>
        <w:t xml:space="preserve"> </w:t>
      </w:r>
      <w:r>
        <w:t xml:space="preserve">with the PHQ-4 and the robustness values at which an omitted confounder would reduce η to zero or make its 95% interval include zero. These values are compared with the explanatory power of sex assigned at birth and of education, each entered as a group of dummy variables, at one, two, and three times their strength. Instrumental variables, propensity score matching, selection models, Harman’s single-factor test, and coefficient-stability bounds (Oster, 2019) were not used, for reasons given in the Supplementary Methods. Diagnostics of the main model (the Breusch-Pagan test, generalized variance inflation factors [Fox &amp; Monette, 1992], Ramsey’s RESET test, Cook’s distance, and leverage) are descriptive and do not change the estimator.</w:t>
      </w:r>
    </w:p>
    <w:p>
      <w:pPr>
        <w:pStyle w:val="BodyText"/>
      </w:pPr>
      <w:r>
        <w:rPr>
          <w:b/>
          <w:bCs/>
        </w:rPr>
        <w:t xml:space="preserve">Robustness checks.</w:t>
      </w:r>
      <w:r>
        <w:t xml:space="preserve"> </w:t>
      </w:r>
      <w:r>
        <w:t xml:space="preserve">Each check answers a question that the main model does not: (1) adding Xᴶ; (2) coding</w:t>
      </w:r>
      <w:r>
        <w:t xml:space="preserve"> </w:t>
      </w:r>
      <w:r>
        <w:t xml:space="preserve">“prefer not to answer”</w:t>
      </w:r>
      <w:r>
        <w:t xml:space="preserve"> </w:t>
      </w:r>
      <w:r>
        <w:t xml:space="preserve">as missing; (3) separating any exposure from intensity among the exposed, and a restricted cubic spline with knots at the 10th, 50th, and 90th percentiles of</w:t>
      </w:r>
      <w:r>
        <w:t xml:space="preserve"> </w:t>
      </w:r>
      <w:r>
        <w:rPr>
          <w:i/>
          <w:iCs/>
        </w:rPr>
        <w:t xml:space="preserve">S</w:t>
      </w:r>
      <w:r>
        <w:t xml:space="preserve"> </w:t>
      </w:r>
      <w:r>
        <w:t xml:space="preserve">among exposed respondents; (4) a fractional logit model for the PHQ-4 divided by 12, reporting the average marginal effect multiplied by 12 (Papke &amp; Wooldridge, 1996); (5) multiple imputation by chained equations with 20 imputed datasets among the 300 LGBT respondents, imputing the PHQ-4,</w:t>
      </w:r>
      <w:r>
        <w:t xml:space="preserve"> </w:t>
      </w:r>
      <w:r>
        <w:rPr>
          <w:i/>
          <w:iCs/>
        </w:rPr>
        <w:t xml:space="preserve">S</w:t>
      </w:r>
      <w:r>
        <w:t xml:space="preserve">, and missing covariates (van Buuren &amp; Groothuis-Oudshoorn, 2011); (6) excluding flagged responses; (7) excluding observations with Cook’s distance above 4/</w:t>
      </w:r>
      <w:r>
        <w:rPr>
          <w:i/>
          <w:iCs/>
        </w:rPr>
        <w:t xml:space="preserve">n</w:t>
      </w:r>
      <w:r>
        <w:t xml:space="preserve">; (8) a restricted wild bootstrap with Webb weights and 9,999 replications (Davidson &amp; Flachaire, 2008; Roodman et al., 2019); and (9) omitting industry from the covariates. A specification curve (Simonsohn et al., 2020) crosses four constructions of the stigma index (the eight-situation mean, the mean of situations 1–7 with at least four answered, the count of situations experienced, and the eight-situation mean among respondents who answered all eight), two covariate sets, two definitions of the LGBT group (self-identification alone, or together with a non-heterosexual orientation or a minority gender identity), and the inclusion or exclusion of transgender and nonbinary respondents, giving 32 specifications. We report every result and set no threshold for the share of specifications that must agree.</w:t>
      </w:r>
    </w:p>
    <w:p>
      <w:pPr>
        <w:pStyle w:val="BodyText"/>
      </w:pPr>
      <w:r>
        <w:rPr>
          <w:b/>
          <w:bCs/>
        </w:rPr>
        <w:t xml:space="preserve">Post hoc analyses.</w:t>
      </w:r>
      <w:r>
        <w:t xml:space="preserve"> </w:t>
      </w:r>
      <w:r>
        <w:t xml:space="preserve">Four sensitivity analyses were specified after the main results were known and are reported as post hoc (Table S6): the unadjusted association, and models that add disclosure at work, add work experience, or omit relationship status and region of work. Disclosure and work experience may lie on the pathway between stigma and symptoms, so these models are not used to revise the main estimate.</w:t>
      </w:r>
    </w:p>
    <w:p>
      <w:pPr>
        <w:pStyle w:val="BodyText"/>
      </w:pPr>
      <w:r>
        <w:rPr>
          <w:b/>
          <w:bCs/>
        </w:rPr>
        <w:t xml:space="preserve">Missing data and disclosure control.</w:t>
      </w:r>
      <w:r>
        <w:t xml:space="preserve"> </w:t>
      </w:r>
      <w:r>
        <w:t xml:space="preserve">The main analyses use complete cases. We compare respondents with and without complete data, and if complete-case and imputation results differed materially, the difference would be reported as a limitation. Every table by sexual orientation, gender identity, demographic, or workplace group, and every table of stigma experiences, suppresses cells with fewer than 10 respondents, together with any cell from which a suppressed count could be derived. Transgender and nonbinary respondents are not presented as a separate group.</w:t>
      </w:r>
    </w:p>
    <w:p>
      <w:pPr>
        <w:pStyle w:val="BodyText"/>
      </w:pPr>
      <w:r>
        <w:rPr>
          <w:b/>
          <w:bCs/>
        </w:rPr>
        <w:t xml:space="preserve">Analysis history.</w:t>
      </w:r>
      <w:r>
        <w:t xml:space="preserve"> </w:t>
      </w:r>
      <w:r>
        <w:t xml:space="preserve">The analysis plan was finalized on 5 October 2026, before the models reported in this article were estimated, but it was not registered before estimation. The question of stigma and mental health had been placed at the center of the analysis after partial contact with the data. After the first estimation, following methodological review by the project supervisor, we revised the plan: the stigma index was extended from seven situations to all eight, with at least six answered; the covariate set was extended from five to eight groups; the samples were defined by employment and the presence of substantive data rather than by a separate age criterion; and the scope of the article was narrowed to the forms of stigma and their association with symptoms. Supplementary Methods S3 lists the revisions with their dates. The earlier seven-situation index remains in the specification curve, and the conclusion about H1 was the same under the earlier specification. Because the revisions were made after initial results were known, the study is exploratory.</w:t>
      </w:r>
    </w:p>
    <w:p>
      <w:pPr>
        <w:pStyle w:val="BodyText"/>
      </w:pPr>
      <w:r>
        <w:rPr>
          <w:b/>
          <w:bCs/>
        </w:rPr>
        <w:t xml:space="preserve">Software.</w:t>
      </w:r>
      <w:r>
        <w:t xml:space="preserve"> </w:t>
      </w:r>
      <w:r>
        <w:t xml:space="preserve">Analyses were conducted in Stata 17 with the user-written commands sensemakr and boottest. An independent replication in Python reproduced every estimate that does not depend on random draws. The analysis code is available with the analysis plan ([registration link]).</w:t>
      </w:r>
    </w:p>
    <w:bookmarkEnd w:id="30"/>
    <w:bookmarkEnd w:id="31"/>
    <w:bookmarkStart w:id="42" w:name="results"/>
    <w:p>
      <w:pPr>
        <w:pStyle w:val="Heading1"/>
      </w:pPr>
      <w:r>
        <w:t xml:space="preserve">Results</w:t>
      </w:r>
    </w:p>
    <w:bookmarkStart w:id="32" w:name="sample-characteristics"/>
    <w:p>
      <w:pPr>
        <w:pStyle w:val="Heading2"/>
      </w:pPr>
      <w:r>
        <w:t xml:space="preserve">Sample Characteristics</w:t>
      </w:r>
    </w:p>
    <w:p>
      <w:pPr>
        <w:pStyle w:val="FirstParagraph"/>
      </w:pPr>
      <w:r>
        <w:t xml:space="preserve">Table 2 describes the 235 respondents of the main sample. The largest groups were respondents aged 25–34 years (41.7%), assigned female at birth (61.7%), holding a university degree (64.7%), and working in Ho Chi Minh City (51.9%). Bisexual respondents formed the largest orientation group (33.2%), followed by gay and lesbian respondents (26.4% each). Education (27.7%) and media and marketing (15.3%) were the most common industries.</w:t>
      </w:r>
    </w:p>
    <w:p>
      <w:pPr>
        <w:pStyle w:val="BodyText"/>
      </w:pPr>
      <w:r>
        <w:rPr>
          <w:b/>
          <w:bCs/>
        </w:rPr>
        <w:t xml:space="preserve">Table 2</w:t>
      </w:r>
      <w:r>
        <w:t xml:space="preserve"> </w:t>
      </w:r>
      <w:r>
        <w:rPr>
          <w:i/>
          <w:iCs/>
        </w:rPr>
        <w:t xml:space="preserve">Characteristics of the main sample (n = 235)</w:t>
      </w:r>
    </w:p>
    <w:tbl>
      <w:tblPr>
        <w:tblStyle w:val="Table"/>
        <w:tblW w:type="auto" w:w="0"/>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ook w:firstRow="1" w:lastRow="0" w:firstColumn="0" w:lastColumn="0" w:noHBand="0" w:noVBand="0" w:val="0020"/>
      </w:tblPr>
      <w:tblGrid>
        <w:gridCol w:w="3960"/>
        <w:gridCol w:w="3960"/>
      </w:tblGrid>
      <w:tr>
        <w:trPr>
          <w:tblHeader w:val="on"/>
        </w:trPr>
        <w:tc>
          <w:tcPr>
            <w:tcBorders>
              <w:bottom w:val="single" w:sz="6" w:space="0" w:color="000000"/>
            </w:tcBorders>
          </w:tcPr>
          <w:p>
            <w:pPr>
              <w:pStyle w:val="Compact"/>
            </w:pPr>
            <w:r>
              <w:rPr>
                <w:rFonts w:ascii="Times New Roman" w:hAnsi="Times New Roman"/>
                <w:sz w:val="20"/>
              </w:rPr>
              <w:t xml:space="preserve">Characteristic</w:t>
            </w:r>
          </w:p>
        </w:tc>
        <w:tc>
          <w:tcPr>
            <w:tcBorders>
              <w:bottom w:val="single" w:sz="6" w:space="0" w:color="000000"/>
            </w:tcBorders>
          </w:tcPr>
          <w:p>
            <w:pPr>
              <w:pStyle w:val="Compact"/>
            </w:pP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w:t>
            </w:r>
          </w:p>
        </w:tc>
      </w:tr>
      <w:tr>
        <w:tc>
          <w:tcPr/>
          <w:p>
            <w:pPr>
              <w:pStyle w:val="Compact"/>
            </w:pPr>
            <w:r>
              <w:rPr>
                <w:rFonts w:ascii="Times New Roman" w:hAnsi="Times New Roman"/>
                <w:b/>
                <w:bCs/>
                <w:sz w:val="20"/>
              </w:rPr>
              <w:t xml:space="preserve">Age group</w:t>
            </w:r>
          </w:p>
        </w:tc>
        <w:tc>
          <w:tcPr/>
          <w:p>
            <w:pPr>
              <w:pStyle w:val="Compact"/>
            </w:pPr>
          </w:p>
        </w:tc>
      </w:tr>
      <w:tr>
        <w:tc>
          <w:tcPr/>
          <w:p>
            <w:pPr>
              <w:pStyle w:val="Compact"/>
            </w:pPr>
            <w:r>
              <w:rPr>
                <w:rFonts w:ascii="Times New Roman" w:hAnsi="Times New Roman"/>
                <w:sz w:val="20"/>
              </w:rPr>
              <w:t xml:space="preserve">18–24</w:t>
            </w:r>
          </w:p>
        </w:tc>
        <w:tc>
          <w:tcPr/>
          <w:p>
            <w:pPr>
              <w:pStyle w:val="Compact"/>
            </w:pPr>
            <w:r>
              <w:rPr>
                <w:rFonts w:ascii="Times New Roman" w:hAnsi="Times New Roman"/>
                <w:sz w:val="20"/>
              </w:rPr>
              <w:t xml:space="preserve">56 (23.8)</w:t>
            </w:r>
          </w:p>
        </w:tc>
      </w:tr>
      <w:tr>
        <w:tc>
          <w:tcPr/>
          <w:p>
            <w:pPr>
              <w:pStyle w:val="Compact"/>
            </w:pPr>
            <w:r>
              <w:rPr>
                <w:rFonts w:ascii="Times New Roman" w:hAnsi="Times New Roman"/>
                <w:sz w:val="20"/>
              </w:rPr>
              <w:t xml:space="preserve">25–34</w:t>
            </w:r>
          </w:p>
        </w:tc>
        <w:tc>
          <w:tcPr/>
          <w:p>
            <w:pPr>
              <w:pStyle w:val="Compact"/>
            </w:pPr>
            <w:r>
              <w:rPr>
                <w:rFonts w:ascii="Times New Roman" w:hAnsi="Times New Roman"/>
                <w:sz w:val="20"/>
              </w:rPr>
              <w:t xml:space="preserve">98 (41.7)</w:t>
            </w:r>
          </w:p>
        </w:tc>
      </w:tr>
      <w:tr>
        <w:tc>
          <w:tcPr/>
          <w:p>
            <w:pPr>
              <w:pStyle w:val="Compact"/>
            </w:pPr>
            <w:r>
              <w:rPr>
                <w:rFonts w:ascii="Times New Roman" w:hAnsi="Times New Roman"/>
                <w:sz w:val="20"/>
              </w:rPr>
              <w:t xml:space="preserve">35–44</w:t>
            </w:r>
          </w:p>
        </w:tc>
        <w:tc>
          <w:tcPr/>
          <w:p>
            <w:pPr>
              <w:pStyle w:val="Compact"/>
            </w:pPr>
            <w:r>
              <w:rPr>
                <w:rFonts w:ascii="Times New Roman" w:hAnsi="Times New Roman"/>
                <w:sz w:val="20"/>
              </w:rPr>
              <w:t xml:space="preserve">43 (18.3)</w:t>
            </w:r>
          </w:p>
        </w:tc>
      </w:tr>
      <w:tr>
        <w:tc>
          <w:tcPr/>
          <w:p>
            <w:pPr>
              <w:pStyle w:val="Compact"/>
            </w:pPr>
            <w:r>
              <w:rPr>
                <w:rFonts w:ascii="Times New Roman" w:hAnsi="Times New Roman"/>
                <w:sz w:val="20"/>
              </w:rPr>
              <w:t xml:space="preserve">45 or older</w:t>
            </w:r>
          </w:p>
        </w:tc>
        <w:tc>
          <w:tcPr/>
          <w:p>
            <w:pPr>
              <w:pStyle w:val="Compact"/>
            </w:pPr>
            <w:r>
              <w:rPr>
                <w:rFonts w:ascii="Times New Roman" w:hAnsi="Times New Roman"/>
                <w:sz w:val="20"/>
              </w:rPr>
              <w:t xml:space="preserve">37 (15.7)</w:t>
            </w:r>
          </w:p>
        </w:tc>
      </w:tr>
      <w:tr>
        <w:tc>
          <w:tcPr/>
          <w:p>
            <w:pPr>
              <w:pStyle w:val="Compact"/>
            </w:pPr>
            <w:r>
              <w:rPr>
                <w:rFonts w:ascii="Times New Roman" w:hAnsi="Times New Roman"/>
                <w:b/>
                <w:bCs/>
                <w:sz w:val="20"/>
              </w:rPr>
              <w:t xml:space="preserve">Sex assigned at birth</w:t>
            </w:r>
          </w:p>
        </w:tc>
        <w:tc>
          <w:tcPr/>
          <w:p>
            <w:pPr>
              <w:pStyle w:val="Compact"/>
            </w:pPr>
          </w:p>
        </w:tc>
      </w:tr>
      <w:tr>
        <w:tc>
          <w:tcPr/>
          <w:p>
            <w:pPr>
              <w:pStyle w:val="Compact"/>
            </w:pPr>
            <w:r>
              <w:rPr>
                <w:rFonts w:ascii="Times New Roman" w:hAnsi="Times New Roman"/>
                <w:sz w:val="20"/>
              </w:rPr>
              <w:t xml:space="preserve">Male</w:t>
            </w:r>
          </w:p>
        </w:tc>
        <w:tc>
          <w:tcPr/>
          <w:p>
            <w:pPr>
              <w:pStyle w:val="Compact"/>
            </w:pPr>
            <w:r>
              <w:rPr>
                <w:rFonts w:ascii="Times New Roman" w:hAnsi="Times New Roman"/>
                <w:sz w:val="20"/>
              </w:rPr>
              <w:t xml:space="preserve">90 (38.3)</w:t>
            </w:r>
          </w:p>
        </w:tc>
      </w:tr>
      <w:tr>
        <w:tc>
          <w:tcPr/>
          <w:p>
            <w:pPr>
              <w:pStyle w:val="Compact"/>
            </w:pPr>
            <w:r>
              <w:rPr>
                <w:rFonts w:ascii="Times New Roman" w:hAnsi="Times New Roman"/>
                <w:sz w:val="20"/>
              </w:rPr>
              <w:t xml:space="preserve">Female</w:t>
            </w:r>
          </w:p>
        </w:tc>
        <w:tc>
          <w:tcPr/>
          <w:p>
            <w:pPr>
              <w:pStyle w:val="Compact"/>
            </w:pPr>
            <w:r>
              <w:rPr>
                <w:rFonts w:ascii="Times New Roman" w:hAnsi="Times New Roman"/>
                <w:sz w:val="20"/>
              </w:rPr>
              <w:t xml:space="preserve">145 (61.7)</w:t>
            </w:r>
          </w:p>
        </w:tc>
      </w:tr>
      <w:tr>
        <w:tc>
          <w:tcPr/>
          <w:p>
            <w:pPr>
              <w:pStyle w:val="Compact"/>
            </w:pPr>
            <w:r>
              <w:rPr>
                <w:rFonts w:ascii="Times New Roman" w:hAnsi="Times New Roman"/>
                <w:b/>
                <w:bCs/>
                <w:sz w:val="20"/>
              </w:rPr>
              <w:t xml:space="preserve">Education</w:t>
            </w:r>
          </w:p>
        </w:tc>
        <w:tc>
          <w:tcPr/>
          <w:p>
            <w:pPr>
              <w:pStyle w:val="Compact"/>
            </w:pPr>
          </w:p>
        </w:tc>
      </w:tr>
      <w:tr>
        <w:tc>
          <w:tcPr/>
          <w:p>
            <w:pPr>
              <w:pStyle w:val="Compact"/>
            </w:pPr>
            <w:r>
              <w:rPr>
                <w:rFonts w:ascii="Times New Roman" w:hAnsi="Times New Roman"/>
                <w:sz w:val="20"/>
              </w:rPr>
              <w:t xml:space="preserve">Upper secondary or below</w:t>
            </w:r>
          </w:p>
        </w:tc>
        <w:tc>
          <w:tcPr/>
          <w:p>
            <w:pPr>
              <w:pStyle w:val="Compact"/>
            </w:pPr>
            <w:r>
              <w:rPr>
                <w:rFonts w:ascii="Times New Roman" w:hAnsi="Times New Roman"/>
                <w:sz w:val="20"/>
              </w:rPr>
              <w:t xml:space="preserve">36 (15.3)</w:t>
            </w:r>
          </w:p>
        </w:tc>
      </w:tr>
      <w:tr>
        <w:tc>
          <w:tcPr/>
          <w:p>
            <w:pPr>
              <w:pStyle w:val="Compact"/>
            </w:pPr>
            <w:r>
              <w:rPr>
                <w:rFonts w:ascii="Times New Roman" w:hAnsi="Times New Roman"/>
                <w:sz w:val="20"/>
              </w:rPr>
              <w:t xml:space="preserve">College</w:t>
            </w:r>
          </w:p>
        </w:tc>
        <w:tc>
          <w:tcPr/>
          <w:p>
            <w:pPr>
              <w:pStyle w:val="Compact"/>
            </w:pPr>
            <w:r>
              <w:rPr>
                <w:rFonts w:ascii="Times New Roman" w:hAnsi="Times New Roman"/>
                <w:sz w:val="20"/>
              </w:rPr>
              <w:t xml:space="preserve">20 (8.5)</w:t>
            </w:r>
          </w:p>
        </w:tc>
      </w:tr>
      <w:tr>
        <w:tc>
          <w:tcPr/>
          <w:p>
            <w:pPr>
              <w:pStyle w:val="Compact"/>
            </w:pPr>
            <w:r>
              <w:rPr>
                <w:rFonts w:ascii="Times New Roman" w:hAnsi="Times New Roman"/>
                <w:sz w:val="20"/>
              </w:rPr>
              <w:t xml:space="preserve">University</w:t>
            </w:r>
          </w:p>
        </w:tc>
        <w:tc>
          <w:tcPr/>
          <w:p>
            <w:pPr>
              <w:pStyle w:val="Compact"/>
            </w:pPr>
            <w:r>
              <w:rPr>
                <w:rFonts w:ascii="Times New Roman" w:hAnsi="Times New Roman"/>
                <w:sz w:val="20"/>
              </w:rPr>
              <w:t xml:space="preserve">152 (64.7)</w:t>
            </w:r>
          </w:p>
        </w:tc>
      </w:tr>
      <w:tr>
        <w:tc>
          <w:tcPr/>
          <w:p>
            <w:pPr>
              <w:pStyle w:val="Compact"/>
            </w:pPr>
            <w:r>
              <w:rPr>
                <w:rFonts w:ascii="Times New Roman" w:hAnsi="Times New Roman"/>
                <w:sz w:val="20"/>
              </w:rPr>
              <w:t xml:space="preserve">Postgraduate</w:t>
            </w:r>
          </w:p>
        </w:tc>
        <w:tc>
          <w:tcPr/>
          <w:p>
            <w:pPr>
              <w:pStyle w:val="Compact"/>
            </w:pPr>
            <w:r>
              <w:rPr>
                <w:rFonts w:ascii="Times New Roman" w:hAnsi="Times New Roman"/>
                <w:sz w:val="20"/>
              </w:rPr>
              <w:t xml:space="preserve">27 (11.5)</w:t>
            </w:r>
          </w:p>
        </w:tc>
      </w:tr>
      <w:tr>
        <w:tc>
          <w:tcPr/>
          <w:p>
            <w:pPr>
              <w:pStyle w:val="Compact"/>
            </w:pPr>
            <w:r>
              <w:rPr>
                <w:rFonts w:ascii="Times New Roman" w:hAnsi="Times New Roman"/>
                <w:b/>
                <w:bCs/>
                <w:sz w:val="20"/>
              </w:rPr>
              <w:t xml:space="preserve">Relationship status</w:t>
            </w:r>
          </w:p>
        </w:tc>
        <w:tc>
          <w:tcPr/>
          <w:p>
            <w:pPr>
              <w:pStyle w:val="Compact"/>
            </w:pPr>
          </w:p>
        </w:tc>
      </w:tr>
      <w:tr>
        <w:tc>
          <w:tcPr/>
          <w:p>
            <w:pPr>
              <w:pStyle w:val="Compact"/>
            </w:pPr>
            <w:r>
              <w:rPr>
                <w:rFonts w:ascii="Times New Roman" w:hAnsi="Times New Roman"/>
                <w:sz w:val="20"/>
              </w:rPr>
              <w:t xml:space="preserve">No partner</w:t>
            </w:r>
          </w:p>
        </w:tc>
        <w:tc>
          <w:tcPr/>
          <w:p>
            <w:pPr>
              <w:pStyle w:val="Compact"/>
            </w:pPr>
            <w:r>
              <w:rPr>
                <w:rFonts w:ascii="Times New Roman" w:hAnsi="Times New Roman"/>
                <w:sz w:val="20"/>
              </w:rPr>
              <w:t xml:space="preserve">118 (50.2)</w:t>
            </w:r>
          </w:p>
        </w:tc>
      </w:tr>
      <w:tr>
        <w:tc>
          <w:tcPr/>
          <w:p>
            <w:pPr>
              <w:pStyle w:val="Compact"/>
            </w:pPr>
            <w:r>
              <w:rPr>
                <w:rFonts w:ascii="Times New Roman" w:hAnsi="Times New Roman"/>
                <w:sz w:val="20"/>
              </w:rPr>
              <w:t xml:space="preserve">Partner</w:t>
            </w:r>
          </w:p>
        </w:tc>
        <w:tc>
          <w:tcPr/>
          <w:p>
            <w:pPr>
              <w:pStyle w:val="Compact"/>
            </w:pPr>
            <w:r>
              <w:rPr>
                <w:rFonts w:ascii="Times New Roman" w:hAnsi="Times New Roman"/>
                <w:sz w:val="20"/>
              </w:rPr>
              <w:t xml:space="preserve">105 (44.7)</w:t>
            </w:r>
          </w:p>
        </w:tc>
      </w:tr>
      <w:tr>
        <w:tc>
          <w:tcPr/>
          <w:p>
            <w:pPr>
              <w:pStyle w:val="Compact"/>
            </w:pPr>
            <w:r>
              <w:rPr>
                <w:rFonts w:ascii="Times New Roman" w:hAnsi="Times New Roman"/>
                <w:sz w:val="20"/>
              </w:rPr>
              <w:t xml:space="preserve">Separated, divorced, or widowed</w:t>
            </w:r>
          </w:p>
        </w:tc>
        <w:tc>
          <w:tcPr/>
          <w:p>
            <w:pPr>
              <w:pStyle w:val="Compact"/>
            </w:pPr>
            <w:r>
              <w:rPr>
                <w:rFonts w:ascii="Times New Roman" w:hAnsi="Times New Roman"/>
                <w:sz w:val="20"/>
              </w:rPr>
              <w:t xml:space="preserve">&lt;10</w:t>
            </w:r>
          </w:p>
        </w:tc>
      </w:tr>
      <w:tr>
        <w:tc>
          <w:tcPr/>
          <w:p>
            <w:pPr>
              <w:pStyle w:val="Compact"/>
            </w:pPr>
            <w:r>
              <w:rPr>
                <w:rFonts w:ascii="Times New Roman" w:hAnsi="Times New Roman"/>
                <w:sz w:val="20"/>
              </w:rPr>
              <w:t xml:space="preserve">Prefer not to answer</w:t>
            </w:r>
          </w:p>
        </w:tc>
        <w:tc>
          <w:tcPr/>
          <w:p>
            <w:pPr>
              <w:pStyle w:val="Compact"/>
            </w:pPr>
            <w:r>
              <w:rPr>
                <w:rFonts w:ascii="Times New Roman" w:hAnsi="Times New Roman"/>
                <w:sz w:val="20"/>
              </w:rPr>
              <w:t xml:space="preserve">&lt;10</w:t>
            </w:r>
          </w:p>
        </w:tc>
      </w:tr>
      <w:tr>
        <w:tc>
          <w:tcPr/>
          <w:p>
            <w:pPr>
              <w:pStyle w:val="Compact"/>
            </w:pPr>
            <w:r>
              <w:rPr>
                <w:rFonts w:ascii="Times New Roman" w:hAnsi="Times New Roman"/>
                <w:b/>
                <w:bCs/>
                <w:sz w:val="20"/>
              </w:rPr>
              <w:t xml:space="preserve">Region of work</w:t>
            </w:r>
          </w:p>
        </w:tc>
        <w:tc>
          <w:tcPr/>
          <w:p>
            <w:pPr>
              <w:pStyle w:val="Compact"/>
            </w:pPr>
          </w:p>
        </w:tc>
      </w:tr>
      <w:tr>
        <w:tc>
          <w:tcPr/>
          <w:p>
            <w:pPr>
              <w:pStyle w:val="Compact"/>
            </w:pPr>
            <w:r>
              <w:rPr>
                <w:rFonts w:ascii="Times New Roman" w:hAnsi="Times New Roman"/>
                <w:sz w:val="20"/>
              </w:rPr>
              <w:t xml:space="preserve">Hanoi</w:t>
            </w:r>
          </w:p>
        </w:tc>
        <w:tc>
          <w:tcPr/>
          <w:p>
            <w:pPr>
              <w:pStyle w:val="Compact"/>
            </w:pPr>
            <w:r>
              <w:rPr>
                <w:rFonts w:ascii="Times New Roman" w:hAnsi="Times New Roman"/>
                <w:sz w:val="20"/>
              </w:rPr>
              <w:t xml:space="preserve">67 (28.5)</w:t>
            </w:r>
          </w:p>
        </w:tc>
      </w:tr>
      <w:tr>
        <w:tc>
          <w:tcPr/>
          <w:p>
            <w:pPr>
              <w:pStyle w:val="Compact"/>
            </w:pPr>
            <w:r>
              <w:rPr>
                <w:rFonts w:ascii="Times New Roman" w:hAnsi="Times New Roman"/>
                <w:sz w:val="20"/>
              </w:rPr>
              <w:t xml:space="preserve">Ho Chi Minh City</w:t>
            </w:r>
          </w:p>
        </w:tc>
        <w:tc>
          <w:tcPr/>
          <w:p>
            <w:pPr>
              <w:pStyle w:val="Compact"/>
            </w:pPr>
            <w:r>
              <w:rPr>
                <w:rFonts w:ascii="Times New Roman" w:hAnsi="Times New Roman"/>
                <w:sz w:val="20"/>
              </w:rPr>
              <w:t xml:space="preserve">122 (51.9)</w:t>
            </w:r>
          </w:p>
        </w:tc>
      </w:tr>
      <w:tr>
        <w:tc>
          <w:tcPr/>
          <w:p>
            <w:pPr>
              <w:pStyle w:val="Compact"/>
            </w:pPr>
            <w:r>
              <w:rPr>
                <w:rFonts w:ascii="Times New Roman" w:hAnsi="Times New Roman"/>
                <w:sz w:val="20"/>
              </w:rPr>
              <w:t xml:space="preserve">Da Nang</w:t>
            </w:r>
          </w:p>
        </w:tc>
        <w:tc>
          <w:tcPr/>
          <w:p>
            <w:pPr>
              <w:pStyle w:val="Compact"/>
            </w:pPr>
            <w:r>
              <w:rPr>
                <w:rFonts w:ascii="Times New Roman" w:hAnsi="Times New Roman"/>
                <w:sz w:val="20"/>
              </w:rPr>
              <w:t xml:space="preserve">19 (8.1)</w:t>
            </w:r>
          </w:p>
        </w:tc>
      </w:tr>
      <w:tr>
        <w:tc>
          <w:tcPr/>
          <w:p>
            <w:pPr>
              <w:pStyle w:val="Compact"/>
            </w:pPr>
            <w:r>
              <w:rPr>
                <w:rFonts w:ascii="Times New Roman" w:hAnsi="Times New Roman"/>
                <w:sz w:val="20"/>
              </w:rPr>
              <w:t xml:space="preserve">Elsewhere</w:t>
            </w:r>
          </w:p>
        </w:tc>
        <w:tc>
          <w:tcPr/>
          <w:p>
            <w:pPr>
              <w:pStyle w:val="Compact"/>
            </w:pPr>
            <w:r>
              <w:rPr>
                <w:rFonts w:ascii="Times New Roman" w:hAnsi="Times New Roman"/>
                <w:sz w:val="20"/>
              </w:rPr>
              <w:t xml:space="preserve">27 (11.5)</w:t>
            </w:r>
          </w:p>
        </w:tc>
      </w:tr>
      <w:tr>
        <w:tc>
          <w:tcPr/>
          <w:p>
            <w:pPr>
              <w:pStyle w:val="Compact"/>
            </w:pPr>
            <w:r>
              <w:rPr>
                <w:rFonts w:ascii="Times New Roman" w:hAnsi="Times New Roman"/>
                <w:b/>
                <w:bCs/>
                <w:sz w:val="20"/>
              </w:rPr>
              <w:t xml:space="preserve">Sexual orientation</w:t>
            </w:r>
          </w:p>
        </w:tc>
        <w:tc>
          <w:tcPr/>
          <w:p>
            <w:pPr>
              <w:pStyle w:val="Compact"/>
            </w:pPr>
          </w:p>
        </w:tc>
      </w:tr>
      <w:tr>
        <w:tc>
          <w:tcPr/>
          <w:p>
            <w:pPr>
              <w:pStyle w:val="Compact"/>
            </w:pPr>
            <w:r>
              <w:rPr>
                <w:rFonts w:ascii="Times New Roman" w:hAnsi="Times New Roman"/>
                <w:sz w:val="20"/>
              </w:rPr>
              <w:t xml:space="preserve">Gay</w:t>
            </w:r>
          </w:p>
        </w:tc>
        <w:tc>
          <w:tcPr/>
          <w:p>
            <w:pPr>
              <w:pStyle w:val="Compact"/>
            </w:pPr>
            <w:r>
              <w:rPr>
                <w:rFonts w:ascii="Times New Roman" w:hAnsi="Times New Roman"/>
                <w:sz w:val="20"/>
              </w:rPr>
              <w:t xml:space="preserve">62 (26.4)</w:t>
            </w:r>
          </w:p>
        </w:tc>
      </w:tr>
      <w:tr>
        <w:tc>
          <w:tcPr/>
          <w:p>
            <w:pPr>
              <w:pStyle w:val="Compact"/>
            </w:pPr>
            <w:r>
              <w:rPr>
                <w:rFonts w:ascii="Times New Roman" w:hAnsi="Times New Roman"/>
                <w:sz w:val="20"/>
              </w:rPr>
              <w:t xml:space="preserve">Lesbian</w:t>
            </w:r>
          </w:p>
        </w:tc>
        <w:tc>
          <w:tcPr/>
          <w:p>
            <w:pPr>
              <w:pStyle w:val="Compact"/>
            </w:pPr>
            <w:r>
              <w:rPr>
                <w:rFonts w:ascii="Times New Roman" w:hAnsi="Times New Roman"/>
                <w:sz w:val="20"/>
              </w:rPr>
              <w:t xml:space="preserve">62 (26.4)</w:t>
            </w:r>
          </w:p>
        </w:tc>
      </w:tr>
      <w:tr>
        <w:tc>
          <w:tcPr/>
          <w:p>
            <w:pPr>
              <w:pStyle w:val="Compact"/>
            </w:pPr>
            <w:r>
              <w:rPr>
                <w:rFonts w:ascii="Times New Roman" w:hAnsi="Times New Roman"/>
                <w:sz w:val="20"/>
              </w:rPr>
              <w:t xml:space="preserve">Bisexual</w:t>
            </w:r>
          </w:p>
        </w:tc>
        <w:tc>
          <w:tcPr/>
          <w:p>
            <w:pPr>
              <w:pStyle w:val="Compact"/>
            </w:pPr>
            <w:r>
              <w:rPr>
                <w:rFonts w:ascii="Times New Roman" w:hAnsi="Times New Roman"/>
                <w:sz w:val="20"/>
              </w:rPr>
              <w:t xml:space="preserve">78 (33.2)</w:t>
            </w:r>
          </w:p>
        </w:tc>
      </w:tr>
      <w:tr>
        <w:tc>
          <w:tcPr/>
          <w:p>
            <w:pPr>
              <w:pStyle w:val="Compact"/>
            </w:pPr>
            <w:r>
              <w:rPr>
                <w:rFonts w:ascii="Times New Roman" w:hAnsi="Times New Roman"/>
                <w:sz w:val="20"/>
              </w:rPr>
              <w:t xml:space="preserve">Pansexual</w:t>
            </w:r>
          </w:p>
        </w:tc>
        <w:tc>
          <w:tcPr/>
          <w:p>
            <w:pPr>
              <w:pStyle w:val="Compact"/>
            </w:pPr>
            <w:r>
              <w:rPr>
                <w:rFonts w:ascii="Times New Roman" w:hAnsi="Times New Roman"/>
                <w:sz w:val="20"/>
              </w:rPr>
              <w:t xml:space="preserve">21 (8.9)</w:t>
            </w:r>
          </w:p>
        </w:tc>
      </w:tr>
      <w:tr>
        <w:tc>
          <w:tcPr/>
          <w:p>
            <w:pPr>
              <w:pStyle w:val="Compact"/>
            </w:pPr>
            <w:r>
              <w:rPr>
                <w:rFonts w:ascii="Times New Roman" w:hAnsi="Times New Roman"/>
                <w:sz w:val="20"/>
              </w:rPr>
              <w:t xml:space="preserve">Other, questioning, or not stated</w:t>
            </w:r>
          </w:p>
        </w:tc>
        <w:tc>
          <w:tcPr/>
          <w:p>
            <w:pPr>
              <w:pStyle w:val="Compact"/>
            </w:pPr>
            <w:r>
              <w:rPr>
                <w:rFonts w:ascii="Times New Roman" w:hAnsi="Times New Roman"/>
                <w:sz w:val="20"/>
              </w:rPr>
              <w:t xml:space="preserve">12 (5.1)</w:t>
            </w:r>
          </w:p>
        </w:tc>
      </w:tr>
      <w:tr>
        <w:tc>
          <w:tcPr/>
          <w:p>
            <w:pPr>
              <w:pStyle w:val="Compact"/>
            </w:pPr>
            <w:r>
              <w:rPr>
                <w:rFonts w:ascii="Times New Roman" w:hAnsi="Times New Roman"/>
                <w:b/>
                <w:bCs/>
                <w:sz w:val="20"/>
              </w:rPr>
              <w:t xml:space="preserve">Industry</w:t>
            </w:r>
          </w:p>
        </w:tc>
        <w:tc>
          <w:tcPr/>
          <w:p>
            <w:pPr>
              <w:pStyle w:val="Compact"/>
            </w:pPr>
          </w:p>
        </w:tc>
      </w:tr>
      <w:tr>
        <w:tc>
          <w:tcPr/>
          <w:p>
            <w:pPr>
              <w:pStyle w:val="Compact"/>
            </w:pPr>
            <w:r>
              <w:rPr>
                <w:rFonts w:ascii="Times New Roman" w:hAnsi="Times New Roman"/>
                <w:sz w:val="20"/>
              </w:rPr>
              <w:t xml:space="preserve">Finance and banking</w:t>
            </w:r>
          </w:p>
        </w:tc>
        <w:tc>
          <w:tcPr/>
          <w:p>
            <w:pPr>
              <w:pStyle w:val="Compact"/>
            </w:pPr>
            <w:r>
              <w:rPr>
                <w:rFonts w:ascii="Times New Roman" w:hAnsi="Times New Roman"/>
                <w:sz w:val="20"/>
              </w:rPr>
              <w:t xml:space="preserve">23 (9.8)</w:t>
            </w:r>
          </w:p>
        </w:tc>
      </w:tr>
      <w:tr>
        <w:tc>
          <w:tcPr/>
          <w:p>
            <w:pPr>
              <w:pStyle w:val="Compact"/>
            </w:pPr>
            <w:r>
              <w:rPr>
                <w:rFonts w:ascii="Times New Roman" w:hAnsi="Times New Roman"/>
                <w:sz w:val="20"/>
              </w:rPr>
              <w:t xml:space="preserve">Information technology</w:t>
            </w:r>
          </w:p>
        </w:tc>
        <w:tc>
          <w:tcPr/>
          <w:p>
            <w:pPr>
              <w:pStyle w:val="Compact"/>
            </w:pPr>
            <w:r>
              <w:rPr>
                <w:rFonts w:ascii="Times New Roman" w:hAnsi="Times New Roman"/>
                <w:sz w:val="20"/>
              </w:rPr>
              <w:t xml:space="preserve">16 (6.8)</w:t>
            </w:r>
          </w:p>
        </w:tc>
      </w:tr>
      <w:tr>
        <w:tc>
          <w:tcPr/>
          <w:p>
            <w:pPr>
              <w:pStyle w:val="Compact"/>
            </w:pPr>
            <w:r>
              <w:rPr>
                <w:rFonts w:ascii="Times New Roman" w:hAnsi="Times New Roman"/>
                <w:sz w:val="20"/>
              </w:rPr>
              <w:t xml:space="preserve">Education</w:t>
            </w:r>
          </w:p>
        </w:tc>
        <w:tc>
          <w:tcPr/>
          <w:p>
            <w:pPr>
              <w:pStyle w:val="Compact"/>
            </w:pPr>
            <w:r>
              <w:rPr>
                <w:rFonts w:ascii="Times New Roman" w:hAnsi="Times New Roman"/>
                <w:sz w:val="20"/>
              </w:rPr>
              <w:t xml:space="preserve">65 (27.7)</w:t>
            </w:r>
          </w:p>
        </w:tc>
      </w:tr>
      <w:tr>
        <w:tc>
          <w:tcPr/>
          <w:p>
            <w:pPr>
              <w:pStyle w:val="Compact"/>
            </w:pPr>
            <w:r>
              <w:rPr>
                <w:rFonts w:ascii="Times New Roman" w:hAnsi="Times New Roman"/>
                <w:sz w:val="20"/>
              </w:rPr>
              <w:t xml:space="preserve">Trade and services</w:t>
            </w:r>
          </w:p>
        </w:tc>
        <w:tc>
          <w:tcPr/>
          <w:p>
            <w:pPr>
              <w:pStyle w:val="Compact"/>
            </w:pPr>
            <w:r>
              <w:rPr>
                <w:rFonts w:ascii="Times New Roman" w:hAnsi="Times New Roman"/>
                <w:sz w:val="20"/>
              </w:rPr>
              <w:t xml:space="preserve">17 (7.2)</w:t>
            </w:r>
          </w:p>
        </w:tc>
      </w:tr>
      <w:tr>
        <w:tc>
          <w:tcPr/>
          <w:p>
            <w:pPr>
              <w:pStyle w:val="Compact"/>
            </w:pPr>
            <w:r>
              <w:rPr>
                <w:rFonts w:ascii="Times New Roman" w:hAnsi="Times New Roman"/>
                <w:sz w:val="20"/>
              </w:rPr>
              <w:t xml:space="preserve">Manufacturing</w:t>
            </w:r>
          </w:p>
        </w:tc>
        <w:tc>
          <w:tcPr/>
          <w:p>
            <w:pPr>
              <w:pStyle w:val="Compact"/>
            </w:pPr>
            <w:r>
              <w:rPr>
                <w:rFonts w:ascii="Times New Roman" w:hAnsi="Times New Roman"/>
                <w:sz w:val="20"/>
              </w:rPr>
              <w:t xml:space="preserve">17 (7.2)</w:t>
            </w:r>
          </w:p>
        </w:tc>
      </w:tr>
      <w:tr>
        <w:tc>
          <w:tcPr/>
          <w:p>
            <w:pPr>
              <w:pStyle w:val="Compact"/>
            </w:pPr>
            <w:r>
              <w:rPr>
                <w:rFonts w:ascii="Times New Roman" w:hAnsi="Times New Roman"/>
                <w:sz w:val="20"/>
              </w:rPr>
              <w:t xml:space="preserve">Media and marketing</w:t>
            </w:r>
          </w:p>
        </w:tc>
        <w:tc>
          <w:tcPr/>
          <w:p>
            <w:pPr>
              <w:pStyle w:val="Compact"/>
            </w:pPr>
            <w:r>
              <w:rPr>
                <w:rFonts w:ascii="Times New Roman" w:hAnsi="Times New Roman"/>
                <w:sz w:val="20"/>
              </w:rPr>
              <w:t xml:space="preserve">36 (15.3)</w:t>
            </w:r>
          </w:p>
        </w:tc>
      </w:tr>
      <w:tr>
        <w:tc>
          <w:tcPr/>
          <w:p>
            <w:pPr>
              <w:pStyle w:val="Compact"/>
            </w:pPr>
            <w:r>
              <w:rPr>
                <w:rFonts w:ascii="Times New Roman" w:hAnsi="Times New Roman"/>
                <w:sz w:val="20"/>
              </w:rPr>
              <w:t xml:space="preserve">Health care, tourism, or other</w:t>
            </w:r>
          </w:p>
        </w:tc>
        <w:tc>
          <w:tcPr/>
          <w:p>
            <w:pPr>
              <w:pStyle w:val="Compact"/>
            </w:pPr>
            <w:r>
              <w:rPr>
                <w:rFonts w:ascii="Times New Roman" w:hAnsi="Times New Roman"/>
                <w:sz w:val="20"/>
              </w:rPr>
              <w:t xml:space="preserve">61 (26.0)</w:t>
            </w:r>
          </w:p>
        </w:tc>
      </w:tr>
    </w:tbl>
    <w:p>
      <w:pPr>
        <w:pStyle w:val="BodyText"/>
      </w:pPr>
      <w:r>
        <w:rPr>
          <w:i/>
          <w:iCs/>
        </w:rPr>
        <w:t xml:space="preserve">Note.</w:t>
      </w:r>
      <w:r>
        <w:t xml:space="preserve"> </w:t>
      </w:r>
      <w:r>
        <w:t xml:space="preserve">Cells with fewer than 10 respondents are suppressed. Health care is shown together with other industries because it has fewer than 10 respondents. Transgender and nonbinary respondents are not shown as a separate group.</w:t>
      </w:r>
    </w:p>
    <w:bookmarkEnd w:id="32"/>
    <w:bookmarkStart w:id="33" w:name="symptoms"/>
    <w:p>
      <w:pPr>
        <w:pStyle w:val="Heading2"/>
      </w:pPr>
      <w:r>
        <w:t xml:space="preserve">Symptoms</w:t>
      </w:r>
    </w:p>
    <w:p>
      <w:pPr>
        <w:pStyle w:val="FirstParagraph"/>
      </w:pPr>
      <w:r>
        <w:t xml:space="preserve">The mean PHQ-4 score was 3.43 (</w:t>
      </w:r>
      <w:r>
        <w:rPr>
          <w:i/>
          <w:iCs/>
        </w:rPr>
        <w:t xml:space="preserve">SD</w:t>
      </w:r>
      <w:r>
        <w:t xml:space="preserve"> </w:t>
      </w:r>
      <w:r>
        <w:t xml:space="preserve">= 3.25; Table 3). Forty-six percent of respondents scored in the normal range, 31.1% reported mild, 16.2% moderate, and 6.8% severe symptom levels, so 23.0% scored 6 or more. The stigma index correlated with PHQ-4 scores at</w:t>
      </w:r>
      <w:r>
        <w:t xml:space="preserve"> </w:t>
      </w:r>
      <w:r>
        <w:rPr>
          <w:i/>
          <w:iCs/>
        </w:rPr>
        <w:t xml:space="preserve">r</w:t>
      </w:r>
      <w:r>
        <w:t xml:space="preserve"> </w:t>
      </w:r>
      <w:r>
        <w:t xml:space="preserve">= .21. Among the sub-indices, the correlation was .23 for interpersonal, .13 for career-related, and .05 for gender-expression stigma.</w:t>
      </w:r>
    </w:p>
    <w:p>
      <w:pPr>
        <w:pStyle w:val="BodyText"/>
      </w:pPr>
      <w:r>
        <w:rPr>
          <w:b/>
          <w:bCs/>
        </w:rPr>
        <w:t xml:space="preserve">Table 3</w:t>
      </w:r>
      <w:r>
        <w:t xml:space="preserve"> </w:t>
      </w:r>
      <w:r>
        <w:rPr>
          <w:i/>
          <w:iCs/>
        </w:rPr>
        <w:t xml:space="preserve">Descriptive statistics and correlations of the study variables (main sample)</w:t>
      </w:r>
    </w:p>
    <w:tbl>
      <w:tblPr>
        <w:tblStyle w:val="Table"/>
        <w:tblW w:type="pct" w:w="5000"/>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tcBorders>
              <w:bottom w:val="single" w:sz="6" w:space="0" w:color="000000"/>
            </w:tcBorders>
          </w:tcPr>
          <w:p>
            <w:pPr>
              <w:pStyle w:val="Compact"/>
            </w:pPr>
            <w:r>
              <w:rPr>
                <w:rFonts w:ascii="Times New Roman" w:hAnsi="Times New Roman"/>
                <w:sz w:val="20"/>
              </w:rPr>
              <w:t xml:space="preserve">Variable</w:t>
            </w:r>
          </w:p>
        </w:tc>
        <w:tc>
          <w:tcPr>
            <w:tcBorders>
              <w:bottom w:val="single" w:sz="6" w:space="0" w:color="000000"/>
            </w:tcBorders>
          </w:tcPr>
          <w:p>
            <w:pPr>
              <w:pStyle w:val="Compact"/>
            </w:pPr>
            <w:r>
              <w:rPr>
                <w:rFonts w:ascii="Times New Roman" w:hAnsi="Times New Roman"/>
                <w:i/>
                <w:iCs/>
                <w:sz w:val="20"/>
              </w:rPr>
              <w:t xml:space="preserve">n</w:t>
            </w:r>
          </w:p>
        </w:tc>
        <w:tc>
          <w:tcPr>
            <w:tcBorders>
              <w:bottom w:val="single" w:sz="6" w:space="0" w:color="000000"/>
            </w:tcBorders>
          </w:tcPr>
          <w:p>
            <w:pPr>
              <w:pStyle w:val="Compact"/>
            </w:pPr>
            <w:r>
              <w:rPr>
                <w:rFonts w:ascii="Times New Roman" w:hAnsi="Times New Roman"/>
                <w:i/>
                <w:iCs/>
                <w:sz w:val="20"/>
              </w:rPr>
              <w:t xml:space="preserve">M</w:t>
            </w:r>
          </w:p>
        </w:tc>
        <w:tc>
          <w:tcPr>
            <w:tcBorders>
              <w:bottom w:val="single" w:sz="6" w:space="0" w:color="000000"/>
            </w:tcBorders>
          </w:tcPr>
          <w:p>
            <w:pPr>
              <w:pStyle w:val="Compact"/>
            </w:pPr>
            <w:r>
              <w:rPr>
                <w:rFonts w:ascii="Times New Roman" w:hAnsi="Times New Roman"/>
                <w:i/>
                <w:iCs/>
                <w:sz w:val="20"/>
              </w:rPr>
              <w:t xml:space="preserve">SD</w:t>
            </w:r>
          </w:p>
        </w:tc>
        <w:tc>
          <w:tcPr>
            <w:tcBorders>
              <w:bottom w:val="single" w:sz="6" w:space="0" w:color="000000"/>
            </w:tcBorders>
          </w:tcPr>
          <w:p>
            <w:pPr>
              <w:pStyle w:val="Compact"/>
            </w:pPr>
            <w:r>
              <w:rPr>
                <w:rFonts w:ascii="Times New Roman" w:hAnsi="Times New Roman"/>
                <w:sz w:val="20"/>
              </w:rPr>
              <w:t xml:space="preserve">Range</w:t>
            </w:r>
          </w:p>
        </w:tc>
        <w:tc>
          <w:tcPr>
            <w:tcBorders>
              <w:bottom w:val="single" w:sz="6" w:space="0" w:color="000000"/>
            </w:tcBorders>
          </w:tcPr>
          <w:p>
            <w:pPr>
              <w:pStyle w:val="Compact"/>
            </w:pPr>
            <w:r>
              <w:rPr>
                <w:rFonts w:ascii="Times New Roman" w:hAnsi="Times New Roman"/>
                <w:sz w:val="20"/>
              </w:rPr>
              <w:t xml:space="preserve">1</w:t>
            </w:r>
          </w:p>
        </w:tc>
        <w:tc>
          <w:tcPr>
            <w:tcBorders>
              <w:bottom w:val="single" w:sz="6" w:space="0" w:color="000000"/>
            </w:tcBorders>
          </w:tcPr>
          <w:p>
            <w:pPr>
              <w:pStyle w:val="Compact"/>
            </w:pPr>
            <w:r>
              <w:rPr>
                <w:rFonts w:ascii="Times New Roman" w:hAnsi="Times New Roman"/>
                <w:sz w:val="20"/>
              </w:rPr>
              <w:t xml:space="preserve">2</w:t>
            </w:r>
          </w:p>
        </w:tc>
        <w:tc>
          <w:tcPr>
            <w:tcBorders>
              <w:bottom w:val="single" w:sz="6" w:space="0" w:color="000000"/>
            </w:tcBorders>
          </w:tcPr>
          <w:p>
            <w:pPr>
              <w:pStyle w:val="Compact"/>
            </w:pPr>
            <w:r>
              <w:rPr>
                <w:rFonts w:ascii="Times New Roman" w:hAnsi="Times New Roman"/>
                <w:sz w:val="20"/>
              </w:rPr>
              <w:t xml:space="preserve">3</w:t>
            </w:r>
          </w:p>
        </w:tc>
        <w:tc>
          <w:tcPr>
            <w:tcBorders>
              <w:bottom w:val="single" w:sz="6" w:space="0" w:color="000000"/>
            </w:tcBorders>
          </w:tcPr>
          <w:p>
            <w:pPr>
              <w:pStyle w:val="Compact"/>
            </w:pPr>
            <w:r>
              <w:rPr>
                <w:rFonts w:ascii="Times New Roman" w:hAnsi="Times New Roman"/>
                <w:sz w:val="20"/>
              </w:rPr>
              <w:t xml:space="preserve">4</w:t>
            </w:r>
          </w:p>
        </w:tc>
      </w:tr>
      <w:tr>
        <w:tc>
          <w:tcPr/>
          <w:p>
            <w:pPr>
              <w:pStyle w:val="Compact"/>
            </w:pPr>
            <w:r>
              <w:rPr>
                <w:rFonts w:ascii="Times New Roman" w:hAnsi="Times New Roman"/>
                <w:sz w:val="20"/>
              </w:rPr>
              <w:t xml:space="preserve">1. PHQ-4</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3.43</w:t>
            </w:r>
          </w:p>
        </w:tc>
        <w:tc>
          <w:tcPr/>
          <w:p>
            <w:pPr>
              <w:pStyle w:val="Compact"/>
            </w:pPr>
            <w:r>
              <w:rPr>
                <w:rFonts w:ascii="Times New Roman" w:hAnsi="Times New Roman"/>
                <w:sz w:val="20"/>
              </w:rPr>
              <w:t xml:space="preserve">3.25</w:t>
            </w:r>
          </w:p>
        </w:tc>
        <w:tc>
          <w:tcPr/>
          <w:p>
            <w:pPr>
              <w:pStyle w:val="Compact"/>
            </w:pPr>
            <w:r>
              <w:rPr>
                <w:rFonts w:ascii="Times New Roman" w:hAnsi="Times New Roman"/>
                <w:sz w:val="20"/>
              </w:rPr>
              <w:t xml:space="preserve">0–12</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ascii="Times New Roman" w:hAnsi="Times New Roman"/>
                <w:sz w:val="20"/>
              </w:rPr>
              <w:t xml:space="preserve">2. Stigma index (</w:t>
            </w:r>
            <w:r>
              <w:rPr>
                <w:rFonts w:ascii="Times New Roman" w:hAnsi="Times New Roman"/>
                <w:i/>
                <w:iCs/>
                <w:sz w:val="20"/>
              </w:rPr>
              <w:t xml:space="preserve">S</w:t>
            </w:r>
            <w:r>
              <w:rPr>
                <w:rFonts w:ascii="Times New Roman" w:hAnsi="Times New Roman"/>
                <w:sz w:val="20"/>
              </w:rPr>
              <w:t xml:space="preserve">)</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0.33</w:t>
            </w:r>
          </w:p>
        </w:tc>
        <w:tc>
          <w:tcPr/>
          <w:p>
            <w:pPr>
              <w:pStyle w:val="Compact"/>
            </w:pPr>
            <w:r>
              <w:rPr>
                <w:rFonts w:ascii="Times New Roman" w:hAnsi="Times New Roman"/>
                <w:sz w:val="20"/>
              </w:rPr>
              <w:t xml:space="preserve">0.47</w:t>
            </w:r>
          </w:p>
        </w:tc>
        <w:tc>
          <w:tcPr/>
          <w:p>
            <w:pPr>
              <w:pStyle w:val="Compact"/>
            </w:pPr>
            <w:r>
              <w:rPr>
                <w:rFonts w:ascii="Times New Roman" w:hAnsi="Times New Roman"/>
                <w:sz w:val="20"/>
              </w:rPr>
              <w:t xml:space="preserve">0–2.75</w:t>
            </w:r>
          </w:p>
        </w:tc>
        <w:tc>
          <w:tcPr/>
          <w:p>
            <w:pPr>
              <w:pStyle w:val="Compact"/>
            </w:pPr>
            <w:r>
              <w:rPr>
                <w:rFonts w:ascii="Times New Roman" w:hAnsi="Times New Roman"/>
                <w:sz w:val="20"/>
              </w:rPr>
              <w:t xml:space="preserve">.21</w:t>
            </w:r>
          </w:p>
        </w:tc>
        <w:tc>
          <w:tcPr/>
          <w:p>
            <w:pPr>
              <w:pStyle w:val="Compact"/>
            </w:pPr>
          </w:p>
        </w:tc>
        <w:tc>
          <w:tcPr/>
          <w:p>
            <w:pPr>
              <w:pStyle w:val="Compact"/>
            </w:pPr>
          </w:p>
        </w:tc>
        <w:tc>
          <w:tcPr/>
          <w:p>
            <w:pPr>
              <w:pStyle w:val="Compact"/>
            </w:pPr>
          </w:p>
        </w:tc>
      </w:tr>
      <w:tr>
        <w:tc>
          <w:tcPr/>
          <w:p>
            <w:pPr>
              <w:pStyle w:val="Compact"/>
            </w:pPr>
            <w:r>
              <w:rPr>
                <w:rFonts w:ascii="Times New Roman" w:hAnsi="Times New Roman"/>
                <w:sz w:val="20"/>
              </w:rPr>
              <w:t xml:space="preserve">3. Interpersonal stigma</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0.53</w:t>
            </w:r>
          </w:p>
        </w:tc>
        <w:tc>
          <w:tcPr/>
          <w:p>
            <w:pPr>
              <w:pStyle w:val="Compact"/>
            </w:pPr>
            <w:r>
              <w:rPr>
                <w:rFonts w:ascii="Times New Roman" w:hAnsi="Times New Roman"/>
                <w:sz w:val="20"/>
              </w:rPr>
              <w:t xml:space="preserve">0.76</w:t>
            </w:r>
          </w:p>
        </w:tc>
        <w:tc>
          <w:tcPr/>
          <w:p>
            <w:pPr>
              <w:pStyle w:val="Compact"/>
            </w:pPr>
            <w:r>
              <w:rPr>
                <w:rFonts w:ascii="Times New Roman" w:hAnsi="Times New Roman"/>
                <w:sz w:val="20"/>
              </w:rPr>
              <w:t xml:space="preserve">0–4</w:t>
            </w:r>
          </w:p>
        </w:tc>
        <w:tc>
          <w:tcPr/>
          <w:p>
            <w:pPr>
              <w:pStyle w:val="Compact"/>
            </w:pPr>
            <w:r>
              <w:rPr>
                <w:rFonts w:ascii="Times New Roman" w:hAnsi="Times New Roman"/>
                <w:sz w:val="20"/>
              </w:rPr>
              <w:t xml:space="preserve">.23</w:t>
            </w:r>
          </w:p>
        </w:tc>
        <w:tc>
          <w:tcPr/>
          <w:p>
            <w:pPr>
              <w:pStyle w:val="Compact"/>
            </w:pPr>
            <w:r>
              <w:rPr>
                <w:rFonts w:ascii="Times New Roman" w:hAnsi="Times New Roman"/>
                <w:sz w:val="20"/>
              </w:rPr>
              <w:t xml:space="preserve">.86</w:t>
            </w:r>
          </w:p>
        </w:tc>
        <w:tc>
          <w:tcPr/>
          <w:p>
            <w:pPr>
              <w:pStyle w:val="Compact"/>
            </w:pPr>
          </w:p>
        </w:tc>
        <w:tc>
          <w:tcPr/>
          <w:p>
            <w:pPr>
              <w:pStyle w:val="Compact"/>
            </w:pPr>
          </w:p>
        </w:tc>
      </w:tr>
      <w:tr>
        <w:tc>
          <w:tcPr/>
          <w:p>
            <w:pPr>
              <w:pStyle w:val="Compact"/>
            </w:pPr>
            <w:r>
              <w:rPr>
                <w:rFonts w:ascii="Times New Roman" w:hAnsi="Times New Roman"/>
                <w:sz w:val="20"/>
              </w:rPr>
              <w:t xml:space="preserve">4. Career-related stigma</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0.17</w:t>
            </w:r>
          </w:p>
        </w:tc>
        <w:tc>
          <w:tcPr/>
          <w:p>
            <w:pPr>
              <w:pStyle w:val="Compact"/>
            </w:pPr>
            <w:r>
              <w:rPr>
                <w:rFonts w:ascii="Times New Roman" w:hAnsi="Times New Roman"/>
                <w:sz w:val="20"/>
              </w:rPr>
              <w:t xml:space="preserve">0.45</w:t>
            </w:r>
          </w:p>
        </w:tc>
        <w:tc>
          <w:tcPr/>
          <w:p>
            <w:pPr>
              <w:pStyle w:val="Compact"/>
            </w:pPr>
            <w:r>
              <w:rPr>
                <w:rFonts w:ascii="Times New Roman" w:hAnsi="Times New Roman"/>
                <w:sz w:val="20"/>
              </w:rPr>
              <w:t xml:space="preserve">0–3</w:t>
            </w:r>
          </w:p>
        </w:tc>
        <w:tc>
          <w:tcPr/>
          <w:p>
            <w:pPr>
              <w:pStyle w:val="Compact"/>
            </w:pPr>
            <w:r>
              <w:rPr>
                <w:rFonts w:ascii="Times New Roman" w:hAnsi="Times New Roman"/>
                <w:sz w:val="20"/>
              </w:rPr>
              <w:t xml:space="preserve">.13</w:t>
            </w:r>
          </w:p>
        </w:tc>
        <w:tc>
          <w:tcPr/>
          <w:p>
            <w:pPr>
              <w:pStyle w:val="Compact"/>
            </w:pPr>
            <w:r>
              <w:rPr>
                <w:rFonts w:ascii="Times New Roman" w:hAnsi="Times New Roman"/>
                <w:sz w:val="20"/>
              </w:rPr>
              <w:t xml:space="preserve">.71</w:t>
            </w:r>
          </w:p>
        </w:tc>
        <w:tc>
          <w:tcPr/>
          <w:p>
            <w:pPr>
              <w:pStyle w:val="Compact"/>
            </w:pPr>
            <w:r>
              <w:rPr>
                <w:rFonts w:ascii="Times New Roman" w:hAnsi="Times New Roman"/>
                <w:sz w:val="20"/>
              </w:rPr>
              <w:t xml:space="preserve">.37</w:t>
            </w:r>
          </w:p>
        </w:tc>
        <w:tc>
          <w:tcPr/>
          <w:p>
            <w:pPr>
              <w:pStyle w:val="Compact"/>
            </w:pPr>
          </w:p>
        </w:tc>
      </w:tr>
      <w:tr>
        <w:tc>
          <w:tcPr/>
          <w:p>
            <w:pPr>
              <w:pStyle w:val="Compact"/>
            </w:pPr>
            <w:r>
              <w:rPr>
                <w:rFonts w:ascii="Times New Roman" w:hAnsi="Times New Roman"/>
                <w:sz w:val="20"/>
              </w:rPr>
              <w:t xml:space="preserve">5. Gender-expression stigma</w:t>
            </w:r>
          </w:p>
        </w:tc>
        <w:tc>
          <w:tcPr/>
          <w:p>
            <w:pPr>
              <w:pStyle w:val="Compact"/>
            </w:pPr>
            <w:r>
              <w:rPr>
                <w:rFonts w:ascii="Times New Roman" w:hAnsi="Times New Roman"/>
                <w:sz w:val="20"/>
              </w:rPr>
              <w:t xml:space="preserve">233</w:t>
            </w:r>
          </w:p>
        </w:tc>
        <w:tc>
          <w:tcPr/>
          <w:p>
            <w:pPr>
              <w:pStyle w:val="Compact"/>
            </w:pPr>
            <w:r>
              <w:rPr>
                <w:rFonts w:ascii="Times New Roman" w:hAnsi="Times New Roman"/>
                <w:sz w:val="20"/>
              </w:rPr>
              <w:t xml:space="preserve">0.23</w:t>
            </w:r>
          </w:p>
        </w:tc>
        <w:tc>
          <w:tcPr/>
          <w:p>
            <w:pPr>
              <w:pStyle w:val="Compact"/>
            </w:pPr>
            <w:r>
              <w:rPr>
                <w:rFonts w:ascii="Times New Roman" w:hAnsi="Times New Roman"/>
                <w:sz w:val="20"/>
              </w:rPr>
              <w:t xml:space="preserve">0.61</w:t>
            </w:r>
          </w:p>
        </w:tc>
        <w:tc>
          <w:tcPr/>
          <w:p>
            <w:pPr>
              <w:pStyle w:val="Compact"/>
            </w:pPr>
            <w:r>
              <w:rPr>
                <w:rFonts w:ascii="Times New Roman" w:hAnsi="Times New Roman"/>
                <w:sz w:val="20"/>
              </w:rPr>
              <w:t xml:space="preserve">0–4</w:t>
            </w:r>
          </w:p>
        </w:tc>
        <w:tc>
          <w:tcPr/>
          <w:p>
            <w:pPr>
              <w:pStyle w:val="Compact"/>
            </w:pPr>
            <w:r>
              <w:rPr>
                <w:rFonts w:ascii="Times New Roman" w:hAnsi="Times New Roman"/>
                <w:sz w:val="20"/>
              </w:rPr>
              <w:t xml:space="preserve">.05</w:t>
            </w:r>
          </w:p>
        </w:tc>
        <w:tc>
          <w:tcPr/>
          <w:p>
            <w:pPr>
              <w:pStyle w:val="Compact"/>
            </w:pPr>
            <w:r>
              <w:rPr>
                <w:rFonts w:ascii="Times New Roman" w:hAnsi="Times New Roman"/>
                <w:sz w:val="20"/>
              </w:rPr>
              <w:t xml:space="preserve">.61</w:t>
            </w:r>
          </w:p>
        </w:tc>
        <w:tc>
          <w:tcPr/>
          <w:p>
            <w:pPr>
              <w:pStyle w:val="Compact"/>
            </w:pPr>
            <w:r>
              <w:rPr>
                <w:rFonts w:ascii="Times New Roman" w:hAnsi="Times New Roman"/>
                <w:sz w:val="20"/>
              </w:rPr>
              <w:t xml:space="preserve">.32</w:t>
            </w:r>
          </w:p>
        </w:tc>
        <w:tc>
          <w:tcPr/>
          <w:p>
            <w:pPr>
              <w:pStyle w:val="Compact"/>
            </w:pPr>
            <w:r>
              <w:rPr>
                <w:rFonts w:ascii="Times New Roman" w:hAnsi="Times New Roman"/>
                <w:sz w:val="20"/>
              </w:rPr>
              <w:t xml:space="preserve">.32</w:t>
            </w:r>
          </w:p>
        </w:tc>
      </w:tr>
      <w:tr>
        <w:tc>
          <w:tcPr/>
          <w:p>
            <w:pPr>
              <w:pStyle w:val="Compact"/>
            </w:pPr>
            <w:r>
              <w:rPr>
                <w:rFonts w:ascii="Times New Roman" w:hAnsi="Times New Roman"/>
                <w:b/>
                <w:bCs/>
                <w:sz w:val="20"/>
              </w:rPr>
              <w:t xml:space="preserve">PHQ-4 symptom level</w:t>
            </w:r>
            <w:r>
              <w:rPr>
                <w:rFonts w:ascii="Times New Roman" w:hAnsi="Times New Roman"/>
                <w:sz w:val="20"/>
              </w:rPr>
              <w:t xml:space="preserve">,</w:t>
            </w:r>
            <w:r>
              <w:rPr>
                <w:rFonts w:ascii="Times New Roman" w:hAnsi="Times New Roman"/>
                <w:sz w:val="20"/>
              </w:rPr>
              <w:t xml:space="preserve">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ascii="Times New Roman" w:hAnsi="Times New Roman"/>
                <w:sz w:val="20"/>
              </w:rPr>
              <w:t xml:space="preserve">Normal (0–2)</w:t>
            </w:r>
          </w:p>
        </w:tc>
        <w:tc>
          <w:tcPr/>
          <w:p>
            <w:pPr>
              <w:pStyle w:val="Compact"/>
            </w:pPr>
            <w:r>
              <w:rPr>
                <w:rFonts w:ascii="Times New Roman" w:hAnsi="Times New Roman"/>
                <w:sz w:val="20"/>
              </w:rPr>
              <w:t xml:space="preserve">108 (46.0)</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ascii="Times New Roman" w:hAnsi="Times New Roman"/>
                <w:sz w:val="20"/>
              </w:rPr>
              <w:t xml:space="preserve">Mild (3–5)</w:t>
            </w:r>
          </w:p>
        </w:tc>
        <w:tc>
          <w:tcPr/>
          <w:p>
            <w:pPr>
              <w:pStyle w:val="Compact"/>
            </w:pPr>
            <w:r>
              <w:rPr>
                <w:rFonts w:ascii="Times New Roman" w:hAnsi="Times New Roman"/>
                <w:sz w:val="20"/>
              </w:rPr>
              <w:t xml:space="preserve">73 (31.1)</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ascii="Times New Roman" w:hAnsi="Times New Roman"/>
                <w:sz w:val="20"/>
              </w:rPr>
              <w:t xml:space="preserve">Moderate (6–8)</w:t>
            </w:r>
          </w:p>
        </w:tc>
        <w:tc>
          <w:tcPr/>
          <w:p>
            <w:pPr>
              <w:pStyle w:val="Compact"/>
            </w:pPr>
            <w:r>
              <w:rPr>
                <w:rFonts w:ascii="Times New Roman" w:hAnsi="Times New Roman"/>
                <w:sz w:val="20"/>
              </w:rPr>
              <w:t xml:space="preserve">38 (16.2)</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ascii="Times New Roman" w:hAnsi="Times New Roman"/>
                <w:sz w:val="20"/>
              </w:rPr>
              <w:t xml:space="preserve">Severe (9–12)</w:t>
            </w:r>
          </w:p>
        </w:tc>
        <w:tc>
          <w:tcPr/>
          <w:p>
            <w:pPr>
              <w:pStyle w:val="Compact"/>
            </w:pPr>
            <w:r>
              <w:rPr>
                <w:rFonts w:ascii="Times New Roman" w:hAnsi="Times New Roman"/>
                <w:sz w:val="20"/>
              </w:rPr>
              <w:t xml:space="preserve">16 (6.8)</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bl>
    <w:p>
      <w:pPr>
        <w:pStyle w:val="BodyText"/>
      </w:pPr>
      <w:r>
        <w:rPr>
          <w:i/>
          <w:iCs/>
        </w:rPr>
        <w:t xml:space="preserve">Note.</w:t>
      </w:r>
      <w:r>
        <w:t xml:space="preserve"> </w:t>
      </w:r>
      <w:r>
        <w:t xml:space="preserve">Pearson correlations computed pairwise. Range is the observed range. Stigma scores are mean frequencies on the 0–4 scale. Symptom levels follow Kroenke et al. (2009).</w:t>
      </w:r>
    </w:p>
    <w:bookmarkEnd w:id="33"/>
    <w:bookmarkStart w:id="34" w:name="forms-of-stigma-experienced"/>
    <w:p>
      <w:pPr>
        <w:pStyle w:val="Heading2"/>
      </w:pPr>
      <w:r>
        <w:t xml:space="preserve">Forms of Stigma Experienced</w:t>
      </w:r>
    </w:p>
    <w:p>
      <w:pPr>
        <w:pStyle w:val="FirstParagraph"/>
      </w:pPr>
      <w:r>
        <w:t xml:space="preserve">Table 4 shows which forms of stigma respondents reported. Fifty-seven percent experienced at least one of the eight situations in the previous 12 months, and 27.2% experienced at least one of them often or very often. Most exposed respondents reported one or two situations: 26.8% of the sample reported one, 15.3% two, and 14.9% three or more. The mean index was 0.33 on the 0–4 scale and the median 0.14, so exposure was concentrated at low frequencies.</w:t>
      </w:r>
    </w:p>
    <w:p>
      <w:pPr>
        <w:pStyle w:val="BodyText"/>
      </w:pPr>
      <w:r>
        <w:t xml:space="preserve">Interpersonal stigma was the most common form. Almost half of the respondents (47.2%) experienced at least one interpersonal situation, and 22.1% experienced one often or very often. Unwanted personal questions were the most frequent single situation (33.9% of those who answered the item), followed by offensive jokes or comments (26.8%) and disclosure or threatened disclosure without consent (15.5%). Career-related stigma (17.4%) and gender-expression stigma (18.0%) were each reported by fewer than one in five respondents. Among career-related situations, unfavorable work assignments (11.7%) and unfair evaluation, pay, or promotion (9.8%) were reported more often than exclusion from training, which fewer than 10 respondents reported. Pressure to conform to gender stereotypes was reported by 16.2%, and difficulty with a name, pronouns, dress, or restrooms by 7.0% of the 186 who answered that item. The three forms overlapped only moderately: the interpersonal and career-related sub-indices correlated at .37, and each correlated at .32 with gender-expression stigma (Table 3).</w:t>
      </w:r>
    </w:p>
    <w:p>
      <w:pPr>
        <w:pStyle w:val="BodyText"/>
      </w:pPr>
      <w:r>
        <w:rPr>
          <w:b/>
          <w:bCs/>
        </w:rPr>
        <w:t xml:space="preserve">Table 4</w:t>
      </w:r>
      <w:r>
        <w:t xml:space="preserve"> </w:t>
      </w:r>
      <w:r>
        <w:rPr>
          <w:i/>
          <w:iCs/>
        </w:rPr>
        <w:t xml:space="preserve">Forms of workplace stigma experienced in the previous 12 months (main sample, n = 235)</w:t>
      </w:r>
    </w:p>
    <w:tbl>
      <w:tblPr>
        <w:tblStyle w:val="Table"/>
        <w:tblW w:type="pct" w:w="5000"/>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584"/>
        <w:gridCol w:w="1584"/>
        <w:gridCol w:w="1584"/>
        <w:gridCol w:w="1584"/>
        <w:gridCol w:w="1584"/>
      </w:tblGrid>
      <w:tr>
        <w:trPr>
          <w:tblHeader w:val="on"/>
        </w:trPr>
        <w:tc>
          <w:tcPr>
            <w:tcBorders>
              <w:bottom w:val="single" w:sz="6" w:space="0" w:color="000000"/>
            </w:tcBorders>
          </w:tcPr>
          <w:p>
            <w:pPr>
              <w:pStyle w:val="Compact"/>
            </w:pPr>
            <w:r>
              <w:rPr>
                <w:rFonts w:ascii="Times New Roman" w:hAnsi="Times New Roman"/>
                <w:sz w:val="20"/>
              </w:rPr>
              <w:t xml:space="preserve">Form of stigma</w:t>
            </w:r>
          </w:p>
        </w:tc>
        <w:tc>
          <w:tcPr>
            <w:tcBorders>
              <w:bottom w:val="single" w:sz="6" w:space="0" w:color="000000"/>
            </w:tcBorders>
          </w:tcPr>
          <w:p>
            <w:pPr>
              <w:pStyle w:val="Compact"/>
            </w:pP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answered</w:t>
            </w:r>
          </w:p>
        </w:tc>
        <w:tc>
          <w:tcPr>
            <w:tcBorders>
              <w:bottom w:val="single" w:sz="6" w:space="0" w:color="000000"/>
            </w:tcBorders>
          </w:tcPr>
          <w:p>
            <w:pPr>
              <w:pStyle w:val="Compact"/>
            </w:pPr>
            <w:r>
              <w:rPr>
                <w:rFonts w:ascii="Times New Roman" w:hAnsi="Times New Roman"/>
                <w:sz w:val="20"/>
              </w:rPr>
              <w:t xml:space="preserve">At least once,</w:t>
            </w:r>
            <w:r>
              <w:rPr>
                <w:rFonts w:ascii="Times New Roman" w:hAnsi="Times New Roman"/>
                <w:sz w:val="20"/>
              </w:rPr>
              <w:t xml:space="preserve">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w:t>
            </w:r>
          </w:p>
        </w:tc>
        <w:tc>
          <w:tcPr>
            <w:tcBorders>
              <w:bottom w:val="single" w:sz="6" w:space="0" w:color="000000"/>
            </w:tcBorders>
          </w:tcPr>
          <w:p>
            <w:pPr>
              <w:pStyle w:val="Compact"/>
            </w:pPr>
            <w:r>
              <w:rPr>
                <w:rFonts w:ascii="Times New Roman" w:hAnsi="Times New Roman"/>
                <w:sz w:val="20"/>
              </w:rPr>
              <w:t xml:space="preserve">Often or very often,</w:t>
            </w:r>
            <w:r>
              <w:rPr>
                <w:rFonts w:ascii="Times New Roman" w:hAnsi="Times New Roman"/>
                <w:sz w:val="20"/>
              </w:rPr>
              <w:t xml:space="preserve">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w:t>
            </w:r>
          </w:p>
        </w:tc>
        <w:tc>
          <w:tcPr>
            <w:tcBorders>
              <w:bottom w:val="single" w:sz="6" w:space="0" w:color="000000"/>
            </w:tcBorders>
          </w:tcPr>
          <w:p>
            <w:pPr>
              <w:pStyle w:val="Compact"/>
            </w:pPr>
            <w:r>
              <w:rPr>
                <w:rFonts w:ascii="Times New Roman" w:hAnsi="Times New Roman"/>
                <w:i/>
                <w:iCs/>
                <w:sz w:val="20"/>
              </w:rPr>
              <w:t xml:space="preserve">M</w:t>
            </w:r>
            <w:r>
              <w:rPr>
                <w:rFonts w:ascii="Times New Roman" w:hAnsi="Times New Roman"/>
                <w:sz w:val="20"/>
              </w:rPr>
              <w:t xml:space="preserve"> </w:t>
            </w:r>
            <w:r>
              <w:rPr>
                <w:rFonts w:ascii="Times New Roman" w:hAnsi="Times New Roman"/>
                <w:sz w:val="20"/>
              </w:rPr>
              <w:t xml:space="preserve">(</w:t>
            </w:r>
            <w:r>
              <w:rPr>
                <w:rFonts w:ascii="Times New Roman" w:hAnsi="Times New Roman"/>
                <w:i/>
                <w:iCs/>
                <w:sz w:val="20"/>
              </w:rPr>
              <w:t xml:space="preserve">SD</w:t>
            </w:r>
            <w:r>
              <w:rPr>
                <w:rFonts w:ascii="Times New Roman" w:hAnsi="Times New Roman"/>
                <w:sz w:val="20"/>
              </w:rPr>
              <w:t xml:space="preserve">)</w:t>
            </w:r>
          </w:p>
        </w:tc>
      </w:tr>
      <w:tr>
        <w:tc>
          <w:tcPr/>
          <w:p>
            <w:pPr>
              <w:pStyle w:val="Compact"/>
            </w:pPr>
            <w:r>
              <w:rPr>
                <w:rFonts w:ascii="Times New Roman" w:hAnsi="Times New Roman"/>
                <w:b/>
                <w:bCs/>
                <w:sz w:val="20"/>
              </w:rPr>
              <w:t xml:space="preserve">Any of the eight situations</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134 (57.0)</w:t>
            </w:r>
          </w:p>
        </w:tc>
        <w:tc>
          <w:tcPr/>
          <w:p>
            <w:pPr>
              <w:pStyle w:val="Compact"/>
            </w:pPr>
            <w:r>
              <w:rPr>
                <w:rFonts w:ascii="Times New Roman" w:hAnsi="Times New Roman"/>
                <w:sz w:val="20"/>
              </w:rPr>
              <w:t xml:space="preserve">64 (27.2)</w:t>
            </w:r>
          </w:p>
        </w:tc>
        <w:tc>
          <w:tcPr/>
          <w:p>
            <w:pPr>
              <w:pStyle w:val="Compact"/>
            </w:pPr>
            <w:r>
              <w:rPr>
                <w:rFonts w:ascii="Times New Roman" w:hAnsi="Times New Roman"/>
                <w:sz w:val="20"/>
              </w:rPr>
              <w:t xml:space="preserve">0.33 (0.47)</w:t>
            </w:r>
          </w:p>
        </w:tc>
      </w:tr>
      <w:tr>
        <w:tc>
          <w:tcPr/>
          <w:p>
            <w:pPr>
              <w:pStyle w:val="Compact"/>
            </w:pPr>
            <w:r>
              <w:rPr>
                <w:rFonts w:ascii="Times New Roman" w:hAnsi="Times New Roman"/>
                <w:b/>
                <w:bCs/>
                <w:sz w:val="20"/>
              </w:rPr>
              <w:t xml:space="preserve">Interpersonal (any of 1–3)</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111 (47.2)</w:t>
            </w:r>
          </w:p>
        </w:tc>
        <w:tc>
          <w:tcPr/>
          <w:p>
            <w:pPr>
              <w:pStyle w:val="Compact"/>
            </w:pPr>
            <w:r>
              <w:rPr>
                <w:rFonts w:ascii="Times New Roman" w:hAnsi="Times New Roman"/>
                <w:sz w:val="20"/>
              </w:rPr>
              <w:t xml:space="preserve">52 (22.1)</w:t>
            </w:r>
          </w:p>
        </w:tc>
        <w:tc>
          <w:tcPr/>
          <w:p>
            <w:pPr>
              <w:pStyle w:val="Compact"/>
            </w:pPr>
            <w:r>
              <w:rPr>
                <w:rFonts w:ascii="Times New Roman" w:hAnsi="Times New Roman"/>
                <w:sz w:val="20"/>
              </w:rPr>
              <w:t xml:space="preserve">0.53 (0.76)</w:t>
            </w:r>
          </w:p>
        </w:tc>
      </w:tr>
      <w:tr>
        <w:tc>
          <w:tcPr/>
          <w:p>
            <w:pPr>
              <w:pStyle w:val="Compact"/>
            </w:pPr>
            <w:r>
              <w:rPr>
                <w:rFonts w:ascii="Times New Roman" w:hAnsi="Times New Roman"/>
                <w:sz w:val="20"/>
              </w:rPr>
              <w:t xml:space="preserve">1. Offensive jokes or comments</w:t>
            </w:r>
          </w:p>
        </w:tc>
        <w:tc>
          <w:tcPr/>
          <w:p>
            <w:pPr>
              <w:pStyle w:val="Compact"/>
            </w:pPr>
            <w:r>
              <w:rPr>
                <w:rFonts w:ascii="Times New Roman" w:hAnsi="Times New Roman"/>
                <w:sz w:val="20"/>
              </w:rPr>
              <w:t xml:space="preserve">231</w:t>
            </w:r>
          </w:p>
        </w:tc>
        <w:tc>
          <w:tcPr/>
          <w:p>
            <w:pPr>
              <w:pStyle w:val="Compact"/>
            </w:pPr>
            <w:r>
              <w:rPr>
                <w:rFonts w:ascii="Times New Roman" w:hAnsi="Times New Roman"/>
                <w:sz w:val="20"/>
              </w:rPr>
              <w:t xml:space="preserve">62 (26.8)</w:t>
            </w:r>
          </w:p>
        </w:tc>
        <w:tc>
          <w:tcPr/>
          <w:p>
            <w:pPr>
              <w:pStyle w:val="Compact"/>
            </w:pPr>
            <w:r>
              <w:rPr>
                <w:rFonts w:ascii="Times New Roman" w:hAnsi="Times New Roman"/>
                <w:sz w:val="20"/>
              </w:rPr>
              <w:t xml:space="preserve">17 (7.4)</w:t>
            </w:r>
          </w:p>
        </w:tc>
        <w:tc>
          <w:tcPr/>
          <w:p>
            <w:pPr>
              <w:pStyle w:val="Compact"/>
            </w:pPr>
            <w:r>
              <w:rPr>
                <w:rFonts w:ascii="Times New Roman" w:hAnsi="Times New Roman"/>
                <w:sz w:val="20"/>
              </w:rPr>
              <w:t xml:space="preserve">0.55 (1.11)</w:t>
            </w:r>
          </w:p>
        </w:tc>
      </w:tr>
      <w:tr>
        <w:tc>
          <w:tcPr/>
          <w:p>
            <w:pPr>
              <w:pStyle w:val="Compact"/>
            </w:pPr>
            <w:r>
              <w:rPr>
                <w:rFonts w:ascii="Times New Roman" w:hAnsi="Times New Roman"/>
                <w:sz w:val="20"/>
              </w:rPr>
              <w:t xml:space="preserve">2. Unwanted personal questions</w:t>
            </w:r>
          </w:p>
        </w:tc>
        <w:tc>
          <w:tcPr/>
          <w:p>
            <w:pPr>
              <w:pStyle w:val="Compact"/>
            </w:pPr>
            <w:r>
              <w:rPr>
                <w:rFonts w:ascii="Times New Roman" w:hAnsi="Times New Roman"/>
                <w:sz w:val="20"/>
              </w:rPr>
              <w:t xml:space="preserve">227</w:t>
            </w:r>
          </w:p>
        </w:tc>
        <w:tc>
          <w:tcPr/>
          <w:p>
            <w:pPr>
              <w:pStyle w:val="Compact"/>
            </w:pPr>
            <w:r>
              <w:rPr>
                <w:rFonts w:ascii="Times New Roman" w:hAnsi="Times New Roman"/>
                <w:sz w:val="20"/>
              </w:rPr>
              <w:t xml:space="preserve">77 (33.9)</w:t>
            </w:r>
          </w:p>
        </w:tc>
        <w:tc>
          <w:tcPr/>
          <w:p>
            <w:pPr>
              <w:pStyle w:val="Compact"/>
            </w:pPr>
            <w:r>
              <w:rPr>
                <w:rFonts w:ascii="Times New Roman" w:hAnsi="Times New Roman"/>
                <w:sz w:val="20"/>
              </w:rPr>
              <w:t xml:space="preserve">31 (13.7)</w:t>
            </w:r>
          </w:p>
        </w:tc>
        <w:tc>
          <w:tcPr/>
          <w:p>
            <w:pPr>
              <w:pStyle w:val="Compact"/>
            </w:pPr>
            <w:r>
              <w:rPr>
                <w:rFonts w:ascii="Times New Roman" w:hAnsi="Times New Roman"/>
                <w:sz w:val="20"/>
              </w:rPr>
              <w:t xml:space="preserve">0.71 (1.16)</w:t>
            </w:r>
          </w:p>
        </w:tc>
      </w:tr>
      <w:tr>
        <w:tc>
          <w:tcPr/>
          <w:p>
            <w:pPr>
              <w:pStyle w:val="Compact"/>
            </w:pPr>
            <w:r>
              <w:rPr>
                <w:rFonts w:ascii="Times New Roman" w:hAnsi="Times New Roman"/>
                <w:sz w:val="20"/>
              </w:rPr>
              <w:t xml:space="preserve">3. Disclosure or threatened disclosure without consent</w:t>
            </w:r>
          </w:p>
        </w:tc>
        <w:tc>
          <w:tcPr/>
          <w:p>
            <w:pPr>
              <w:pStyle w:val="Compact"/>
            </w:pPr>
            <w:r>
              <w:rPr>
                <w:rFonts w:ascii="Times New Roman" w:hAnsi="Times New Roman"/>
                <w:sz w:val="20"/>
              </w:rPr>
              <w:t xml:space="preserve">220</w:t>
            </w:r>
          </w:p>
        </w:tc>
        <w:tc>
          <w:tcPr/>
          <w:p>
            <w:pPr>
              <w:pStyle w:val="Compact"/>
            </w:pPr>
            <w:r>
              <w:rPr>
                <w:rFonts w:ascii="Times New Roman" w:hAnsi="Times New Roman"/>
                <w:sz w:val="20"/>
              </w:rPr>
              <w:t xml:space="preserve">34 (15.5)</w:t>
            </w:r>
          </w:p>
        </w:tc>
        <w:tc>
          <w:tcPr/>
          <w:p>
            <w:pPr>
              <w:pStyle w:val="Compact"/>
            </w:pPr>
            <w:r>
              <w:rPr>
                <w:rFonts w:ascii="Times New Roman" w:hAnsi="Times New Roman"/>
                <w:sz w:val="20"/>
              </w:rPr>
              <w:t xml:space="preserve">13 (5.9)</w:t>
            </w:r>
          </w:p>
        </w:tc>
        <w:tc>
          <w:tcPr/>
          <w:p>
            <w:pPr>
              <w:pStyle w:val="Compact"/>
            </w:pPr>
            <w:r>
              <w:rPr>
                <w:rFonts w:ascii="Times New Roman" w:hAnsi="Times New Roman"/>
                <w:sz w:val="20"/>
              </w:rPr>
              <w:t xml:space="preserve">0.34 (0.92)</w:t>
            </w:r>
          </w:p>
        </w:tc>
      </w:tr>
      <w:tr>
        <w:tc>
          <w:tcPr/>
          <w:p>
            <w:pPr>
              <w:pStyle w:val="Compact"/>
            </w:pPr>
            <w:r>
              <w:rPr>
                <w:rFonts w:ascii="Times New Roman" w:hAnsi="Times New Roman"/>
                <w:b/>
                <w:bCs/>
                <w:sz w:val="20"/>
              </w:rPr>
              <w:t xml:space="preserve">Career-related (any of 4–6)</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41 (17.4)</w:t>
            </w:r>
          </w:p>
        </w:tc>
        <w:tc>
          <w:tcPr/>
          <w:p>
            <w:pPr>
              <w:pStyle w:val="Compact"/>
            </w:pPr>
            <w:r>
              <w:rPr>
                <w:rFonts w:ascii="Times New Roman" w:hAnsi="Times New Roman"/>
                <w:sz w:val="20"/>
              </w:rPr>
              <w:t xml:space="preserve">17 (7.2)</w:t>
            </w:r>
          </w:p>
        </w:tc>
        <w:tc>
          <w:tcPr/>
          <w:p>
            <w:pPr>
              <w:pStyle w:val="Compact"/>
            </w:pPr>
            <w:r>
              <w:rPr>
                <w:rFonts w:ascii="Times New Roman" w:hAnsi="Times New Roman"/>
                <w:sz w:val="20"/>
              </w:rPr>
              <w:t xml:space="preserve">0.17 (0.45)</w:t>
            </w:r>
          </w:p>
        </w:tc>
      </w:tr>
      <w:tr>
        <w:tc>
          <w:tcPr/>
          <w:p>
            <w:pPr>
              <w:pStyle w:val="Compact"/>
            </w:pPr>
            <w:r>
              <w:rPr>
                <w:rFonts w:ascii="Times New Roman" w:hAnsi="Times New Roman"/>
                <w:sz w:val="20"/>
              </w:rPr>
              <w:t xml:space="preserve">4. Exclusion from training or career development</w:t>
            </w:r>
          </w:p>
        </w:tc>
        <w:tc>
          <w:tcPr/>
          <w:p>
            <w:pPr>
              <w:pStyle w:val="Compact"/>
            </w:pPr>
            <w:r>
              <w:rPr>
                <w:rFonts w:ascii="Times New Roman" w:hAnsi="Times New Roman"/>
                <w:sz w:val="20"/>
              </w:rPr>
              <w:t xml:space="preserve">212</w:t>
            </w:r>
          </w:p>
        </w:tc>
        <w:tc>
          <w:tcPr/>
          <w:p>
            <w:pPr>
              <w:pStyle w:val="Compact"/>
            </w:pPr>
            <w:r>
              <w:rPr>
                <w:rFonts w:ascii="Times New Roman" w:hAnsi="Times New Roman"/>
                <w:sz w:val="20"/>
              </w:rPr>
              <w:t xml:space="preserve">&lt;10</w:t>
            </w:r>
          </w:p>
        </w:tc>
        <w:tc>
          <w:tcPr/>
          <w:p>
            <w:pPr>
              <w:pStyle w:val="Compact"/>
            </w:pPr>
            <w:r>
              <w:rPr>
                <w:rFonts w:ascii="Times New Roman" w:hAnsi="Times New Roman"/>
                <w:sz w:val="20"/>
              </w:rPr>
              <w:t xml:space="preserve">&lt;10</w:t>
            </w:r>
          </w:p>
        </w:tc>
        <w:tc>
          <w:tcPr/>
          <w:p>
            <w:pPr>
              <w:pStyle w:val="Compact"/>
            </w:pPr>
            <w:r>
              <w:rPr>
                <w:rFonts w:ascii="Times New Roman" w:hAnsi="Times New Roman"/>
                <w:sz w:val="20"/>
              </w:rPr>
              <w:t xml:space="preserve">0.05 (0.41)</w:t>
            </w:r>
          </w:p>
        </w:tc>
      </w:tr>
      <w:tr>
        <w:tc>
          <w:tcPr/>
          <w:p>
            <w:pPr>
              <w:pStyle w:val="Compact"/>
            </w:pPr>
            <w:r>
              <w:rPr>
                <w:rFonts w:ascii="Times New Roman" w:hAnsi="Times New Roman"/>
                <w:sz w:val="20"/>
              </w:rPr>
              <w:t xml:space="preserve">5. Unfair evaluation, pay, or promotion</w:t>
            </w:r>
          </w:p>
        </w:tc>
        <w:tc>
          <w:tcPr/>
          <w:p>
            <w:pPr>
              <w:pStyle w:val="Compact"/>
            </w:pPr>
            <w:r>
              <w:rPr>
                <w:rFonts w:ascii="Times New Roman" w:hAnsi="Times New Roman"/>
                <w:sz w:val="20"/>
              </w:rPr>
              <w:t xml:space="preserve">204</w:t>
            </w:r>
          </w:p>
        </w:tc>
        <w:tc>
          <w:tcPr/>
          <w:p>
            <w:pPr>
              <w:pStyle w:val="Compact"/>
            </w:pPr>
            <w:r>
              <w:rPr>
                <w:rFonts w:ascii="Times New Roman" w:hAnsi="Times New Roman"/>
                <w:sz w:val="20"/>
              </w:rPr>
              <w:t xml:space="preserve">20 (9.8)</w:t>
            </w:r>
          </w:p>
        </w:tc>
        <w:tc>
          <w:tcPr/>
          <w:p>
            <w:pPr>
              <w:pStyle w:val="Compact"/>
            </w:pPr>
            <w:r>
              <w:rPr>
                <w:rFonts w:ascii="Times New Roman" w:hAnsi="Times New Roman"/>
                <w:sz w:val="20"/>
              </w:rPr>
              <w:t xml:space="preserve">&lt;10</w:t>
            </w:r>
          </w:p>
        </w:tc>
        <w:tc>
          <w:tcPr/>
          <w:p>
            <w:pPr>
              <w:pStyle w:val="Compact"/>
            </w:pPr>
            <w:r>
              <w:rPr>
                <w:rFonts w:ascii="Times New Roman" w:hAnsi="Times New Roman"/>
                <w:sz w:val="20"/>
              </w:rPr>
              <w:t xml:space="preserve">0.20 (0.70)</w:t>
            </w:r>
          </w:p>
        </w:tc>
      </w:tr>
      <w:tr>
        <w:tc>
          <w:tcPr/>
          <w:p>
            <w:pPr>
              <w:pStyle w:val="Compact"/>
            </w:pPr>
            <w:r>
              <w:rPr>
                <w:rFonts w:ascii="Times New Roman" w:hAnsi="Times New Roman"/>
                <w:sz w:val="20"/>
              </w:rPr>
              <w:t xml:space="preserve">6. Unfavorable work assignments</w:t>
            </w:r>
          </w:p>
        </w:tc>
        <w:tc>
          <w:tcPr/>
          <w:p>
            <w:pPr>
              <w:pStyle w:val="Compact"/>
            </w:pPr>
            <w:r>
              <w:rPr>
                <w:rFonts w:ascii="Times New Roman" w:hAnsi="Times New Roman"/>
                <w:sz w:val="20"/>
              </w:rPr>
              <w:t xml:space="preserve">223</w:t>
            </w:r>
          </w:p>
        </w:tc>
        <w:tc>
          <w:tcPr/>
          <w:p>
            <w:pPr>
              <w:pStyle w:val="Compact"/>
            </w:pPr>
            <w:r>
              <w:rPr>
                <w:rFonts w:ascii="Times New Roman" w:hAnsi="Times New Roman"/>
                <w:sz w:val="20"/>
              </w:rPr>
              <w:t xml:space="preserve">26 (11.7)</w:t>
            </w:r>
          </w:p>
        </w:tc>
        <w:tc>
          <w:tcPr/>
          <w:p>
            <w:pPr>
              <w:pStyle w:val="Compact"/>
            </w:pPr>
            <w:r>
              <w:rPr>
                <w:rFonts w:ascii="Times New Roman" w:hAnsi="Times New Roman"/>
                <w:sz w:val="20"/>
              </w:rPr>
              <w:t xml:space="preserve">10 (4.5)</w:t>
            </w:r>
          </w:p>
        </w:tc>
        <w:tc>
          <w:tcPr/>
          <w:p>
            <w:pPr>
              <w:pStyle w:val="Compact"/>
            </w:pPr>
            <w:r>
              <w:rPr>
                <w:rFonts w:ascii="Times New Roman" w:hAnsi="Times New Roman"/>
                <w:sz w:val="20"/>
              </w:rPr>
              <w:t xml:space="preserve">0.26 (0.80)</w:t>
            </w:r>
          </w:p>
        </w:tc>
      </w:tr>
      <w:tr>
        <w:tc>
          <w:tcPr/>
          <w:p>
            <w:pPr>
              <w:pStyle w:val="Compact"/>
            </w:pPr>
            <w:r>
              <w:rPr>
                <w:rFonts w:ascii="Times New Roman" w:hAnsi="Times New Roman"/>
                <w:b/>
                <w:bCs/>
                <w:sz w:val="20"/>
              </w:rPr>
              <w:t xml:space="preserve">Gender expression (any of 7–8)</w:t>
            </w:r>
          </w:p>
        </w:tc>
        <w:tc>
          <w:tcPr/>
          <w:p>
            <w:pPr>
              <w:pStyle w:val="Compact"/>
            </w:pPr>
            <w:r>
              <w:rPr>
                <w:rFonts w:ascii="Times New Roman" w:hAnsi="Times New Roman"/>
                <w:sz w:val="20"/>
              </w:rPr>
              <w:t xml:space="preserve">233</w:t>
            </w:r>
          </w:p>
        </w:tc>
        <w:tc>
          <w:tcPr/>
          <w:p>
            <w:pPr>
              <w:pStyle w:val="Compact"/>
            </w:pPr>
            <w:r>
              <w:rPr>
                <w:rFonts w:ascii="Times New Roman" w:hAnsi="Times New Roman"/>
                <w:sz w:val="20"/>
              </w:rPr>
              <w:t xml:space="preserve">42 (18.0)</w:t>
            </w:r>
          </w:p>
        </w:tc>
        <w:tc>
          <w:tcPr/>
          <w:p>
            <w:pPr>
              <w:pStyle w:val="Compact"/>
            </w:pPr>
            <w:r>
              <w:rPr>
                <w:rFonts w:ascii="Times New Roman" w:hAnsi="Times New Roman"/>
                <w:sz w:val="20"/>
              </w:rPr>
              <w:t xml:space="preserve">14 (6.0)</w:t>
            </w:r>
          </w:p>
        </w:tc>
        <w:tc>
          <w:tcPr/>
          <w:p>
            <w:pPr>
              <w:pStyle w:val="Compact"/>
            </w:pPr>
            <w:r>
              <w:rPr>
                <w:rFonts w:ascii="Times New Roman" w:hAnsi="Times New Roman"/>
                <w:sz w:val="20"/>
              </w:rPr>
              <w:t xml:space="preserve">0.23 (0.61)</w:t>
            </w:r>
          </w:p>
        </w:tc>
      </w:tr>
      <w:tr>
        <w:tc>
          <w:tcPr/>
          <w:p>
            <w:pPr>
              <w:pStyle w:val="Compact"/>
            </w:pPr>
            <w:r>
              <w:rPr>
                <w:rFonts w:ascii="Times New Roman" w:hAnsi="Times New Roman"/>
                <w:sz w:val="20"/>
              </w:rPr>
              <w:t xml:space="preserve">7. Pressure to conform to gender stereotypes</w:t>
            </w:r>
          </w:p>
        </w:tc>
        <w:tc>
          <w:tcPr/>
          <w:p>
            <w:pPr>
              <w:pStyle w:val="Compact"/>
            </w:pPr>
            <w:r>
              <w:rPr>
                <w:rFonts w:ascii="Times New Roman" w:hAnsi="Times New Roman"/>
                <w:sz w:val="20"/>
              </w:rPr>
              <w:t xml:space="preserve">222</w:t>
            </w:r>
          </w:p>
        </w:tc>
        <w:tc>
          <w:tcPr/>
          <w:p>
            <w:pPr>
              <w:pStyle w:val="Compact"/>
            </w:pPr>
            <w:r>
              <w:rPr>
                <w:rFonts w:ascii="Times New Roman" w:hAnsi="Times New Roman"/>
                <w:sz w:val="20"/>
              </w:rPr>
              <w:t xml:space="preserve">36 (16.2)</w:t>
            </w:r>
          </w:p>
        </w:tc>
        <w:tc>
          <w:tcPr/>
          <w:p>
            <w:pPr>
              <w:pStyle w:val="Compact"/>
            </w:pPr>
            <w:r>
              <w:rPr>
                <w:rFonts w:ascii="Times New Roman" w:hAnsi="Times New Roman"/>
                <w:sz w:val="20"/>
              </w:rPr>
              <w:t xml:space="preserve">10 (4.5)</w:t>
            </w:r>
          </w:p>
        </w:tc>
        <w:tc>
          <w:tcPr/>
          <w:p>
            <w:pPr>
              <w:pStyle w:val="Compact"/>
            </w:pPr>
            <w:r>
              <w:rPr>
                <w:rFonts w:ascii="Times New Roman" w:hAnsi="Times New Roman"/>
                <w:sz w:val="20"/>
              </w:rPr>
              <w:t xml:space="preserve">0.32 (0.80)</w:t>
            </w:r>
          </w:p>
        </w:tc>
      </w:tr>
      <w:tr>
        <w:tc>
          <w:tcPr/>
          <w:p>
            <w:pPr>
              <w:pStyle w:val="Compact"/>
            </w:pPr>
            <w:r>
              <w:rPr>
                <w:rFonts w:ascii="Times New Roman" w:hAnsi="Times New Roman"/>
                <w:sz w:val="20"/>
              </w:rPr>
              <w:t xml:space="preserve">8. Difficulty with name, pronouns, dress, or restrooms</w:t>
            </w:r>
          </w:p>
        </w:tc>
        <w:tc>
          <w:tcPr/>
          <w:p>
            <w:pPr>
              <w:pStyle w:val="Compact"/>
            </w:pPr>
            <w:r>
              <w:rPr>
                <w:rFonts w:ascii="Times New Roman" w:hAnsi="Times New Roman"/>
                <w:sz w:val="20"/>
              </w:rPr>
              <w:t xml:space="preserve">186</w:t>
            </w:r>
          </w:p>
        </w:tc>
        <w:tc>
          <w:tcPr/>
          <w:p>
            <w:pPr>
              <w:pStyle w:val="Compact"/>
            </w:pPr>
            <w:r>
              <w:rPr>
                <w:rFonts w:ascii="Times New Roman" w:hAnsi="Times New Roman"/>
                <w:sz w:val="20"/>
              </w:rPr>
              <w:t xml:space="preserve">13 (7.0)</w:t>
            </w:r>
          </w:p>
        </w:tc>
        <w:tc>
          <w:tcPr/>
          <w:p>
            <w:pPr>
              <w:pStyle w:val="Compact"/>
            </w:pPr>
            <w:r>
              <w:rPr>
                <w:rFonts w:ascii="Times New Roman" w:hAnsi="Times New Roman"/>
                <w:sz w:val="20"/>
              </w:rPr>
              <w:t xml:space="preserve">&lt;10</w:t>
            </w:r>
          </w:p>
        </w:tc>
        <w:tc>
          <w:tcPr/>
          <w:p>
            <w:pPr>
              <w:pStyle w:val="Compact"/>
            </w:pPr>
            <w:r>
              <w:rPr>
                <w:rFonts w:ascii="Times New Roman" w:hAnsi="Times New Roman"/>
                <w:sz w:val="20"/>
              </w:rPr>
              <w:t xml:space="preserve">0.14 (0.60)</w:t>
            </w:r>
          </w:p>
        </w:tc>
      </w:tr>
      <w:tr>
        <w:tc>
          <w:tcPr/>
          <w:p>
            <w:pPr>
              <w:pStyle w:val="Compact"/>
            </w:pPr>
            <w:r>
              <w:rPr>
                <w:rFonts w:ascii="Times New Roman" w:hAnsi="Times New Roman"/>
                <w:b/>
                <w:bCs/>
                <w:sz w:val="20"/>
              </w:rPr>
              <w:t xml:space="preserve">Number of situations experienced</w:t>
            </w:r>
          </w:p>
        </w:tc>
        <w:tc>
          <w:tcPr/>
          <w:p>
            <w:pPr>
              <w:pStyle w:val="Compact"/>
            </w:pPr>
          </w:p>
        </w:tc>
        <w:tc>
          <w:tcPr/>
          <w:p>
            <w:pPr>
              <w:pStyle w:val="Compact"/>
            </w:pPr>
          </w:p>
        </w:tc>
        <w:tc>
          <w:tcPr/>
          <w:p>
            <w:pPr>
              <w:pStyle w:val="Compact"/>
            </w:pPr>
          </w:p>
        </w:tc>
        <w:tc>
          <w:tcPr/>
          <w:p>
            <w:pPr>
              <w:pStyle w:val="Compact"/>
            </w:pPr>
          </w:p>
        </w:tc>
      </w:tr>
      <w:tr>
        <w:tc>
          <w:tcPr/>
          <w:p>
            <w:pPr>
              <w:pStyle w:val="Compact"/>
            </w:pPr>
            <w:r>
              <w:rPr>
                <w:rFonts w:ascii="Times New Roman" w:hAnsi="Times New Roman"/>
                <w:sz w:val="20"/>
              </w:rPr>
              <w:t xml:space="preserve">None</w:t>
            </w:r>
          </w:p>
        </w:tc>
        <w:tc>
          <w:tcPr/>
          <w:p>
            <w:pPr>
              <w:pStyle w:val="Compact"/>
            </w:pPr>
          </w:p>
        </w:tc>
        <w:tc>
          <w:tcPr/>
          <w:p>
            <w:pPr>
              <w:pStyle w:val="Compact"/>
            </w:pPr>
            <w:r>
              <w:rPr>
                <w:rFonts w:ascii="Times New Roman" w:hAnsi="Times New Roman"/>
                <w:sz w:val="20"/>
              </w:rPr>
              <w:t xml:space="preserve">101 (43.0)</w:t>
            </w:r>
          </w:p>
        </w:tc>
        <w:tc>
          <w:tcPr/>
          <w:p>
            <w:pPr>
              <w:pStyle w:val="Compact"/>
            </w:pPr>
          </w:p>
        </w:tc>
        <w:tc>
          <w:tcPr/>
          <w:p>
            <w:pPr>
              <w:pStyle w:val="Compact"/>
            </w:pPr>
          </w:p>
        </w:tc>
      </w:tr>
      <w:tr>
        <w:tc>
          <w:tcPr/>
          <w:p>
            <w:pPr>
              <w:pStyle w:val="Compact"/>
            </w:pPr>
            <w:r>
              <w:rPr>
                <w:rFonts w:ascii="Times New Roman" w:hAnsi="Times New Roman"/>
                <w:sz w:val="20"/>
              </w:rPr>
              <w:t xml:space="preserve">One</w:t>
            </w:r>
          </w:p>
        </w:tc>
        <w:tc>
          <w:tcPr/>
          <w:p>
            <w:pPr>
              <w:pStyle w:val="Compact"/>
            </w:pPr>
          </w:p>
        </w:tc>
        <w:tc>
          <w:tcPr/>
          <w:p>
            <w:pPr>
              <w:pStyle w:val="Compact"/>
            </w:pPr>
            <w:r>
              <w:rPr>
                <w:rFonts w:ascii="Times New Roman" w:hAnsi="Times New Roman"/>
                <w:sz w:val="20"/>
              </w:rPr>
              <w:t xml:space="preserve">63 (26.8)</w:t>
            </w:r>
          </w:p>
        </w:tc>
        <w:tc>
          <w:tcPr/>
          <w:p>
            <w:pPr>
              <w:pStyle w:val="Compact"/>
            </w:pPr>
          </w:p>
        </w:tc>
        <w:tc>
          <w:tcPr/>
          <w:p>
            <w:pPr>
              <w:pStyle w:val="Compact"/>
            </w:pPr>
          </w:p>
        </w:tc>
      </w:tr>
      <w:tr>
        <w:tc>
          <w:tcPr/>
          <w:p>
            <w:pPr>
              <w:pStyle w:val="Compact"/>
            </w:pPr>
            <w:r>
              <w:rPr>
                <w:rFonts w:ascii="Times New Roman" w:hAnsi="Times New Roman"/>
                <w:sz w:val="20"/>
              </w:rPr>
              <w:t xml:space="preserve">Two</w:t>
            </w:r>
          </w:p>
        </w:tc>
        <w:tc>
          <w:tcPr/>
          <w:p>
            <w:pPr>
              <w:pStyle w:val="Compact"/>
            </w:pPr>
          </w:p>
        </w:tc>
        <w:tc>
          <w:tcPr/>
          <w:p>
            <w:pPr>
              <w:pStyle w:val="Compact"/>
            </w:pPr>
            <w:r>
              <w:rPr>
                <w:rFonts w:ascii="Times New Roman" w:hAnsi="Times New Roman"/>
                <w:sz w:val="20"/>
              </w:rPr>
              <w:t xml:space="preserve">36 (15.3)</w:t>
            </w:r>
          </w:p>
        </w:tc>
        <w:tc>
          <w:tcPr/>
          <w:p>
            <w:pPr>
              <w:pStyle w:val="Compact"/>
            </w:pPr>
          </w:p>
        </w:tc>
        <w:tc>
          <w:tcPr/>
          <w:p>
            <w:pPr>
              <w:pStyle w:val="Compact"/>
            </w:pPr>
          </w:p>
        </w:tc>
      </w:tr>
      <w:tr>
        <w:tc>
          <w:tcPr/>
          <w:p>
            <w:pPr>
              <w:pStyle w:val="Compact"/>
            </w:pPr>
            <w:r>
              <w:rPr>
                <w:rFonts w:ascii="Times New Roman" w:hAnsi="Times New Roman"/>
                <w:sz w:val="20"/>
              </w:rPr>
              <w:t xml:space="preserve">Three or more</w:t>
            </w:r>
          </w:p>
        </w:tc>
        <w:tc>
          <w:tcPr/>
          <w:p>
            <w:pPr>
              <w:pStyle w:val="Compact"/>
            </w:pPr>
          </w:p>
        </w:tc>
        <w:tc>
          <w:tcPr/>
          <w:p>
            <w:pPr>
              <w:pStyle w:val="Compact"/>
            </w:pPr>
            <w:r>
              <w:rPr>
                <w:rFonts w:ascii="Times New Roman" w:hAnsi="Times New Roman"/>
                <w:sz w:val="20"/>
              </w:rPr>
              <w:t xml:space="preserve">35 (14.9)</w:t>
            </w:r>
          </w:p>
        </w:tc>
        <w:tc>
          <w:tcPr/>
          <w:p>
            <w:pPr>
              <w:pStyle w:val="Compact"/>
            </w:pPr>
          </w:p>
        </w:tc>
        <w:tc>
          <w:tcPr/>
          <w:p>
            <w:pPr>
              <w:pStyle w:val="Compact"/>
            </w:pPr>
          </w:p>
        </w:tc>
      </w:tr>
    </w:tbl>
    <w:p>
      <w:pPr>
        <w:pStyle w:val="BodyText"/>
      </w:pPr>
      <w:r>
        <w:rPr>
          <w:i/>
          <w:iCs/>
        </w:rPr>
        <w:t xml:space="preserve">Note.</w:t>
      </w:r>
      <w:r>
        <w:t xml:space="preserve"> </w:t>
      </w:r>
      <w:r>
        <w:t xml:space="preserve">Percentages use the respondents who answered the situation as the denominator; for a form, the respondents with a valid sub-index. A form counts as experienced when its sub-index is above zero, and as experienced often when at least one of its situations was rated 3 (</w:t>
      </w:r>
      <w:r>
        <w:rPr>
          <w:i/>
          <w:iCs/>
        </w:rPr>
        <w:t xml:space="preserve">often</w:t>
      </w:r>
      <w:r>
        <w:t xml:space="preserve">) or 4 (</w:t>
      </w:r>
      <w:r>
        <w:rPr>
          <w:i/>
          <w:iCs/>
        </w:rPr>
        <w:t xml:space="preserve">very often</w:t>
      </w:r>
      <w:r>
        <w:t xml:space="preserve">).</w:t>
      </w:r>
      <w:r>
        <w:t xml:space="preserve"> </w:t>
      </w:r>
      <w:r>
        <w:rPr>
          <w:i/>
          <w:iCs/>
        </w:rPr>
        <w:t xml:space="preserve">M</w:t>
      </w:r>
      <w:r>
        <w:t xml:space="preserve"> </w:t>
      </w:r>
      <w:r>
        <w:t xml:space="preserve">(</w:t>
      </w:r>
      <w:r>
        <w:rPr>
          <w:i/>
          <w:iCs/>
        </w:rPr>
        <w:t xml:space="preserve">SD</w:t>
      </w:r>
      <w:r>
        <w:t xml:space="preserve">) is the mean frequency on the 0–4 scale. Cells with fewer than 10 respondents, and cells from which such a count could be derived, are suppressed.</w:t>
      </w:r>
    </w:p>
    <w:bookmarkEnd w:id="34"/>
    <w:bookmarkStart w:id="35" w:name="Xb85b4783b15c843a6edc5c486501d2124f29eae"/>
    <w:p>
      <w:pPr>
        <w:pStyle w:val="Heading2"/>
      </w:pPr>
      <w:r>
        <w:t xml:space="preserve">Forms of Stigma and Symptoms: Descriptive Comparison</w:t>
      </w:r>
    </w:p>
    <w:p>
      <w:pPr>
        <w:pStyle w:val="FirstParagraph"/>
      </w:pPr>
      <w:r>
        <w:t xml:space="preserve">Table 5 compares PHQ-4 scores between respondents who did and did not experience each form, without adjustment. Respondents who experienced any of the situations scored 1.38 points higher on average than those who experienced none (4.02 vs. 2.64), and 29.1% compared with 14.9% scored 6 or more. The difference was 1.64 points for interpersonal, 0.93 points for career-related, and 0.67 points for gender-expression stigma. Among individual situations, it was largest for unwanted personal questions (1.74 points), offensive jokes or comments (1.28 points), and unfavorable work assignments (1.02 points). These differences are unadjusted, and those for less common forms rest on few respondents.</w:t>
      </w:r>
    </w:p>
    <w:p>
      <w:pPr>
        <w:pStyle w:val="BodyText"/>
      </w:pPr>
      <w:r>
        <w:rPr>
          <w:b/>
          <w:bCs/>
        </w:rPr>
        <w:t xml:space="preserve">Table 5</w:t>
      </w:r>
      <w:r>
        <w:t xml:space="preserve"> </w:t>
      </w:r>
      <w:r>
        <w:rPr>
          <w:i/>
          <w:iCs/>
        </w:rPr>
        <w:t xml:space="preserve">PHQ-4 scores by experience of each form of stigma (main sample, descriptive)</w:t>
      </w:r>
    </w:p>
    <w:tbl>
      <w:tblPr>
        <w:tblStyle w:val="Table"/>
        <w:tblW w:type="pct" w:w="5000"/>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pPr>
            <w:r>
              <w:rPr>
                <w:rFonts w:ascii="Times New Roman" w:hAnsi="Times New Roman"/>
                <w:sz w:val="20"/>
              </w:rPr>
              <w:t xml:space="preserve">Form of stigma</w:t>
            </w:r>
          </w:p>
        </w:tc>
        <w:tc>
          <w:tcPr>
            <w:tcBorders>
              <w:bottom w:val="single" w:sz="6" w:space="0" w:color="000000"/>
            </w:tcBorders>
          </w:tcPr>
          <w:p>
            <w:pPr>
              <w:pStyle w:val="Compact"/>
            </w:pP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experienced / not</w:t>
            </w:r>
          </w:p>
        </w:tc>
        <w:tc>
          <w:tcPr>
            <w:tcBorders>
              <w:bottom w:val="single" w:sz="6" w:space="0" w:color="000000"/>
            </w:tcBorders>
          </w:tcPr>
          <w:p>
            <w:pPr>
              <w:pStyle w:val="Compact"/>
            </w:pPr>
            <w:r>
              <w:rPr>
                <w:rFonts w:ascii="Times New Roman" w:hAnsi="Times New Roman"/>
                <w:i/>
                <w:iCs/>
                <w:sz w:val="20"/>
              </w:rPr>
              <w:t xml:space="preserve">M</w:t>
            </w:r>
            <w:r>
              <w:rPr>
                <w:rFonts w:ascii="Times New Roman" w:hAnsi="Times New Roman"/>
                <w:sz w:val="20"/>
              </w:rPr>
              <w:t xml:space="preserve"> </w:t>
            </w:r>
            <w:r>
              <w:rPr>
                <w:rFonts w:ascii="Times New Roman" w:hAnsi="Times New Roman"/>
                <w:sz w:val="20"/>
              </w:rPr>
              <w:t xml:space="preserve">(</w:t>
            </w:r>
            <w:r>
              <w:rPr>
                <w:rFonts w:ascii="Times New Roman" w:hAnsi="Times New Roman"/>
                <w:i/>
                <w:iCs/>
                <w:sz w:val="20"/>
              </w:rPr>
              <w:t xml:space="preserve">SD</w:t>
            </w:r>
            <w:r>
              <w:rPr>
                <w:rFonts w:ascii="Times New Roman" w:hAnsi="Times New Roman"/>
                <w:sz w:val="20"/>
              </w:rPr>
              <w:t xml:space="preserve">), experienced</w:t>
            </w:r>
          </w:p>
        </w:tc>
        <w:tc>
          <w:tcPr>
            <w:tcBorders>
              <w:bottom w:val="single" w:sz="6" w:space="0" w:color="000000"/>
            </w:tcBorders>
          </w:tcPr>
          <w:p>
            <w:pPr>
              <w:pStyle w:val="Compact"/>
            </w:pPr>
            <w:r>
              <w:rPr>
                <w:rFonts w:ascii="Times New Roman" w:hAnsi="Times New Roman"/>
                <w:i/>
                <w:iCs/>
                <w:sz w:val="20"/>
              </w:rPr>
              <w:t xml:space="preserve">M</w:t>
            </w:r>
            <w:r>
              <w:rPr>
                <w:rFonts w:ascii="Times New Roman" w:hAnsi="Times New Roman"/>
                <w:sz w:val="20"/>
              </w:rPr>
              <w:t xml:space="preserve"> </w:t>
            </w:r>
            <w:r>
              <w:rPr>
                <w:rFonts w:ascii="Times New Roman" w:hAnsi="Times New Roman"/>
                <w:sz w:val="20"/>
              </w:rPr>
              <w:t xml:space="preserve">(</w:t>
            </w:r>
            <w:r>
              <w:rPr>
                <w:rFonts w:ascii="Times New Roman" w:hAnsi="Times New Roman"/>
                <w:i/>
                <w:iCs/>
                <w:sz w:val="20"/>
              </w:rPr>
              <w:t xml:space="preserve">SD</w:t>
            </w:r>
            <w:r>
              <w:rPr>
                <w:rFonts w:ascii="Times New Roman" w:hAnsi="Times New Roman"/>
                <w:sz w:val="20"/>
              </w:rPr>
              <w:t xml:space="preserve">), not experienced</w:t>
            </w:r>
          </w:p>
        </w:tc>
        <w:tc>
          <w:tcPr>
            <w:tcBorders>
              <w:bottom w:val="single" w:sz="6" w:space="0" w:color="000000"/>
            </w:tcBorders>
          </w:tcPr>
          <w:p>
            <w:pPr>
              <w:pStyle w:val="Compact"/>
            </w:pPr>
            <w:r>
              <w:rPr>
                <w:rFonts w:ascii="Times New Roman" w:hAnsi="Times New Roman"/>
                <w:sz w:val="20"/>
              </w:rPr>
              <w:t xml:space="preserve">Difference</w:t>
            </w:r>
          </w:p>
        </w:tc>
        <w:tc>
          <w:tcPr>
            <w:tcBorders>
              <w:bottom w:val="single" w:sz="6" w:space="0" w:color="000000"/>
            </w:tcBorders>
          </w:tcPr>
          <w:p>
            <w:pPr>
              <w:pStyle w:val="Compact"/>
            </w:pPr>
            <w:r>
              <w:rPr>
                <w:rFonts w:ascii="Times New Roman" w:hAnsi="Times New Roman"/>
                <w:sz w:val="20"/>
              </w:rPr>
              <w:t xml:space="preserve">PHQ-4 ≥ 6, experienced (%)</w:t>
            </w:r>
          </w:p>
        </w:tc>
        <w:tc>
          <w:tcPr>
            <w:tcBorders>
              <w:bottom w:val="single" w:sz="6" w:space="0" w:color="000000"/>
            </w:tcBorders>
          </w:tcPr>
          <w:p>
            <w:pPr>
              <w:pStyle w:val="Compact"/>
            </w:pPr>
            <w:r>
              <w:rPr>
                <w:rFonts w:ascii="Times New Roman" w:hAnsi="Times New Roman"/>
                <w:sz w:val="20"/>
              </w:rPr>
              <w:t xml:space="preserve">PHQ-4 ≥ 6, not experienced (%)</w:t>
            </w:r>
          </w:p>
        </w:tc>
      </w:tr>
      <w:tr>
        <w:tc>
          <w:tcPr/>
          <w:p>
            <w:pPr>
              <w:pStyle w:val="Compact"/>
            </w:pPr>
            <w:r>
              <w:rPr>
                <w:rFonts w:ascii="Times New Roman" w:hAnsi="Times New Roman"/>
                <w:b/>
                <w:bCs/>
                <w:sz w:val="20"/>
              </w:rPr>
              <w:t xml:space="preserve">Any of the eight situations</w:t>
            </w:r>
          </w:p>
        </w:tc>
        <w:tc>
          <w:tcPr/>
          <w:p>
            <w:pPr>
              <w:pStyle w:val="Compact"/>
            </w:pPr>
            <w:r>
              <w:rPr>
                <w:rFonts w:ascii="Times New Roman" w:hAnsi="Times New Roman"/>
                <w:sz w:val="20"/>
              </w:rPr>
              <w:t xml:space="preserve">134 / 101</w:t>
            </w:r>
          </w:p>
        </w:tc>
        <w:tc>
          <w:tcPr/>
          <w:p>
            <w:pPr>
              <w:pStyle w:val="Compact"/>
            </w:pPr>
            <w:r>
              <w:rPr>
                <w:rFonts w:ascii="Times New Roman" w:hAnsi="Times New Roman"/>
                <w:sz w:val="20"/>
              </w:rPr>
              <w:t xml:space="preserve">4.02 (3.35)</w:t>
            </w:r>
          </w:p>
        </w:tc>
        <w:tc>
          <w:tcPr/>
          <w:p>
            <w:pPr>
              <w:pStyle w:val="Compact"/>
            </w:pPr>
            <w:r>
              <w:rPr>
                <w:rFonts w:ascii="Times New Roman" w:hAnsi="Times New Roman"/>
                <w:sz w:val="20"/>
              </w:rPr>
              <w:t xml:space="preserve">2.64 (2.94)</w:t>
            </w:r>
          </w:p>
        </w:tc>
        <w:tc>
          <w:tcPr/>
          <w:p>
            <w:pPr>
              <w:pStyle w:val="Compact"/>
            </w:pPr>
            <w:r>
              <w:rPr>
                <w:rFonts w:ascii="Times New Roman" w:hAnsi="Times New Roman"/>
                <w:sz w:val="20"/>
              </w:rPr>
              <w:t xml:space="preserve">1.38</w:t>
            </w:r>
          </w:p>
        </w:tc>
        <w:tc>
          <w:tcPr/>
          <w:p>
            <w:pPr>
              <w:pStyle w:val="Compact"/>
            </w:pPr>
            <w:r>
              <w:rPr>
                <w:rFonts w:ascii="Times New Roman" w:hAnsi="Times New Roman"/>
                <w:sz w:val="20"/>
              </w:rPr>
              <w:t xml:space="preserve">29.1</w:t>
            </w:r>
          </w:p>
        </w:tc>
        <w:tc>
          <w:tcPr/>
          <w:p>
            <w:pPr>
              <w:pStyle w:val="Compact"/>
            </w:pPr>
            <w:r>
              <w:rPr>
                <w:rFonts w:ascii="Times New Roman" w:hAnsi="Times New Roman"/>
                <w:sz w:val="20"/>
              </w:rPr>
              <w:t xml:space="preserve">14.9</w:t>
            </w:r>
          </w:p>
        </w:tc>
      </w:tr>
      <w:tr>
        <w:tc>
          <w:tcPr/>
          <w:p>
            <w:pPr>
              <w:pStyle w:val="Compact"/>
            </w:pPr>
            <w:r>
              <w:rPr>
                <w:rFonts w:ascii="Times New Roman" w:hAnsi="Times New Roman"/>
                <w:b/>
                <w:bCs/>
                <w:sz w:val="20"/>
              </w:rPr>
              <w:t xml:space="preserve">Interpersonal (any of 1–3)</w:t>
            </w:r>
          </w:p>
        </w:tc>
        <w:tc>
          <w:tcPr/>
          <w:p>
            <w:pPr>
              <w:pStyle w:val="Compact"/>
            </w:pPr>
            <w:r>
              <w:rPr>
                <w:rFonts w:ascii="Times New Roman" w:hAnsi="Times New Roman"/>
                <w:sz w:val="20"/>
              </w:rPr>
              <w:t xml:space="preserve">111 / 124</w:t>
            </w:r>
          </w:p>
        </w:tc>
        <w:tc>
          <w:tcPr/>
          <w:p>
            <w:pPr>
              <w:pStyle w:val="Compact"/>
            </w:pPr>
            <w:r>
              <w:rPr>
                <w:rFonts w:ascii="Times New Roman" w:hAnsi="Times New Roman"/>
                <w:sz w:val="20"/>
              </w:rPr>
              <w:t xml:space="preserve">4.30 (3.35)</w:t>
            </w:r>
          </w:p>
        </w:tc>
        <w:tc>
          <w:tcPr/>
          <w:p>
            <w:pPr>
              <w:pStyle w:val="Compact"/>
            </w:pPr>
            <w:r>
              <w:rPr>
                <w:rFonts w:ascii="Times New Roman" w:hAnsi="Times New Roman"/>
                <w:sz w:val="20"/>
              </w:rPr>
              <w:t xml:space="preserve">2.65 (2.96)</w:t>
            </w:r>
          </w:p>
        </w:tc>
        <w:tc>
          <w:tcPr/>
          <w:p>
            <w:pPr>
              <w:pStyle w:val="Compact"/>
            </w:pPr>
            <w:r>
              <w:rPr>
                <w:rFonts w:ascii="Times New Roman" w:hAnsi="Times New Roman"/>
                <w:sz w:val="20"/>
              </w:rPr>
              <w:t xml:space="preserve">1.64</w:t>
            </w:r>
          </w:p>
        </w:tc>
        <w:tc>
          <w:tcPr/>
          <w:p>
            <w:pPr>
              <w:pStyle w:val="Compact"/>
            </w:pPr>
            <w:r>
              <w:rPr>
                <w:rFonts w:ascii="Times New Roman" w:hAnsi="Times New Roman"/>
                <w:sz w:val="20"/>
              </w:rPr>
              <w:t xml:space="preserve">31.5</w:t>
            </w:r>
          </w:p>
        </w:tc>
        <w:tc>
          <w:tcPr/>
          <w:p>
            <w:pPr>
              <w:pStyle w:val="Compact"/>
            </w:pPr>
            <w:r>
              <w:rPr>
                <w:rFonts w:ascii="Times New Roman" w:hAnsi="Times New Roman"/>
                <w:sz w:val="20"/>
              </w:rPr>
              <w:t xml:space="preserve">15.3</w:t>
            </w:r>
          </w:p>
        </w:tc>
      </w:tr>
      <w:tr>
        <w:tc>
          <w:tcPr/>
          <w:p>
            <w:pPr>
              <w:pStyle w:val="Compact"/>
            </w:pPr>
            <w:r>
              <w:rPr>
                <w:rFonts w:ascii="Times New Roman" w:hAnsi="Times New Roman"/>
                <w:sz w:val="20"/>
              </w:rPr>
              <w:t xml:space="preserve">1. Offensive jokes or comments</w:t>
            </w:r>
          </w:p>
        </w:tc>
        <w:tc>
          <w:tcPr/>
          <w:p>
            <w:pPr>
              <w:pStyle w:val="Compact"/>
            </w:pPr>
            <w:r>
              <w:rPr>
                <w:rFonts w:ascii="Times New Roman" w:hAnsi="Times New Roman"/>
                <w:sz w:val="20"/>
              </w:rPr>
              <w:t xml:space="preserve">62 / 169</w:t>
            </w:r>
          </w:p>
        </w:tc>
        <w:tc>
          <w:tcPr/>
          <w:p>
            <w:pPr>
              <w:pStyle w:val="Compact"/>
            </w:pPr>
            <w:r>
              <w:rPr>
                <w:rFonts w:ascii="Times New Roman" w:hAnsi="Times New Roman"/>
                <w:sz w:val="20"/>
              </w:rPr>
              <w:t xml:space="preserve">4.40 (3.36)</w:t>
            </w:r>
          </w:p>
        </w:tc>
        <w:tc>
          <w:tcPr/>
          <w:p>
            <w:pPr>
              <w:pStyle w:val="Compact"/>
            </w:pPr>
            <w:r>
              <w:rPr>
                <w:rFonts w:ascii="Times New Roman" w:hAnsi="Times New Roman"/>
                <w:sz w:val="20"/>
              </w:rPr>
              <w:t xml:space="preserve">3.12 (3.17)</w:t>
            </w:r>
          </w:p>
        </w:tc>
        <w:tc>
          <w:tcPr/>
          <w:p>
            <w:pPr>
              <w:pStyle w:val="Compact"/>
            </w:pPr>
            <w:r>
              <w:rPr>
                <w:rFonts w:ascii="Times New Roman" w:hAnsi="Times New Roman"/>
                <w:sz w:val="20"/>
              </w:rPr>
              <w:t xml:space="preserve">1.28</w:t>
            </w:r>
          </w:p>
        </w:tc>
        <w:tc>
          <w:tcPr/>
          <w:p>
            <w:pPr>
              <w:pStyle w:val="Compact"/>
            </w:pPr>
            <w:r>
              <w:rPr>
                <w:rFonts w:ascii="Times New Roman" w:hAnsi="Times New Roman"/>
                <w:sz w:val="20"/>
              </w:rPr>
              <w:t xml:space="preserve">32.3</w:t>
            </w:r>
          </w:p>
        </w:tc>
        <w:tc>
          <w:tcPr/>
          <w:p>
            <w:pPr>
              <w:pStyle w:val="Compact"/>
            </w:pPr>
            <w:r>
              <w:rPr>
                <w:rFonts w:ascii="Times New Roman" w:hAnsi="Times New Roman"/>
                <w:sz w:val="20"/>
              </w:rPr>
              <w:t xml:space="preserve">20.1</w:t>
            </w:r>
          </w:p>
        </w:tc>
      </w:tr>
      <w:tr>
        <w:tc>
          <w:tcPr/>
          <w:p>
            <w:pPr>
              <w:pStyle w:val="Compact"/>
            </w:pPr>
            <w:r>
              <w:rPr>
                <w:rFonts w:ascii="Times New Roman" w:hAnsi="Times New Roman"/>
                <w:sz w:val="20"/>
              </w:rPr>
              <w:t xml:space="preserve">2. Unwanted personal questions</w:t>
            </w:r>
          </w:p>
        </w:tc>
        <w:tc>
          <w:tcPr/>
          <w:p>
            <w:pPr>
              <w:pStyle w:val="Compact"/>
            </w:pPr>
            <w:r>
              <w:rPr>
                <w:rFonts w:ascii="Times New Roman" w:hAnsi="Times New Roman"/>
                <w:sz w:val="20"/>
              </w:rPr>
              <w:t xml:space="preserve">77 / 150</w:t>
            </w:r>
          </w:p>
        </w:tc>
        <w:tc>
          <w:tcPr/>
          <w:p>
            <w:pPr>
              <w:pStyle w:val="Compact"/>
            </w:pPr>
            <w:r>
              <w:rPr>
                <w:rFonts w:ascii="Times New Roman" w:hAnsi="Times New Roman"/>
                <w:sz w:val="20"/>
              </w:rPr>
              <w:t xml:space="preserve">4.62 (3.55)</w:t>
            </w:r>
          </w:p>
        </w:tc>
        <w:tc>
          <w:tcPr/>
          <w:p>
            <w:pPr>
              <w:pStyle w:val="Compact"/>
            </w:pPr>
            <w:r>
              <w:rPr>
                <w:rFonts w:ascii="Times New Roman" w:hAnsi="Times New Roman"/>
                <w:sz w:val="20"/>
              </w:rPr>
              <w:t xml:space="preserve">2.89 (2.96)</w:t>
            </w:r>
          </w:p>
        </w:tc>
        <w:tc>
          <w:tcPr/>
          <w:p>
            <w:pPr>
              <w:pStyle w:val="Compact"/>
            </w:pPr>
            <w:r>
              <w:rPr>
                <w:rFonts w:ascii="Times New Roman" w:hAnsi="Times New Roman"/>
                <w:sz w:val="20"/>
              </w:rPr>
              <w:t xml:space="preserve">1.74</w:t>
            </w:r>
          </w:p>
        </w:tc>
        <w:tc>
          <w:tcPr/>
          <w:p>
            <w:pPr>
              <w:pStyle w:val="Compact"/>
            </w:pPr>
            <w:r>
              <w:rPr>
                <w:rFonts w:ascii="Times New Roman" w:hAnsi="Times New Roman"/>
                <w:sz w:val="20"/>
              </w:rPr>
              <w:t xml:space="preserve">36.4</w:t>
            </w:r>
          </w:p>
        </w:tc>
        <w:tc>
          <w:tcPr/>
          <w:p>
            <w:pPr>
              <w:pStyle w:val="Compact"/>
            </w:pPr>
            <w:r>
              <w:rPr>
                <w:rFonts w:ascii="Times New Roman" w:hAnsi="Times New Roman"/>
                <w:sz w:val="20"/>
              </w:rPr>
              <w:t xml:space="preserve">16.7</w:t>
            </w:r>
          </w:p>
        </w:tc>
      </w:tr>
      <w:tr>
        <w:tc>
          <w:tcPr/>
          <w:p>
            <w:pPr>
              <w:pStyle w:val="Compact"/>
            </w:pPr>
            <w:r>
              <w:rPr>
                <w:rFonts w:ascii="Times New Roman" w:hAnsi="Times New Roman"/>
                <w:sz w:val="20"/>
              </w:rPr>
              <w:t xml:space="preserve">3. Disclosure or threatened disclosure without consent</w:t>
            </w:r>
          </w:p>
        </w:tc>
        <w:tc>
          <w:tcPr/>
          <w:p>
            <w:pPr>
              <w:pStyle w:val="Compact"/>
            </w:pPr>
            <w:r>
              <w:rPr>
                <w:rFonts w:ascii="Times New Roman" w:hAnsi="Times New Roman"/>
                <w:sz w:val="20"/>
              </w:rPr>
              <w:t xml:space="preserve">34 / 186</w:t>
            </w:r>
          </w:p>
        </w:tc>
        <w:tc>
          <w:tcPr/>
          <w:p>
            <w:pPr>
              <w:pStyle w:val="Compact"/>
            </w:pPr>
            <w:r>
              <w:rPr>
                <w:rFonts w:ascii="Times New Roman" w:hAnsi="Times New Roman"/>
                <w:sz w:val="20"/>
              </w:rPr>
              <w:t xml:space="preserve">3.85 (3.24)</w:t>
            </w:r>
          </w:p>
        </w:tc>
        <w:tc>
          <w:tcPr/>
          <w:p>
            <w:pPr>
              <w:pStyle w:val="Compact"/>
            </w:pPr>
            <w:r>
              <w:rPr>
                <w:rFonts w:ascii="Times New Roman" w:hAnsi="Times New Roman"/>
                <w:sz w:val="20"/>
              </w:rPr>
              <w:t xml:space="preserve">3.28 (3.18)</w:t>
            </w:r>
          </w:p>
        </w:tc>
        <w:tc>
          <w:tcPr/>
          <w:p>
            <w:pPr>
              <w:pStyle w:val="Compact"/>
            </w:pPr>
            <w:r>
              <w:rPr>
                <w:rFonts w:ascii="Times New Roman" w:hAnsi="Times New Roman"/>
                <w:sz w:val="20"/>
              </w:rPr>
              <w:t xml:space="preserve">0.57</w:t>
            </w:r>
          </w:p>
        </w:tc>
        <w:tc>
          <w:tcPr/>
          <w:p>
            <w:pPr>
              <w:pStyle w:val="Compact"/>
            </w:pPr>
            <w:r>
              <w:rPr>
                <w:rFonts w:ascii="Times New Roman" w:hAnsi="Times New Roman"/>
                <w:sz w:val="20"/>
              </w:rPr>
              <w:t xml:space="preserve">not reported</w:t>
            </w:r>
          </w:p>
        </w:tc>
        <w:tc>
          <w:tcPr/>
          <w:p>
            <w:pPr>
              <w:pStyle w:val="Compact"/>
            </w:pPr>
            <w:r>
              <w:rPr>
                <w:rFonts w:ascii="Times New Roman" w:hAnsi="Times New Roman"/>
                <w:sz w:val="20"/>
              </w:rPr>
              <w:t xml:space="preserve">21.5</w:t>
            </w:r>
          </w:p>
        </w:tc>
      </w:tr>
      <w:tr>
        <w:tc>
          <w:tcPr/>
          <w:p>
            <w:pPr>
              <w:pStyle w:val="Compact"/>
            </w:pPr>
            <w:r>
              <w:rPr>
                <w:rFonts w:ascii="Times New Roman" w:hAnsi="Times New Roman"/>
                <w:b/>
                <w:bCs/>
                <w:sz w:val="20"/>
              </w:rPr>
              <w:t xml:space="preserve">Career-related (any of 4–6)</w:t>
            </w:r>
          </w:p>
        </w:tc>
        <w:tc>
          <w:tcPr/>
          <w:p>
            <w:pPr>
              <w:pStyle w:val="Compact"/>
            </w:pPr>
            <w:r>
              <w:rPr>
                <w:rFonts w:ascii="Times New Roman" w:hAnsi="Times New Roman"/>
                <w:sz w:val="20"/>
              </w:rPr>
              <w:t xml:space="preserve">41 / 194</w:t>
            </w:r>
          </w:p>
        </w:tc>
        <w:tc>
          <w:tcPr/>
          <w:p>
            <w:pPr>
              <w:pStyle w:val="Compact"/>
            </w:pPr>
            <w:r>
              <w:rPr>
                <w:rFonts w:ascii="Times New Roman" w:hAnsi="Times New Roman"/>
                <w:sz w:val="20"/>
              </w:rPr>
              <w:t xml:space="preserve">4.20 (3.63)</w:t>
            </w:r>
          </w:p>
        </w:tc>
        <w:tc>
          <w:tcPr/>
          <w:p>
            <w:pPr>
              <w:pStyle w:val="Compact"/>
            </w:pPr>
            <w:r>
              <w:rPr>
                <w:rFonts w:ascii="Times New Roman" w:hAnsi="Times New Roman"/>
                <w:sz w:val="20"/>
              </w:rPr>
              <w:t xml:space="preserve">3.27 (3.15)</w:t>
            </w:r>
          </w:p>
        </w:tc>
        <w:tc>
          <w:tcPr/>
          <w:p>
            <w:pPr>
              <w:pStyle w:val="Compact"/>
            </w:pPr>
            <w:r>
              <w:rPr>
                <w:rFonts w:ascii="Times New Roman" w:hAnsi="Times New Roman"/>
                <w:sz w:val="20"/>
              </w:rPr>
              <w:t xml:space="preserve">0.93</w:t>
            </w:r>
          </w:p>
        </w:tc>
        <w:tc>
          <w:tcPr/>
          <w:p>
            <w:pPr>
              <w:pStyle w:val="Compact"/>
            </w:pPr>
            <w:r>
              <w:rPr>
                <w:rFonts w:ascii="Times New Roman" w:hAnsi="Times New Roman"/>
                <w:sz w:val="20"/>
              </w:rPr>
              <w:t xml:space="preserve">34.1</w:t>
            </w:r>
          </w:p>
        </w:tc>
        <w:tc>
          <w:tcPr/>
          <w:p>
            <w:pPr>
              <w:pStyle w:val="Compact"/>
            </w:pPr>
            <w:r>
              <w:rPr>
                <w:rFonts w:ascii="Times New Roman" w:hAnsi="Times New Roman"/>
                <w:sz w:val="20"/>
              </w:rPr>
              <w:t xml:space="preserve">20.6</w:t>
            </w:r>
          </w:p>
        </w:tc>
      </w:tr>
      <w:tr>
        <w:tc>
          <w:tcPr/>
          <w:p>
            <w:pPr>
              <w:pStyle w:val="Compact"/>
            </w:pPr>
            <w:r>
              <w:rPr>
                <w:rFonts w:ascii="Times New Roman" w:hAnsi="Times New Roman"/>
                <w:sz w:val="20"/>
              </w:rPr>
              <w:t xml:space="preserve">4. Exclusion from training or career development</w:t>
            </w:r>
          </w:p>
        </w:tc>
        <w:tc>
          <w:tcPr/>
          <w:p>
            <w:pPr>
              <w:pStyle w:val="Compact"/>
            </w:pPr>
            <w:r>
              <w:rPr>
                <w:rFonts w:ascii="Times New Roman" w:hAnsi="Times New Roman"/>
                <w:sz w:val="20"/>
              </w:rPr>
              <w:t xml:space="preserve">not reported</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pPr>
            <w:r>
              <w:rPr>
                <w:rFonts w:ascii="Times New Roman" w:hAnsi="Times New Roman"/>
                <w:sz w:val="20"/>
              </w:rPr>
              <w:t xml:space="preserve">5. Unfair evaluation, pay, or promotion</w:t>
            </w:r>
          </w:p>
        </w:tc>
        <w:tc>
          <w:tcPr/>
          <w:p>
            <w:pPr>
              <w:pStyle w:val="Compact"/>
            </w:pPr>
            <w:r>
              <w:rPr>
                <w:rFonts w:ascii="Times New Roman" w:hAnsi="Times New Roman"/>
                <w:sz w:val="20"/>
              </w:rPr>
              <w:t xml:space="preserve">20 / 184</w:t>
            </w:r>
          </w:p>
        </w:tc>
        <w:tc>
          <w:tcPr/>
          <w:p>
            <w:pPr>
              <w:pStyle w:val="Compact"/>
            </w:pPr>
            <w:r>
              <w:rPr>
                <w:rFonts w:ascii="Times New Roman" w:hAnsi="Times New Roman"/>
                <w:sz w:val="20"/>
              </w:rPr>
              <w:t xml:space="preserve">4.10 (3.46)</w:t>
            </w:r>
          </w:p>
        </w:tc>
        <w:tc>
          <w:tcPr/>
          <w:p>
            <w:pPr>
              <w:pStyle w:val="Compact"/>
            </w:pPr>
            <w:r>
              <w:rPr>
                <w:rFonts w:ascii="Times New Roman" w:hAnsi="Times New Roman"/>
                <w:sz w:val="20"/>
              </w:rPr>
              <w:t xml:space="preserve">3.39 (3.18)</w:t>
            </w:r>
          </w:p>
        </w:tc>
        <w:tc>
          <w:tcPr/>
          <w:p>
            <w:pPr>
              <w:pStyle w:val="Compact"/>
            </w:pPr>
            <w:r>
              <w:rPr>
                <w:rFonts w:ascii="Times New Roman" w:hAnsi="Times New Roman"/>
                <w:sz w:val="20"/>
              </w:rPr>
              <w:t xml:space="preserve">0.71</w:t>
            </w:r>
          </w:p>
        </w:tc>
        <w:tc>
          <w:tcPr/>
          <w:p>
            <w:pPr>
              <w:pStyle w:val="Compact"/>
            </w:pPr>
            <w:r>
              <w:rPr>
                <w:rFonts w:ascii="Times New Roman" w:hAnsi="Times New Roman"/>
                <w:sz w:val="20"/>
              </w:rPr>
              <w:t xml:space="preserve">not reported</w:t>
            </w:r>
          </w:p>
        </w:tc>
        <w:tc>
          <w:tcPr/>
          <w:p>
            <w:pPr>
              <w:pStyle w:val="Compact"/>
            </w:pPr>
            <w:r>
              <w:rPr>
                <w:rFonts w:ascii="Times New Roman" w:hAnsi="Times New Roman"/>
                <w:sz w:val="20"/>
              </w:rPr>
              <w:t xml:space="preserve">22.8</w:t>
            </w:r>
          </w:p>
        </w:tc>
      </w:tr>
      <w:tr>
        <w:tc>
          <w:tcPr/>
          <w:p>
            <w:pPr>
              <w:pStyle w:val="Compact"/>
            </w:pPr>
            <w:r>
              <w:rPr>
                <w:rFonts w:ascii="Times New Roman" w:hAnsi="Times New Roman"/>
                <w:sz w:val="20"/>
              </w:rPr>
              <w:t xml:space="preserve">6. Unfavorable work assignments</w:t>
            </w:r>
          </w:p>
        </w:tc>
        <w:tc>
          <w:tcPr/>
          <w:p>
            <w:pPr>
              <w:pStyle w:val="Compact"/>
            </w:pPr>
            <w:r>
              <w:rPr>
                <w:rFonts w:ascii="Times New Roman" w:hAnsi="Times New Roman"/>
                <w:sz w:val="20"/>
              </w:rPr>
              <w:t xml:space="preserve">26 / 197</w:t>
            </w:r>
          </w:p>
        </w:tc>
        <w:tc>
          <w:tcPr/>
          <w:p>
            <w:pPr>
              <w:pStyle w:val="Compact"/>
            </w:pPr>
            <w:r>
              <w:rPr>
                <w:rFonts w:ascii="Times New Roman" w:hAnsi="Times New Roman"/>
                <w:sz w:val="20"/>
              </w:rPr>
              <w:t xml:space="preserve">4.38 (3.95)</w:t>
            </w:r>
          </w:p>
        </w:tc>
        <w:tc>
          <w:tcPr/>
          <w:p>
            <w:pPr>
              <w:pStyle w:val="Compact"/>
            </w:pPr>
            <w:r>
              <w:rPr>
                <w:rFonts w:ascii="Times New Roman" w:hAnsi="Times New Roman"/>
                <w:sz w:val="20"/>
              </w:rPr>
              <w:t xml:space="preserve">3.37 (3.17)</w:t>
            </w:r>
          </w:p>
        </w:tc>
        <w:tc>
          <w:tcPr/>
          <w:p>
            <w:pPr>
              <w:pStyle w:val="Compact"/>
            </w:pPr>
            <w:r>
              <w:rPr>
                <w:rFonts w:ascii="Times New Roman" w:hAnsi="Times New Roman"/>
                <w:sz w:val="20"/>
              </w:rPr>
              <w:t xml:space="preserve">1.02</w:t>
            </w:r>
          </w:p>
        </w:tc>
        <w:tc>
          <w:tcPr/>
          <w:p>
            <w:pPr>
              <w:pStyle w:val="Compact"/>
            </w:pPr>
            <w:r>
              <w:rPr>
                <w:rFonts w:ascii="Times New Roman" w:hAnsi="Times New Roman"/>
                <w:sz w:val="20"/>
              </w:rPr>
              <w:t xml:space="preserve">38.5</w:t>
            </w:r>
          </w:p>
        </w:tc>
        <w:tc>
          <w:tcPr/>
          <w:p>
            <w:pPr>
              <w:pStyle w:val="Compact"/>
            </w:pPr>
            <w:r>
              <w:rPr>
                <w:rFonts w:ascii="Times New Roman" w:hAnsi="Times New Roman"/>
                <w:sz w:val="20"/>
              </w:rPr>
              <w:t xml:space="preserve">21.3</w:t>
            </w:r>
          </w:p>
        </w:tc>
      </w:tr>
      <w:tr>
        <w:tc>
          <w:tcPr/>
          <w:p>
            <w:pPr>
              <w:pStyle w:val="Compact"/>
            </w:pPr>
            <w:r>
              <w:rPr>
                <w:rFonts w:ascii="Times New Roman" w:hAnsi="Times New Roman"/>
                <w:b/>
                <w:bCs/>
                <w:sz w:val="20"/>
              </w:rPr>
              <w:t xml:space="preserve">Gender expression (any of 7–8)</w:t>
            </w:r>
          </w:p>
        </w:tc>
        <w:tc>
          <w:tcPr/>
          <w:p>
            <w:pPr>
              <w:pStyle w:val="Compact"/>
            </w:pPr>
            <w:r>
              <w:rPr>
                <w:rFonts w:ascii="Times New Roman" w:hAnsi="Times New Roman"/>
                <w:sz w:val="20"/>
              </w:rPr>
              <w:t xml:space="preserve">42 / 191</w:t>
            </w:r>
          </w:p>
        </w:tc>
        <w:tc>
          <w:tcPr/>
          <w:p>
            <w:pPr>
              <w:pStyle w:val="Compact"/>
            </w:pPr>
            <w:r>
              <w:rPr>
                <w:rFonts w:ascii="Times New Roman" w:hAnsi="Times New Roman"/>
                <w:sz w:val="20"/>
              </w:rPr>
              <w:t xml:space="preserve">3.98 (3.63)</w:t>
            </w:r>
          </w:p>
        </w:tc>
        <w:tc>
          <w:tcPr/>
          <w:p>
            <w:pPr>
              <w:pStyle w:val="Compact"/>
            </w:pPr>
            <w:r>
              <w:rPr>
                <w:rFonts w:ascii="Times New Roman" w:hAnsi="Times New Roman"/>
                <w:sz w:val="20"/>
              </w:rPr>
              <w:t xml:space="preserve">3.30 (3.17)</w:t>
            </w:r>
          </w:p>
        </w:tc>
        <w:tc>
          <w:tcPr/>
          <w:p>
            <w:pPr>
              <w:pStyle w:val="Compact"/>
            </w:pPr>
            <w:r>
              <w:rPr>
                <w:rFonts w:ascii="Times New Roman" w:hAnsi="Times New Roman"/>
                <w:sz w:val="20"/>
              </w:rPr>
              <w:t xml:space="preserve">0.67</w:t>
            </w:r>
          </w:p>
        </w:tc>
        <w:tc>
          <w:tcPr/>
          <w:p>
            <w:pPr>
              <w:pStyle w:val="Compact"/>
            </w:pPr>
            <w:r>
              <w:rPr>
                <w:rFonts w:ascii="Times New Roman" w:hAnsi="Times New Roman"/>
                <w:sz w:val="20"/>
              </w:rPr>
              <w:t xml:space="preserve">35.7</w:t>
            </w:r>
          </w:p>
        </w:tc>
        <w:tc>
          <w:tcPr/>
          <w:p>
            <w:pPr>
              <w:pStyle w:val="Compact"/>
            </w:pPr>
            <w:r>
              <w:rPr>
                <w:rFonts w:ascii="Times New Roman" w:hAnsi="Times New Roman"/>
                <w:sz w:val="20"/>
              </w:rPr>
              <w:t xml:space="preserve">20.4</w:t>
            </w:r>
          </w:p>
        </w:tc>
      </w:tr>
      <w:tr>
        <w:tc>
          <w:tcPr/>
          <w:p>
            <w:pPr>
              <w:pStyle w:val="Compact"/>
            </w:pPr>
            <w:r>
              <w:rPr>
                <w:rFonts w:ascii="Times New Roman" w:hAnsi="Times New Roman"/>
                <w:sz w:val="20"/>
              </w:rPr>
              <w:t xml:space="preserve">7. Pressure to conform to gender stereotypes</w:t>
            </w:r>
          </w:p>
        </w:tc>
        <w:tc>
          <w:tcPr/>
          <w:p>
            <w:pPr>
              <w:pStyle w:val="Compact"/>
            </w:pPr>
            <w:r>
              <w:rPr>
                <w:rFonts w:ascii="Times New Roman" w:hAnsi="Times New Roman"/>
                <w:sz w:val="20"/>
              </w:rPr>
              <w:t xml:space="preserve">36 / 186</w:t>
            </w:r>
          </w:p>
        </w:tc>
        <w:tc>
          <w:tcPr/>
          <w:p>
            <w:pPr>
              <w:pStyle w:val="Compact"/>
            </w:pPr>
            <w:r>
              <w:rPr>
                <w:rFonts w:ascii="Times New Roman" w:hAnsi="Times New Roman"/>
                <w:sz w:val="20"/>
              </w:rPr>
              <w:t xml:space="preserve">4.06 (3.72)</w:t>
            </w:r>
          </w:p>
        </w:tc>
        <w:tc>
          <w:tcPr/>
          <w:p>
            <w:pPr>
              <w:pStyle w:val="Compact"/>
            </w:pPr>
            <w:r>
              <w:rPr>
                <w:rFonts w:ascii="Times New Roman" w:hAnsi="Times New Roman"/>
                <w:sz w:val="20"/>
              </w:rPr>
              <w:t xml:space="preserve">3.34 (3.20)</w:t>
            </w:r>
          </w:p>
        </w:tc>
        <w:tc>
          <w:tcPr/>
          <w:p>
            <w:pPr>
              <w:pStyle w:val="Compact"/>
            </w:pPr>
            <w:r>
              <w:rPr>
                <w:rFonts w:ascii="Times New Roman" w:hAnsi="Times New Roman"/>
                <w:sz w:val="20"/>
              </w:rPr>
              <w:t xml:space="preserve">0.72</w:t>
            </w:r>
          </w:p>
        </w:tc>
        <w:tc>
          <w:tcPr/>
          <w:p>
            <w:pPr>
              <w:pStyle w:val="Compact"/>
            </w:pPr>
            <w:r>
              <w:rPr>
                <w:rFonts w:ascii="Times New Roman" w:hAnsi="Times New Roman"/>
                <w:sz w:val="20"/>
              </w:rPr>
              <w:t xml:space="preserve">36.1</w:t>
            </w:r>
          </w:p>
        </w:tc>
        <w:tc>
          <w:tcPr/>
          <w:p>
            <w:pPr>
              <w:pStyle w:val="Compact"/>
            </w:pPr>
            <w:r>
              <w:rPr>
                <w:rFonts w:ascii="Times New Roman" w:hAnsi="Times New Roman"/>
                <w:sz w:val="20"/>
              </w:rPr>
              <w:t xml:space="preserve">21.0</w:t>
            </w:r>
          </w:p>
        </w:tc>
      </w:tr>
      <w:tr>
        <w:tc>
          <w:tcPr/>
          <w:p>
            <w:pPr>
              <w:pStyle w:val="Compact"/>
            </w:pPr>
            <w:r>
              <w:rPr>
                <w:rFonts w:ascii="Times New Roman" w:hAnsi="Times New Roman"/>
                <w:sz w:val="20"/>
              </w:rPr>
              <w:t xml:space="preserve">8. Difficulty with name, pronouns, dress, or restrooms</w:t>
            </w:r>
          </w:p>
        </w:tc>
        <w:tc>
          <w:tcPr/>
          <w:p>
            <w:pPr>
              <w:pStyle w:val="Compact"/>
            </w:pPr>
            <w:r>
              <w:rPr>
                <w:rFonts w:ascii="Times New Roman" w:hAnsi="Times New Roman"/>
                <w:sz w:val="20"/>
              </w:rPr>
              <w:t xml:space="preserve">13 / 173</w:t>
            </w:r>
          </w:p>
        </w:tc>
        <w:tc>
          <w:tcPr/>
          <w:p>
            <w:pPr>
              <w:pStyle w:val="Compact"/>
            </w:pPr>
            <w:r>
              <w:rPr>
                <w:rFonts w:ascii="Times New Roman" w:hAnsi="Times New Roman"/>
                <w:sz w:val="20"/>
              </w:rPr>
              <w:t xml:space="preserve">3.46 (3.80)</w:t>
            </w:r>
          </w:p>
        </w:tc>
        <w:tc>
          <w:tcPr/>
          <w:p>
            <w:pPr>
              <w:pStyle w:val="Compact"/>
            </w:pPr>
            <w:r>
              <w:rPr>
                <w:rFonts w:ascii="Times New Roman" w:hAnsi="Times New Roman"/>
                <w:sz w:val="20"/>
              </w:rPr>
              <w:t xml:space="preserve">3.42 (3.15)</w:t>
            </w:r>
          </w:p>
        </w:tc>
        <w:tc>
          <w:tcPr/>
          <w:p>
            <w:pPr>
              <w:pStyle w:val="Compact"/>
            </w:pPr>
            <w:r>
              <w:rPr>
                <w:rFonts w:ascii="Times New Roman" w:hAnsi="Times New Roman"/>
                <w:sz w:val="20"/>
              </w:rPr>
              <w:t xml:space="preserve">0.05</w:t>
            </w:r>
          </w:p>
        </w:tc>
        <w:tc>
          <w:tcPr/>
          <w:p>
            <w:pPr>
              <w:pStyle w:val="Compact"/>
            </w:pPr>
            <w:r>
              <w:rPr>
                <w:rFonts w:ascii="Times New Roman" w:hAnsi="Times New Roman"/>
                <w:sz w:val="20"/>
              </w:rPr>
              <w:t xml:space="preserve">not reported</w:t>
            </w:r>
          </w:p>
        </w:tc>
        <w:tc>
          <w:tcPr/>
          <w:p>
            <w:pPr>
              <w:pStyle w:val="Compact"/>
            </w:pPr>
            <w:r>
              <w:rPr>
                <w:rFonts w:ascii="Times New Roman" w:hAnsi="Times New Roman"/>
                <w:sz w:val="20"/>
              </w:rPr>
              <w:t xml:space="preserve">21.4</w:t>
            </w:r>
          </w:p>
        </w:tc>
      </w:tr>
    </w:tbl>
    <w:p>
      <w:pPr>
        <w:pStyle w:val="BodyText"/>
      </w:pPr>
      <w:r>
        <w:rPr>
          <w:i/>
          <w:iCs/>
        </w:rPr>
        <w:t xml:space="preserve">Note.</w:t>
      </w:r>
      <w:r>
        <w:t xml:space="preserve"> </w:t>
      </w:r>
      <w:r>
        <w:t xml:space="preserve">Unadjusted comparisons without hypothesis tests.</w:t>
      </w:r>
      <w:r>
        <w:t xml:space="preserve"> </w:t>
      </w:r>
      <w:r>
        <w:t xml:space="preserve">“Not experienced”</w:t>
      </w:r>
      <w:r>
        <w:t xml:space="preserve"> </w:t>
      </w:r>
      <w:r>
        <w:t xml:space="preserve">refers to respondents who answered the situation (or had a valid sub-index) and reported no occurrence. Difference = mean among those who experienced the form minus mean among those who did not. A row is not reported if either group has fewer than 10 respondents; a percentage is not reported if the number of respondents with, or without, a score of 6 or more is below 10.</w:t>
      </w:r>
    </w:p>
    <w:bookmarkEnd w:id="35"/>
    <w:bookmarkStart w:id="36" w:name="workplace-stigma-and-symptom-severity-h1"/>
    <w:p>
      <w:pPr>
        <w:pStyle w:val="Heading2"/>
      </w:pPr>
      <w:r>
        <w:t xml:space="preserve">Workplace Stigma and Symptom Severity (H1)</w:t>
      </w:r>
    </w:p>
    <w:p>
      <w:pPr>
        <w:pStyle w:val="FirstParagraph"/>
      </w:pPr>
      <w:r>
        <w:t xml:space="preserve">Table 6 presents the test of H1. In the main specification, a one-unit difference in the stigma index was associated with 1.85 points higher PHQ-4 scores (</w:t>
      </w:r>
      <w:r>
        <w:rPr>
          <w:i/>
          <w:iCs/>
        </w:rPr>
        <w:t xml:space="preserve">SE</w:t>
      </w:r>
      <w:r>
        <w:t xml:space="preserve"> </w:t>
      </w:r>
      <w:r>
        <w:t xml:space="preserve">= 0.58, 95% CI [0.71, 2.99],</w:t>
      </w:r>
      <w:r>
        <w:t xml:space="preserve"> </w:t>
      </w:r>
      <w:r>
        <w:rPr>
          <w:i/>
          <w:iCs/>
        </w:rPr>
        <w:t xml:space="preserve">p</w:t>
      </w:r>
      <w:r>
        <w:t xml:space="preserve"> </w:t>
      </w:r>
      <w:r>
        <w:t xml:space="preserve">= .002). A difference of one standard deviation in the index (0.47) corresponded to 0.86 points (95% CI [0.33, 1.40]), or about 0.27 standard deviations of the PHQ-4. H1 was therefore supported.</w:t>
      </w:r>
    </w:p>
    <w:p>
      <w:pPr>
        <w:pStyle w:val="BodyText"/>
      </w:pPr>
      <w:r>
        <w:t xml:space="preserve">The 90% confidence interval, [0.89, 2.80], did not lie within the equivalence bounds of ±1.0, so the conclusion of no practically meaningful association did not apply. By the decision rule, the result is a positive association. The point estimate exceeded the smallest effect size of interest, but the lower limit of the 90% interval fell just below it, so the data do not exclude an association slightly smaller than 1.0 point per unit of the index. The minimum detectable effect after estimation was about 1.62 points.</w:t>
      </w:r>
    </w:p>
    <w:p>
      <w:pPr>
        <w:pStyle w:val="BodyText"/>
      </w:pPr>
      <w:r>
        <w:t xml:space="preserve">Adding job characteristics did not reduce the estimate (η = 1.95, 95% CI [0.52, 3.37],</w:t>
      </w:r>
      <w:r>
        <w:t xml:space="preserve"> </w:t>
      </w:r>
      <w:r>
        <w:rPr>
          <w:i/>
          <w:iCs/>
        </w:rPr>
        <w:t xml:space="preserve">n</w:t>
      </w:r>
      <w:r>
        <w:t xml:space="preserve"> </w:t>
      </w:r>
      <w:r>
        <w:t xml:space="preserve">= 206). The two specifications use different samples, because 29 respondents lacked at least one job characteristic, so the comparison is approximate. Treating</w:t>
      </w:r>
      <w:r>
        <w:t xml:space="preserve"> </w:t>
      </w:r>
      <w:r>
        <w:t xml:space="preserve">“prefer not to answer”</w:t>
      </w:r>
      <w:r>
        <w:t xml:space="preserve"> </w:t>
      </w:r>
      <w:r>
        <w:t xml:space="preserve">as missing gave a similar estimate (η = 1.94, 95% CI [0.78, 3.10],</w:t>
      </w:r>
      <w:r>
        <w:t xml:space="preserve"> </w:t>
      </w:r>
      <w:r>
        <w:rPr>
          <w:i/>
          <w:iCs/>
        </w:rPr>
        <w:t xml:space="preserve">n</w:t>
      </w:r>
      <w:r>
        <w:t xml:space="preserve"> </w:t>
      </w:r>
      <w:r>
        <w:t xml:space="preserve">= 226).</w:t>
      </w:r>
    </w:p>
    <w:p>
      <w:pPr>
        <w:pStyle w:val="BodyText"/>
      </w:pPr>
      <w:r>
        <w:rPr>
          <w:b/>
          <w:bCs/>
        </w:rPr>
        <w:t xml:space="preserve">Table 6</w:t>
      </w:r>
      <w:r>
        <w:t xml:space="preserve"> </w:t>
      </w:r>
      <w:r>
        <w:rPr>
          <w:i/>
          <w:iCs/>
        </w:rPr>
        <w:t xml:space="preserve">Association between the workplace stigma index and PHQ-4 scores (H1)</w:t>
      </w:r>
    </w:p>
    <w:tbl>
      <w:tblPr>
        <w:tblStyle w:val="Table"/>
        <w:tblW w:type="pct" w:w="5000"/>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320"/>
        <w:gridCol w:w="1320"/>
        <w:gridCol w:w="1320"/>
        <w:gridCol w:w="1320"/>
        <w:gridCol w:w="1320"/>
        <w:gridCol w:w="1320"/>
      </w:tblGrid>
      <w:tr>
        <w:trPr>
          <w:tblHeader w:val="on"/>
        </w:trPr>
        <w:tc>
          <w:tcPr>
            <w:tcBorders>
              <w:bottom w:val="single" w:sz="6" w:space="0" w:color="000000"/>
            </w:tcBorders>
          </w:tcPr>
          <w:p>
            <w:pPr>
              <w:pStyle w:val="Compact"/>
            </w:pPr>
            <w:r>
              <w:rPr>
                <w:rFonts w:ascii="Times New Roman" w:hAnsi="Times New Roman"/>
                <w:sz w:val="20"/>
              </w:rPr>
              <w:t xml:space="preserve">Specification</w:t>
            </w:r>
          </w:p>
        </w:tc>
        <w:tc>
          <w:tcPr>
            <w:tcBorders>
              <w:bottom w:val="single" w:sz="6" w:space="0" w:color="000000"/>
            </w:tcBorders>
          </w:tcPr>
          <w:p>
            <w:pPr>
              <w:pStyle w:val="Compact"/>
            </w:pPr>
            <w:r>
              <w:rPr>
                <w:rFonts w:ascii="Times New Roman" w:hAnsi="Times New Roman"/>
                <w:i/>
                <w:iCs/>
                <w:sz w:val="20"/>
              </w:rPr>
              <w:t xml:space="preserve">n</w:t>
            </w:r>
          </w:p>
        </w:tc>
        <w:tc>
          <w:tcPr>
            <w:tcBorders>
              <w:bottom w:val="single" w:sz="6" w:space="0" w:color="000000"/>
            </w:tcBorders>
          </w:tcPr>
          <w:p>
            <w:pPr>
              <w:pStyle w:val="Compact"/>
            </w:pPr>
            <w:r>
              <w:rPr>
                <w:rFonts w:ascii="Times New Roman" w:hAnsi="Times New Roman"/>
                <w:sz w:val="20"/>
              </w:rPr>
              <w:t xml:space="preserve">η</w:t>
            </w:r>
          </w:p>
        </w:tc>
        <w:tc>
          <w:tcPr>
            <w:tcBorders>
              <w:bottom w:val="single" w:sz="6" w:space="0" w:color="000000"/>
            </w:tcBorders>
          </w:tcPr>
          <w:p>
            <w:pPr>
              <w:pStyle w:val="Compact"/>
            </w:pPr>
            <w:r>
              <w:rPr>
                <w:rFonts w:ascii="Times New Roman" w:hAnsi="Times New Roman"/>
                <w:i/>
                <w:iCs/>
                <w:sz w:val="20"/>
              </w:rPr>
              <w:t xml:space="preserve">SE</w:t>
            </w:r>
          </w:p>
        </w:tc>
        <w:tc>
          <w:tcPr>
            <w:tcBorders>
              <w:bottom w:val="single" w:sz="6" w:space="0" w:color="000000"/>
            </w:tcBorders>
          </w:tcPr>
          <w:p>
            <w:pPr>
              <w:pStyle w:val="Compact"/>
            </w:pPr>
            <w:r>
              <w:rPr>
                <w:rFonts w:ascii="Times New Roman" w:hAnsi="Times New Roman"/>
                <w:sz w:val="20"/>
              </w:rPr>
              <w:t xml:space="preserve">95% CI</w:t>
            </w:r>
          </w:p>
        </w:tc>
        <w:tc>
          <w:tcPr>
            <w:tcBorders>
              <w:bottom w:val="single" w:sz="6" w:space="0" w:color="000000"/>
            </w:tcBorders>
          </w:tcPr>
          <w:p>
            <w:pPr>
              <w:pStyle w:val="Compact"/>
            </w:pPr>
            <w:r>
              <w:rPr>
                <w:rFonts w:ascii="Times New Roman" w:hAnsi="Times New Roman"/>
                <w:i/>
                <w:iCs/>
                <w:sz w:val="20"/>
              </w:rPr>
              <w:t xml:space="preserve">p</w:t>
            </w:r>
          </w:p>
        </w:tc>
      </w:tr>
      <w:tr>
        <w:tc>
          <w:tcPr/>
          <w:p>
            <w:pPr>
              <w:pStyle w:val="Compact"/>
            </w:pPr>
            <w:r>
              <w:rPr>
                <w:rFonts w:ascii="Times New Roman" w:hAnsi="Times New Roman"/>
                <w:sz w:val="20"/>
              </w:rPr>
              <w:t xml:space="preserve">Xᴰ (main)</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1.85</w:t>
            </w:r>
          </w:p>
        </w:tc>
        <w:tc>
          <w:tcPr/>
          <w:p>
            <w:pPr>
              <w:pStyle w:val="Compact"/>
            </w:pPr>
            <w:r>
              <w:rPr>
                <w:rFonts w:ascii="Times New Roman" w:hAnsi="Times New Roman"/>
                <w:sz w:val="20"/>
              </w:rPr>
              <w:t xml:space="preserve">0.58</w:t>
            </w:r>
          </w:p>
        </w:tc>
        <w:tc>
          <w:tcPr/>
          <w:p>
            <w:pPr>
              <w:pStyle w:val="Compact"/>
            </w:pPr>
            <w:r>
              <w:rPr>
                <w:rFonts w:ascii="Times New Roman" w:hAnsi="Times New Roman"/>
                <w:sz w:val="20"/>
              </w:rPr>
              <w:t xml:space="preserve">[0.71, 2.99]</w:t>
            </w:r>
          </w:p>
        </w:tc>
        <w:tc>
          <w:tcPr/>
          <w:p>
            <w:pPr>
              <w:pStyle w:val="Compact"/>
            </w:pPr>
            <w:r>
              <w:rPr>
                <w:rFonts w:ascii="Times New Roman" w:hAnsi="Times New Roman"/>
                <w:sz w:val="20"/>
              </w:rPr>
              <w:t xml:space="preserve">.002</w:t>
            </w:r>
          </w:p>
        </w:tc>
      </w:tr>
      <w:tr>
        <w:tc>
          <w:tcPr/>
          <w:p>
            <w:pPr>
              <w:pStyle w:val="Compact"/>
            </w:pPr>
            <w:r>
              <w:rPr>
                <w:rFonts w:ascii="Times New Roman" w:hAnsi="Times New Roman"/>
                <w:sz w:val="20"/>
              </w:rPr>
              <w:t xml:space="preserve">Xᴰ, alternative rule</w:t>
            </w:r>
          </w:p>
        </w:tc>
        <w:tc>
          <w:tcPr/>
          <w:p>
            <w:pPr>
              <w:pStyle w:val="Compact"/>
            </w:pPr>
            <w:r>
              <w:rPr>
                <w:rFonts w:ascii="Times New Roman" w:hAnsi="Times New Roman"/>
                <w:sz w:val="20"/>
              </w:rPr>
              <w:t xml:space="preserve">226</w:t>
            </w:r>
          </w:p>
        </w:tc>
        <w:tc>
          <w:tcPr/>
          <w:p>
            <w:pPr>
              <w:pStyle w:val="Compact"/>
            </w:pPr>
            <w:r>
              <w:rPr>
                <w:rFonts w:ascii="Times New Roman" w:hAnsi="Times New Roman"/>
                <w:sz w:val="20"/>
              </w:rPr>
              <w:t xml:space="preserve">1.94</w:t>
            </w:r>
          </w:p>
        </w:tc>
        <w:tc>
          <w:tcPr/>
          <w:p>
            <w:pPr>
              <w:pStyle w:val="Compact"/>
            </w:pPr>
            <w:r>
              <w:rPr>
                <w:rFonts w:ascii="Times New Roman" w:hAnsi="Times New Roman"/>
                <w:sz w:val="20"/>
              </w:rPr>
              <w:t xml:space="preserve">0.59</w:t>
            </w:r>
          </w:p>
        </w:tc>
        <w:tc>
          <w:tcPr/>
          <w:p>
            <w:pPr>
              <w:pStyle w:val="Compact"/>
            </w:pPr>
            <w:r>
              <w:rPr>
                <w:rFonts w:ascii="Times New Roman" w:hAnsi="Times New Roman"/>
                <w:sz w:val="20"/>
              </w:rPr>
              <w:t xml:space="preserve">[0.78, 3.10]</w:t>
            </w:r>
          </w:p>
        </w:tc>
        <w:tc>
          <w:tcPr/>
          <w:p>
            <w:pPr>
              <w:pStyle w:val="Compact"/>
            </w:pPr>
            <w:r>
              <w:rPr>
                <w:rFonts w:ascii="Times New Roman" w:hAnsi="Times New Roman"/>
                <w:sz w:val="20"/>
              </w:rPr>
              <w:t xml:space="preserve">.001</w:t>
            </w:r>
          </w:p>
        </w:tc>
      </w:tr>
      <w:tr>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206</w:t>
            </w:r>
          </w:p>
        </w:tc>
        <w:tc>
          <w:tcPr/>
          <w:p>
            <w:pPr>
              <w:pStyle w:val="Compact"/>
            </w:pPr>
            <w:r>
              <w:rPr>
                <w:rFonts w:ascii="Times New Roman" w:hAnsi="Times New Roman"/>
                <w:sz w:val="20"/>
              </w:rPr>
              <w:t xml:space="preserve">1.95</w:t>
            </w:r>
          </w:p>
        </w:tc>
        <w:tc>
          <w:tcPr/>
          <w:p>
            <w:pPr>
              <w:pStyle w:val="Compact"/>
            </w:pPr>
            <w:r>
              <w:rPr>
                <w:rFonts w:ascii="Times New Roman" w:hAnsi="Times New Roman"/>
                <w:sz w:val="20"/>
              </w:rPr>
              <w:t xml:space="preserve">0.72</w:t>
            </w:r>
          </w:p>
        </w:tc>
        <w:tc>
          <w:tcPr/>
          <w:p>
            <w:pPr>
              <w:pStyle w:val="Compact"/>
            </w:pPr>
            <w:r>
              <w:rPr>
                <w:rFonts w:ascii="Times New Roman" w:hAnsi="Times New Roman"/>
                <w:sz w:val="20"/>
              </w:rPr>
              <w:t xml:space="preserve">[0.52, 3.37]</w:t>
            </w:r>
          </w:p>
        </w:tc>
        <w:tc>
          <w:tcPr/>
          <w:p>
            <w:pPr>
              <w:pStyle w:val="Compact"/>
            </w:pPr>
            <w:r>
              <w:rPr>
                <w:rFonts w:ascii="Times New Roman" w:hAnsi="Times New Roman"/>
                <w:sz w:val="20"/>
              </w:rPr>
              <w:t xml:space="preserve">.008</w:t>
            </w:r>
          </w:p>
        </w:tc>
      </w:tr>
      <w:tr>
        <w:tc>
          <w:tcPr/>
          <w:p>
            <w:pPr>
              <w:pStyle w:val="Compact"/>
            </w:pPr>
            <w:r>
              <w:rPr>
                <w:rFonts w:ascii="Times New Roman" w:hAnsi="Times New Roman"/>
                <w:sz w:val="20"/>
              </w:rPr>
              <w:t xml:space="preserve">Xᴰ (main), per</w:t>
            </w:r>
            <w:r>
              <w:rPr>
                <w:rFonts w:ascii="Times New Roman" w:hAnsi="Times New Roman"/>
                <w:sz w:val="20"/>
              </w:rPr>
              <w:t xml:space="preserve"> </w:t>
            </w:r>
            <w:r>
              <w:rPr>
                <w:rFonts w:ascii="Times New Roman" w:hAnsi="Times New Roman"/>
                <w:i/>
                <w:iCs/>
                <w:sz w:val="20"/>
              </w:rPr>
              <w:t xml:space="preserve">SD</w:t>
            </w:r>
            <w:r>
              <w:rPr>
                <w:rFonts w:ascii="Times New Roman" w:hAnsi="Times New Roman"/>
                <w:sz w:val="20"/>
              </w:rPr>
              <w:t xml:space="preserve"> </w:t>
            </w:r>
            <w:r>
              <w:rPr>
                <w:rFonts w:ascii="Times New Roman" w:hAnsi="Times New Roman"/>
                <w:sz w:val="20"/>
              </w:rPr>
              <w:t xml:space="preserve">of the index</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0.86</w:t>
            </w:r>
          </w:p>
        </w:tc>
        <w:tc>
          <w:tcPr/>
          <w:p>
            <w:pPr>
              <w:pStyle w:val="Compact"/>
            </w:pPr>
            <w:r>
              <w:rPr>
                <w:rFonts w:ascii="Times New Roman" w:hAnsi="Times New Roman"/>
                <w:sz w:val="20"/>
              </w:rPr>
              <w:t xml:space="preserve">0.27</w:t>
            </w:r>
          </w:p>
        </w:tc>
        <w:tc>
          <w:tcPr/>
          <w:p>
            <w:pPr>
              <w:pStyle w:val="Compact"/>
            </w:pPr>
            <w:r>
              <w:rPr>
                <w:rFonts w:ascii="Times New Roman" w:hAnsi="Times New Roman"/>
                <w:sz w:val="20"/>
              </w:rPr>
              <w:t xml:space="preserve">[0.33, 1.40]</w:t>
            </w:r>
          </w:p>
        </w:tc>
        <w:tc>
          <w:tcPr/>
          <w:p>
            <w:pPr>
              <w:pStyle w:val="Compact"/>
            </w:pPr>
            <w:r>
              <w:rPr>
                <w:rFonts w:ascii="Times New Roman" w:hAnsi="Times New Roman"/>
                <w:sz w:val="20"/>
              </w:rPr>
              <w:t xml:space="preserve">.002</w:t>
            </w:r>
          </w:p>
        </w:tc>
      </w:tr>
    </w:tbl>
    <w:p>
      <w:pPr>
        <w:pStyle w:val="BodyText"/>
      </w:pPr>
      <w:r>
        <w:rPr>
          <w:i/>
          <w:iCs/>
        </w:rPr>
        <w:t xml:space="preserve">Note.</w:t>
      </w:r>
      <w:r>
        <w:t xml:space="preserve"> </w:t>
      </w:r>
      <w:r>
        <w:t xml:space="preserve">Ordinary least squares with HC3 standard errors. η is the difference in PHQ-4 score per unit of the stigma index (0–4); the last row expresses it per standard deviation of the index (0.47). Xᴰ = eight groups of pre-exposure characteristics; Xᴶ = job characteristics. Under the alternative rule,</w:t>
      </w:r>
      <w:r>
        <w:t xml:space="preserve"> </w:t>
      </w:r>
      <w:r>
        <w:t xml:space="preserve">“prefer not to answer”</w:t>
      </w:r>
      <w:r>
        <w:t xml:space="preserve"> </w:t>
      </w:r>
      <w:r>
        <w:t xml:space="preserve">on a covariate is treated as missing. Equivalence test: 90% CI [0.89, 2.80], bounds ±1.0. The specification with Xᴶ is reported for comparison and is not a test of the hypothesis.</w:t>
      </w:r>
    </w:p>
    <w:bookmarkEnd w:id="36"/>
    <w:bookmarkStart w:id="37" w:name="forms-of-stigma-and-symptom-severity-rq1"/>
    <w:p>
      <w:pPr>
        <w:pStyle w:val="Heading2"/>
      </w:pPr>
      <w:r>
        <w:t xml:space="preserve">Forms of Stigma and Symptom Severity (RQ1)</w:t>
      </w:r>
    </w:p>
    <w:p>
      <w:pPr>
        <w:pStyle w:val="FirstParagraph"/>
      </w:pPr>
      <w:r>
        <w:t xml:space="preserve">Table 7 reports the exploratory analyses of RQ1 (</w:t>
      </w:r>
      <w:r>
        <w:rPr>
          <w:i/>
          <w:iCs/>
        </w:rPr>
        <w:t xml:space="preserve">n</w:t>
      </w:r>
      <w:r>
        <w:t xml:space="preserve"> </w:t>
      </w:r>
      <w:r>
        <w:t xml:space="preserve">= 233). In separate models, a one-standard-deviation difference in interpersonal stigma was associated with 0.86 points higher PHQ-4 scores (95% CI [0.38, 1.33], BH-adjusted</w:t>
      </w:r>
      <w:r>
        <w:t xml:space="preserve"> </w:t>
      </w:r>
      <w:r>
        <w:rPr>
          <w:i/>
          <w:iCs/>
        </w:rPr>
        <w:t xml:space="preserve">p</w:t>
      </w:r>
      <w:r>
        <w:t xml:space="preserve"> </w:t>
      </w:r>
      <w:r>
        <w:t xml:space="preserve">= .002). The coefficients for career-related stigma (0.49, 95% CI [−0.12, 1.09], adjusted</w:t>
      </w:r>
      <w:r>
        <w:t xml:space="preserve"> </w:t>
      </w:r>
      <w:r>
        <w:rPr>
          <w:i/>
          <w:iCs/>
        </w:rPr>
        <w:t xml:space="preserve">p</w:t>
      </w:r>
      <w:r>
        <w:t xml:space="preserve"> </w:t>
      </w:r>
      <w:r>
        <w:t xml:space="preserve">= .174) and gender-expression stigma (0.35, 95% CI [−0.30, 0.99], adjusted</w:t>
      </w:r>
      <w:r>
        <w:t xml:space="preserve"> </w:t>
      </w:r>
      <w:r>
        <w:rPr>
          <w:i/>
          <w:iCs/>
        </w:rPr>
        <w:t xml:space="preserve">p</w:t>
      </w:r>
      <w:r>
        <w:t xml:space="preserve"> </w:t>
      </w:r>
      <w:r>
        <w:t xml:space="preserve">= .289) were positive, but their intervals contained both zero and values as large as the interpersonal coefficient, so these results are inconclusive. When the three sub-indices were entered together, the interpersonal coefficient changed little (0.77, 95% CI [0.25, 1.29]), whereas the other two moved toward zero. None of the three pairwise differences could be distinguished from zero; the largest, between interpersonal and gender-expression stigma, was 0.71 (95% CI [−0.08, 1.50]). The data therefore show a clear association for interpersonal stigma, but they do not show that interpersonal stigma is more strongly associated with symptoms than the other forms.</w:t>
      </w:r>
    </w:p>
    <w:p>
      <w:pPr>
        <w:pStyle w:val="BodyText"/>
      </w:pPr>
      <w:r>
        <w:rPr>
          <w:b/>
          <w:bCs/>
        </w:rPr>
        <w:t xml:space="preserve">Table 7</w:t>
      </w:r>
      <w:r>
        <w:t xml:space="preserve"> </w:t>
      </w:r>
      <w:r>
        <w:rPr>
          <w:i/>
          <w:iCs/>
        </w:rPr>
        <w:t xml:space="preserve">Forms of stigma and PHQ-4 scores (RQ1, exploratory; n = 233)</w:t>
      </w:r>
    </w:p>
    <w:tbl>
      <w:tblPr>
        <w:tblStyle w:val="Table"/>
        <w:tblW w:type="pct" w:w="5000"/>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pPr>
            <w:r>
              <w:rPr>
                <w:rFonts w:ascii="Times New Roman" w:hAnsi="Times New Roman"/>
                <w:sz w:val="20"/>
              </w:rPr>
              <w:t xml:space="preserve">Model</w:t>
            </w:r>
          </w:p>
        </w:tc>
        <w:tc>
          <w:tcPr>
            <w:tcBorders>
              <w:bottom w:val="single" w:sz="6" w:space="0" w:color="000000"/>
            </w:tcBorders>
          </w:tcPr>
          <w:p>
            <w:pPr>
              <w:pStyle w:val="Compact"/>
            </w:pPr>
            <w:r>
              <w:rPr>
                <w:rFonts w:ascii="Times New Roman" w:hAnsi="Times New Roman"/>
                <w:sz w:val="20"/>
              </w:rPr>
              <w:t xml:space="preserve">Term</w:t>
            </w:r>
          </w:p>
        </w:tc>
        <w:tc>
          <w:tcPr>
            <w:tcBorders>
              <w:bottom w:val="single" w:sz="6" w:space="0" w:color="000000"/>
            </w:tcBorders>
          </w:tcPr>
          <w:p>
            <w:pPr>
              <w:pStyle w:val="Compact"/>
            </w:pPr>
            <w:r>
              <w:rPr>
                <w:rFonts w:ascii="Times New Roman" w:hAnsi="Times New Roman"/>
                <w:sz w:val="20"/>
              </w:rPr>
              <w:t xml:space="preserve">Coefficient</w:t>
            </w:r>
          </w:p>
        </w:tc>
        <w:tc>
          <w:tcPr>
            <w:tcBorders>
              <w:bottom w:val="single" w:sz="6" w:space="0" w:color="000000"/>
            </w:tcBorders>
          </w:tcPr>
          <w:p>
            <w:pPr>
              <w:pStyle w:val="Compact"/>
            </w:pPr>
            <w:r>
              <w:rPr>
                <w:rFonts w:ascii="Times New Roman" w:hAnsi="Times New Roman"/>
                <w:i/>
                <w:iCs/>
                <w:sz w:val="20"/>
              </w:rPr>
              <w:t xml:space="preserve">SE</w:t>
            </w:r>
          </w:p>
        </w:tc>
        <w:tc>
          <w:tcPr>
            <w:tcBorders>
              <w:bottom w:val="single" w:sz="6" w:space="0" w:color="000000"/>
            </w:tcBorders>
          </w:tcPr>
          <w:p>
            <w:pPr>
              <w:pStyle w:val="Compact"/>
            </w:pPr>
            <w:r>
              <w:rPr>
                <w:rFonts w:ascii="Times New Roman" w:hAnsi="Times New Roman"/>
                <w:sz w:val="20"/>
              </w:rPr>
              <w:t xml:space="preserve">95% CI</w:t>
            </w:r>
          </w:p>
        </w:tc>
        <w:tc>
          <w:tcPr>
            <w:tcBorders>
              <w:bottom w:val="single" w:sz="6" w:space="0" w:color="000000"/>
            </w:tcBorders>
          </w:tcPr>
          <w:p>
            <w:pPr>
              <w:pStyle w:val="Compact"/>
            </w:pPr>
            <w:r>
              <w:rPr>
                <w:rFonts w:ascii="Times New Roman" w:hAnsi="Times New Roman"/>
                <w:i/>
                <w:iCs/>
                <w:sz w:val="20"/>
              </w:rPr>
              <w:t xml:space="preserve">p</w:t>
            </w:r>
          </w:p>
        </w:tc>
        <w:tc>
          <w:tcPr>
            <w:tcBorders>
              <w:bottom w:val="single" w:sz="6" w:space="0" w:color="000000"/>
            </w:tcBorders>
          </w:tcPr>
          <w:p>
            <w:pPr>
              <w:pStyle w:val="Compact"/>
            </w:pPr>
            <w:r>
              <w:rPr>
                <w:rFonts w:ascii="Times New Roman" w:hAnsi="Times New Roman"/>
                <w:sz w:val="20"/>
              </w:rPr>
              <w:t xml:space="preserve">BH</w:t>
            </w:r>
            <w:r>
              <w:rPr>
                <w:rFonts w:ascii="Times New Roman" w:hAnsi="Times New Roman"/>
                <w:sz w:val="20"/>
              </w:rPr>
              <w:t xml:space="preserve"> </w:t>
            </w:r>
            <w:r>
              <w:rPr>
                <w:rFonts w:ascii="Times New Roman" w:hAnsi="Times New Roman"/>
                <w:i/>
                <w:iCs/>
                <w:sz w:val="20"/>
              </w:rPr>
              <w:t xml:space="preserve">p</w:t>
            </w:r>
          </w:p>
        </w:tc>
      </w:tr>
      <w:tr>
        <w:tc>
          <w:tcPr/>
          <w:p>
            <w:pPr>
              <w:pStyle w:val="Compact"/>
            </w:pPr>
            <w:r>
              <w:rPr>
                <w:rFonts w:ascii="Times New Roman" w:hAnsi="Times New Roman"/>
                <w:sz w:val="20"/>
              </w:rPr>
              <w:t xml:space="preserve">Separate models</w:t>
            </w:r>
          </w:p>
        </w:tc>
        <w:tc>
          <w:tcPr/>
          <w:p>
            <w:pPr>
              <w:pStyle w:val="Compact"/>
            </w:pPr>
            <w:r>
              <w:rPr>
                <w:rFonts w:ascii="Times New Roman" w:hAnsi="Times New Roman"/>
                <w:sz w:val="20"/>
              </w:rPr>
              <w:t xml:space="preserve">Interpersonal (1–3)</w:t>
            </w:r>
          </w:p>
        </w:tc>
        <w:tc>
          <w:tcPr/>
          <w:p>
            <w:pPr>
              <w:pStyle w:val="Compact"/>
            </w:pPr>
            <w:r>
              <w:rPr>
                <w:rFonts w:ascii="Times New Roman" w:hAnsi="Times New Roman"/>
                <w:sz w:val="20"/>
              </w:rPr>
              <w:t xml:space="preserve">0.86</w:t>
            </w:r>
          </w:p>
        </w:tc>
        <w:tc>
          <w:tcPr/>
          <w:p>
            <w:pPr>
              <w:pStyle w:val="Compact"/>
            </w:pPr>
            <w:r>
              <w:rPr>
                <w:rFonts w:ascii="Times New Roman" w:hAnsi="Times New Roman"/>
                <w:sz w:val="20"/>
              </w:rPr>
              <w:t xml:space="preserve">0.24</w:t>
            </w:r>
          </w:p>
        </w:tc>
        <w:tc>
          <w:tcPr/>
          <w:p>
            <w:pPr>
              <w:pStyle w:val="Compact"/>
            </w:pPr>
            <w:r>
              <w:rPr>
                <w:rFonts w:ascii="Times New Roman" w:hAnsi="Times New Roman"/>
                <w:sz w:val="20"/>
              </w:rPr>
              <w:t xml:space="preserve">[0.38, 1.33]</w:t>
            </w:r>
          </w:p>
        </w:tc>
        <w:tc>
          <w:tcPr/>
          <w:p>
            <w:pPr>
              <w:pStyle w:val="Compact"/>
            </w:pPr>
            <w:r>
              <w:rPr>
                <w:rFonts w:ascii="Times New Roman" w:hAnsi="Times New Roman"/>
                <w:sz w:val="20"/>
              </w:rPr>
              <w:t xml:space="preserve">&lt; .001</w:t>
            </w:r>
          </w:p>
        </w:tc>
        <w:tc>
          <w:tcPr/>
          <w:p>
            <w:pPr>
              <w:pStyle w:val="Compact"/>
            </w:pPr>
            <w:r>
              <w:rPr>
                <w:rFonts w:ascii="Times New Roman" w:hAnsi="Times New Roman"/>
                <w:sz w:val="20"/>
              </w:rPr>
              <w:t xml:space="preserve">.002</w:t>
            </w:r>
          </w:p>
        </w:tc>
      </w:tr>
      <w:tr>
        <w:tc>
          <w:tcPr/>
          <w:p>
            <w:pPr>
              <w:pStyle w:val="Compact"/>
            </w:pPr>
          </w:p>
        </w:tc>
        <w:tc>
          <w:tcPr/>
          <w:p>
            <w:pPr>
              <w:pStyle w:val="Compact"/>
            </w:pPr>
            <w:r>
              <w:rPr>
                <w:rFonts w:ascii="Times New Roman" w:hAnsi="Times New Roman"/>
                <w:sz w:val="20"/>
              </w:rPr>
              <w:t xml:space="preserve">Career-related (4–6)</w:t>
            </w:r>
          </w:p>
        </w:tc>
        <w:tc>
          <w:tcPr/>
          <w:p>
            <w:pPr>
              <w:pStyle w:val="Compact"/>
            </w:pPr>
            <w:r>
              <w:rPr>
                <w:rFonts w:ascii="Times New Roman" w:hAnsi="Times New Roman"/>
                <w:sz w:val="20"/>
              </w:rPr>
              <w:t xml:space="preserve">0.49</w:t>
            </w:r>
          </w:p>
        </w:tc>
        <w:tc>
          <w:tcPr/>
          <w:p>
            <w:pPr>
              <w:pStyle w:val="Compact"/>
            </w:pPr>
            <w:r>
              <w:rPr>
                <w:rFonts w:ascii="Times New Roman" w:hAnsi="Times New Roman"/>
                <w:sz w:val="20"/>
              </w:rPr>
              <w:t xml:space="preserve">0.31</w:t>
            </w:r>
          </w:p>
        </w:tc>
        <w:tc>
          <w:tcPr/>
          <w:p>
            <w:pPr>
              <w:pStyle w:val="Compact"/>
            </w:pPr>
            <w:r>
              <w:rPr>
                <w:rFonts w:ascii="Times New Roman" w:hAnsi="Times New Roman"/>
                <w:sz w:val="20"/>
              </w:rPr>
              <w:t xml:space="preserve">[−0.12, 1.09]</w:t>
            </w:r>
          </w:p>
        </w:tc>
        <w:tc>
          <w:tcPr/>
          <w:p>
            <w:pPr>
              <w:pStyle w:val="Compact"/>
            </w:pPr>
            <w:r>
              <w:rPr>
                <w:rFonts w:ascii="Times New Roman" w:hAnsi="Times New Roman"/>
                <w:sz w:val="20"/>
              </w:rPr>
              <w:t xml:space="preserve">.116</w:t>
            </w:r>
          </w:p>
        </w:tc>
        <w:tc>
          <w:tcPr/>
          <w:p>
            <w:pPr>
              <w:pStyle w:val="Compact"/>
            </w:pPr>
            <w:r>
              <w:rPr>
                <w:rFonts w:ascii="Times New Roman" w:hAnsi="Times New Roman"/>
                <w:sz w:val="20"/>
              </w:rPr>
              <w:t xml:space="preserve">.174</w:t>
            </w:r>
          </w:p>
        </w:tc>
      </w:tr>
      <w:tr>
        <w:tc>
          <w:tcPr/>
          <w:p>
            <w:pPr>
              <w:pStyle w:val="Compact"/>
            </w:pPr>
          </w:p>
        </w:tc>
        <w:tc>
          <w:tcPr/>
          <w:p>
            <w:pPr>
              <w:pStyle w:val="Compact"/>
            </w:pPr>
            <w:r>
              <w:rPr>
                <w:rFonts w:ascii="Times New Roman" w:hAnsi="Times New Roman"/>
                <w:sz w:val="20"/>
              </w:rPr>
              <w:t xml:space="preserve">Gender expression (7–8)</w:t>
            </w:r>
          </w:p>
        </w:tc>
        <w:tc>
          <w:tcPr/>
          <w:p>
            <w:pPr>
              <w:pStyle w:val="Compact"/>
            </w:pPr>
            <w:r>
              <w:rPr>
                <w:rFonts w:ascii="Times New Roman" w:hAnsi="Times New Roman"/>
                <w:sz w:val="20"/>
              </w:rPr>
              <w:t xml:space="preserve">0.35</w:t>
            </w:r>
          </w:p>
        </w:tc>
        <w:tc>
          <w:tcPr/>
          <w:p>
            <w:pPr>
              <w:pStyle w:val="Compact"/>
            </w:pPr>
            <w:r>
              <w:rPr>
                <w:rFonts w:ascii="Times New Roman" w:hAnsi="Times New Roman"/>
                <w:sz w:val="20"/>
              </w:rPr>
              <w:t xml:space="preserve">0.33</w:t>
            </w:r>
          </w:p>
        </w:tc>
        <w:tc>
          <w:tcPr/>
          <w:p>
            <w:pPr>
              <w:pStyle w:val="Compact"/>
            </w:pPr>
            <w:r>
              <w:rPr>
                <w:rFonts w:ascii="Times New Roman" w:hAnsi="Times New Roman"/>
                <w:sz w:val="20"/>
              </w:rPr>
              <w:t xml:space="preserve">[−0.30, 0.99]</w:t>
            </w:r>
          </w:p>
        </w:tc>
        <w:tc>
          <w:tcPr/>
          <w:p>
            <w:pPr>
              <w:pStyle w:val="Compact"/>
            </w:pPr>
            <w:r>
              <w:rPr>
                <w:rFonts w:ascii="Times New Roman" w:hAnsi="Times New Roman"/>
                <w:sz w:val="20"/>
              </w:rPr>
              <w:t xml:space="preserve">.289</w:t>
            </w:r>
          </w:p>
        </w:tc>
        <w:tc>
          <w:tcPr/>
          <w:p>
            <w:pPr>
              <w:pStyle w:val="Compact"/>
            </w:pPr>
            <w:r>
              <w:rPr>
                <w:rFonts w:ascii="Times New Roman" w:hAnsi="Times New Roman"/>
                <w:sz w:val="20"/>
              </w:rPr>
              <w:t xml:space="preserve">.289</w:t>
            </w:r>
          </w:p>
        </w:tc>
      </w:tr>
      <w:tr>
        <w:tc>
          <w:tcPr/>
          <w:p>
            <w:pPr>
              <w:pStyle w:val="Compact"/>
            </w:pPr>
            <w:r>
              <w:rPr>
                <w:rFonts w:ascii="Times New Roman" w:hAnsi="Times New Roman"/>
                <w:sz w:val="20"/>
              </w:rPr>
              <w:t xml:space="preserve">Joint model</w:t>
            </w:r>
          </w:p>
        </w:tc>
        <w:tc>
          <w:tcPr/>
          <w:p>
            <w:pPr>
              <w:pStyle w:val="Compact"/>
            </w:pPr>
            <w:r>
              <w:rPr>
                <w:rFonts w:ascii="Times New Roman" w:hAnsi="Times New Roman"/>
                <w:sz w:val="20"/>
              </w:rPr>
              <w:t xml:space="preserve">Interpersonal (1–3)</w:t>
            </w:r>
          </w:p>
        </w:tc>
        <w:tc>
          <w:tcPr/>
          <w:p>
            <w:pPr>
              <w:pStyle w:val="Compact"/>
            </w:pPr>
            <w:r>
              <w:rPr>
                <w:rFonts w:ascii="Times New Roman" w:hAnsi="Times New Roman"/>
                <w:sz w:val="20"/>
              </w:rPr>
              <w:t xml:space="preserve">0.77</w:t>
            </w:r>
          </w:p>
        </w:tc>
        <w:tc>
          <w:tcPr/>
          <w:p>
            <w:pPr>
              <w:pStyle w:val="Compact"/>
            </w:pPr>
            <w:r>
              <w:rPr>
                <w:rFonts w:ascii="Times New Roman" w:hAnsi="Times New Roman"/>
                <w:sz w:val="20"/>
              </w:rPr>
              <w:t xml:space="preserve">0.26</w:t>
            </w:r>
          </w:p>
        </w:tc>
        <w:tc>
          <w:tcPr/>
          <w:p>
            <w:pPr>
              <w:pStyle w:val="Compact"/>
            </w:pPr>
            <w:r>
              <w:rPr>
                <w:rFonts w:ascii="Times New Roman" w:hAnsi="Times New Roman"/>
                <w:sz w:val="20"/>
              </w:rPr>
              <w:t xml:space="preserve">[0.25, 1.29]</w:t>
            </w:r>
          </w:p>
        </w:tc>
        <w:tc>
          <w:tcPr/>
          <w:p>
            <w:pPr>
              <w:pStyle w:val="Compact"/>
            </w:pPr>
            <w:r>
              <w:rPr>
                <w:rFonts w:ascii="Times New Roman" w:hAnsi="Times New Roman"/>
                <w:sz w:val="20"/>
              </w:rPr>
              <w:t xml:space="preserve">.004</w:t>
            </w:r>
          </w:p>
        </w:tc>
        <w:tc>
          <w:tcPr/>
          <w:p>
            <w:pPr>
              <w:pStyle w:val="Compact"/>
            </w:pPr>
          </w:p>
        </w:tc>
      </w:tr>
      <w:tr>
        <w:tc>
          <w:tcPr/>
          <w:p>
            <w:pPr>
              <w:pStyle w:val="Compact"/>
            </w:pPr>
          </w:p>
        </w:tc>
        <w:tc>
          <w:tcPr/>
          <w:p>
            <w:pPr>
              <w:pStyle w:val="Compact"/>
            </w:pPr>
            <w:r>
              <w:rPr>
                <w:rFonts w:ascii="Times New Roman" w:hAnsi="Times New Roman"/>
                <w:sz w:val="20"/>
              </w:rPr>
              <w:t xml:space="preserve">Career-related (4–6)</w:t>
            </w:r>
          </w:p>
        </w:tc>
        <w:tc>
          <w:tcPr/>
          <w:p>
            <w:pPr>
              <w:pStyle w:val="Compact"/>
            </w:pPr>
            <w:r>
              <w:rPr>
                <w:rFonts w:ascii="Times New Roman" w:hAnsi="Times New Roman"/>
                <w:sz w:val="20"/>
              </w:rPr>
              <w:t xml:space="preserve">0.18</w:t>
            </w:r>
          </w:p>
        </w:tc>
        <w:tc>
          <w:tcPr/>
          <w:p>
            <w:pPr>
              <w:pStyle w:val="Compact"/>
            </w:pPr>
            <w:r>
              <w:rPr>
                <w:rFonts w:ascii="Times New Roman" w:hAnsi="Times New Roman"/>
                <w:sz w:val="20"/>
              </w:rPr>
              <w:t xml:space="preserve">0.38</w:t>
            </w:r>
          </w:p>
        </w:tc>
        <w:tc>
          <w:tcPr/>
          <w:p>
            <w:pPr>
              <w:pStyle w:val="Compact"/>
            </w:pPr>
            <w:r>
              <w:rPr>
                <w:rFonts w:ascii="Times New Roman" w:hAnsi="Times New Roman"/>
                <w:sz w:val="20"/>
              </w:rPr>
              <w:t xml:space="preserve">[−0.56, 0.92]</w:t>
            </w:r>
          </w:p>
        </w:tc>
        <w:tc>
          <w:tcPr/>
          <w:p>
            <w:pPr>
              <w:pStyle w:val="Compact"/>
            </w:pPr>
            <w:r>
              <w:rPr>
                <w:rFonts w:ascii="Times New Roman" w:hAnsi="Times New Roman"/>
                <w:sz w:val="20"/>
              </w:rPr>
              <w:t xml:space="preserve">.640</w:t>
            </w:r>
          </w:p>
        </w:tc>
        <w:tc>
          <w:tcPr/>
          <w:p>
            <w:pPr>
              <w:pStyle w:val="Compact"/>
            </w:pPr>
          </w:p>
        </w:tc>
      </w:tr>
      <w:tr>
        <w:tc>
          <w:tcPr/>
          <w:p>
            <w:pPr>
              <w:pStyle w:val="Compact"/>
            </w:pPr>
          </w:p>
        </w:tc>
        <w:tc>
          <w:tcPr/>
          <w:p>
            <w:pPr>
              <w:pStyle w:val="Compact"/>
            </w:pPr>
            <w:r>
              <w:rPr>
                <w:rFonts w:ascii="Times New Roman" w:hAnsi="Times New Roman"/>
                <w:sz w:val="20"/>
              </w:rPr>
              <w:t xml:space="preserve">Gender expression (7–8)</w:t>
            </w:r>
          </w:p>
        </w:tc>
        <w:tc>
          <w:tcPr/>
          <w:p>
            <w:pPr>
              <w:pStyle w:val="Compact"/>
            </w:pPr>
            <w:r>
              <w:rPr>
                <w:rFonts w:ascii="Times New Roman" w:hAnsi="Times New Roman"/>
                <w:sz w:val="20"/>
              </w:rPr>
              <w:t xml:space="preserve">0.06</w:t>
            </w:r>
          </w:p>
        </w:tc>
        <w:tc>
          <w:tcPr/>
          <w:p>
            <w:pPr>
              <w:pStyle w:val="Compact"/>
            </w:pPr>
            <w:r>
              <w:rPr>
                <w:rFonts w:ascii="Times New Roman" w:hAnsi="Times New Roman"/>
                <w:sz w:val="20"/>
              </w:rPr>
              <w:t xml:space="preserve">0.31</w:t>
            </w:r>
          </w:p>
        </w:tc>
        <w:tc>
          <w:tcPr/>
          <w:p>
            <w:pPr>
              <w:pStyle w:val="Compact"/>
            </w:pPr>
            <w:r>
              <w:rPr>
                <w:rFonts w:ascii="Times New Roman" w:hAnsi="Times New Roman"/>
                <w:sz w:val="20"/>
              </w:rPr>
              <w:t xml:space="preserve">[−0.56, 0.68]</w:t>
            </w:r>
          </w:p>
        </w:tc>
        <w:tc>
          <w:tcPr/>
          <w:p>
            <w:pPr>
              <w:pStyle w:val="Compact"/>
            </w:pPr>
            <w:r>
              <w:rPr>
                <w:rFonts w:ascii="Times New Roman" w:hAnsi="Times New Roman"/>
                <w:sz w:val="20"/>
              </w:rPr>
              <w:t xml:space="preserve">.848</w:t>
            </w:r>
          </w:p>
        </w:tc>
        <w:tc>
          <w:tcPr/>
          <w:p>
            <w:pPr>
              <w:pStyle w:val="Compact"/>
            </w:pPr>
          </w:p>
        </w:tc>
      </w:tr>
      <w:tr>
        <w:tc>
          <w:tcPr/>
          <w:p>
            <w:pPr>
              <w:pStyle w:val="Compact"/>
            </w:pPr>
            <w:r>
              <w:rPr>
                <w:rFonts w:ascii="Times New Roman" w:hAnsi="Times New Roman"/>
                <w:sz w:val="20"/>
              </w:rPr>
              <w:t xml:space="preserve">Joint model, differences</w:t>
            </w:r>
          </w:p>
        </w:tc>
        <w:tc>
          <w:tcPr/>
          <w:p>
            <w:pPr>
              <w:pStyle w:val="Compact"/>
            </w:pPr>
            <w:r>
              <w:rPr>
                <w:rFonts w:ascii="Times New Roman" w:hAnsi="Times New Roman"/>
                <w:sz w:val="20"/>
              </w:rPr>
              <w:t xml:space="preserve">Interpersonal minus career-related</w:t>
            </w:r>
          </w:p>
        </w:tc>
        <w:tc>
          <w:tcPr/>
          <w:p>
            <w:pPr>
              <w:pStyle w:val="Compact"/>
            </w:pPr>
            <w:r>
              <w:rPr>
                <w:rFonts w:ascii="Times New Roman" w:hAnsi="Times New Roman"/>
                <w:sz w:val="20"/>
              </w:rPr>
              <w:t xml:space="preserve">0.59</w:t>
            </w:r>
          </w:p>
        </w:tc>
        <w:tc>
          <w:tcPr/>
          <w:p>
            <w:pPr>
              <w:pStyle w:val="Compact"/>
            </w:pPr>
            <w:r>
              <w:rPr>
                <w:rFonts w:ascii="Times New Roman" w:hAnsi="Times New Roman"/>
                <w:sz w:val="20"/>
              </w:rPr>
              <w:t xml:space="preserve">0.53</w:t>
            </w:r>
          </w:p>
        </w:tc>
        <w:tc>
          <w:tcPr/>
          <w:p>
            <w:pPr>
              <w:pStyle w:val="Compact"/>
            </w:pPr>
            <w:r>
              <w:rPr>
                <w:rFonts w:ascii="Times New Roman" w:hAnsi="Times New Roman"/>
                <w:sz w:val="20"/>
              </w:rPr>
              <w:t xml:space="preserve">[−0.46, 1.65]</w:t>
            </w:r>
          </w:p>
        </w:tc>
        <w:tc>
          <w:tcPr/>
          <w:p>
            <w:pPr>
              <w:pStyle w:val="Compact"/>
            </w:pPr>
            <w:r>
              <w:rPr>
                <w:rFonts w:ascii="Times New Roman" w:hAnsi="Times New Roman"/>
                <w:sz w:val="20"/>
              </w:rPr>
              <w:t xml:space="preserve">.267</w:t>
            </w:r>
          </w:p>
        </w:tc>
        <w:tc>
          <w:tcPr/>
          <w:p>
            <w:pPr>
              <w:pStyle w:val="Compact"/>
            </w:pPr>
          </w:p>
        </w:tc>
      </w:tr>
      <w:tr>
        <w:tc>
          <w:tcPr/>
          <w:p>
            <w:pPr>
              <w:pStyle w:val="Compact"/>
            </w:pPr>
          </w:p>
        </w:tc>
        <w:tc>
          <w:tcPr/>
          <w:p>
            <w:pPr>
              <w:pStyle w:val="Compact"/>
            </w:pPr>
            <w:r>
              <w:rPr>
                <w:rFonts w:ascii="Times New Roman" w:hAnsi="Times New Roman"/>
                <w:sz w:val="20"/>
              </w:rPr>
              <w:t xml:space="preserve">Interpersonal minus gender expression</w:t>
            </w:r>
          </w:p>
        </w:tc>
        <w:tc>
          <w:tcPr/>
          <w:p>
            <w:pPr>
              <w:pStyle w:val="Compact"/>
            </w:pPr>
            <w:r>
              <w:rPr>
                <w:rFonts w:ascii="Times New Roman" w:hAnsi="Times New Roman"/>
                <w:sz w:val="20"/>
              </w:rPr>
              <w:t xml:space="preserve">0.71</w:t>
            </w:r>
          </w:p>
        </w:tc>
        <w:tc>
          <w:tcPr/>
          <w:p>
            <w:pPr>
              <w:pStyle w:val="Compact"/>
            </w:pPr>
            <w:r>
              <w:rPr>
                <w:rFonts w:ascii="Times New Roman" w:hAnsi="Times New Roman"/>
                <w:sz w:val="20"/>
              </w:rPr>
              <w:t xml:space="preserve">0.40</w:t>
            </w:r>
          </w:p>
        </w:tc>
        <w:tc>
          <w:tcPr/>
          <w:p>
            <w:pPr>
              <w:pStyle w:val="Compact"/>
            </w:pPr>
            <w:r>
              <w:rPr>
                <w:rFonts w:ascii="Times New Roman" w:hAnsi="Times New Roman"/>
                <w:sz w:val="20"/>
              </w:rPr>
              <w:t xml:space="preserve">[−0.08, 1.50]</w:t>
            </w:r>
          </w:p>
        </w:tc>
        <w:tc>
          <w:tcPr/>
          <w:p>
            <w:pPr>
              <w:pStyle w:val="Compact"/>
            </w:pPr>
            <w:r>
              <w:rPr>
                <w:rFonts w:ascii="Times New Roman" w:hAnsi="Times New Roman"/>
                <w:sz w:val="20"/>
              </w:rPr>
              <w:t xml:space="preserve">.079</w:t>
            </w:r>
          </w:p>
        </w:tc>
        <w:tc>
          <w:tcPr/>
          <w:p>
            <w:pPr>
              <w:pStyle w:val="Compact"/>
            </w:pPr>
          </w:p>
        </w:tc>
      </w:tr>
      <w:tr>
        <w:tc>
          <w:tcPr/>
          <w:p>
            <w:pPr>
              <w:pStyle w:val="Compact"/>
            </w:pPr>
          </w:p>
        </w:tc>
        <w:tc>
          <w:tcPr/>
          <w:p>
            <w:pPr>
              <w:pStyle w:val="Compact"/>
            </w:pPr>
            <w:r>
              <w:rPr>
                <w:rFonts w:ascii="Times New Roman" w:hAnsi="Times New Roman"/>
                <w:sz w:val="20"/>
              </w:rPr>
              <w:t xml:space="preserve">Career-related minus gender expression</w:t>
            </w:r>
          </w:p>
        </w:tc>
        <w:tc>
          <w:tcPr/>
          <w:p>
            <w:pPr>
              <w:pStyle w:val="Compact"/>
            </w:pPr>
            <w:r>
              <w:rPr>
                <w:rFonts w:ascii="Times New Roman" w:hAnsi="Times New Roman"/>
                <w:sz w:val="20"/>
              </w:rPr>
              <w:t xml:space="preserve">0.12</w:t>
            </w:r>
          </w:p>
        </w:tc>
        <w:tc>
          <w:tcPr/>
          <w:p>
            <w:pPr>
              <w:pStyle w:val="Compact"/>
            </w:pPr>
            <w:r>
              <w:rPr>
                <w:rFonts w:ascii="Times New Roman" w:hAnsi="Times New Roman"/>
                <w:sz w:val="20"/>
              </w:rPr>
              <w:t xml:space="preserve">0.57</w:t>
            </w:r>
          </w:p>
        </w:tc>
        <w:tc>
          <w:tcPr/>
          <w:p>
            <w:pPr>
              <w:pStyle w:val="Compact"/>
            </w:pPr>
            <w:r>
              <w:rPr>
                <w:rFonts w:ascii="Times New Roman" w:hAnsi="Times New Roman"/>
                <w:sz w:val="20"/>
              </w:rPr>
              <w:t xml:space="preserve">[−1.00, 1.23]</w:t>
            </w:r>
          </w:p>
        </w:tc>
        <w:tc>
          <w:tcPr/>
          <w:p>
            <w:pPr>
              <w:pStyle w:val="Compact"/>
            </w:pPr>
            <w:r>
              <w:rPr>
                <w:rFonts w:ascii="Times New Roman" w:hAnsi="Times New Roman"/>
                <w:sz w:val="20"/>
              </w:rPr>
              <w:t xml:space="preserve">.838</w:t>
            </w:r>
          </w:p>
        </w:tc>
        <w:tc>
          <w:tcPr/>
          <w:p>
            <w:pPr>
              <w:pStyle w:val="Compact"/>
            </w:pPr>
          </w:p>
        </w:tc>
      </w:tr>
    </w:tbl>
    <w:p>
      <w:pPr>
        <w:pStyle w:val="BodyText"/>
      </w:pPr>
      <w:r>
        <w:rPr>
          <w:i/>
          <w:iCs/>
        </w:rPr>
        <w:t xml:space="preserve">Note.</w:t>
      </w:r>
      <w:r>
        <w:t xml:space="preserve"> </w:t>
      </w:r>
      <w:r>
        <w:t xml:space="preserve">Ordinary least squares with HC3 standard errors, adjusted for pre-exposure characteristics. Coefficients are differences in PHQ-4 points per standard deviation of each sub-index (0.76, 0.45, and 0.61). BH</w:t>
      </w:r>
      <w:r>
        <w:t xml:space="preserve"> </w:t>
      </w:r>
      <w:r>
        <w:rPr>
          <w:i/>
          <w:iCs/>
        </w:rPr>
        <w:t xml:space="preserve">p</w:t>
      </w:r>
      <w:r>
        <w:t xml:space="preserve"> </w:t>
      </w:r>
      <w:r>
        <w:t xml:space="preserve">= Benjamini-Hochberg adjustment over the three separate models. The differences are tested directly in the joint model.</w:t>
      </w:r>
    </w:p>
    <w:p>
      <w:pPr>
        <w:pStyle w:val="BodyText"/>
      </w:pPr>
      <w:r>
        <w:t xml:space="preserve">The situation-level models gave the same picture (Table S4). Offensive jokes or comments (1.86, 95% CI [0.81, 2.91]) and unwanted personal questions (1.87, 95% CI [0.84, 2.89]) were associated with higher PHQ-4 scores after Benjamini-Hochberg adjustment (adjusted</w:t>
      </w:r>
      <w:r>
        <w:t xml:space="preserve"> </w:t>
      </w:r>
      <w:r>
        <w:rPr>
          <w:i/>
          <w:iCs/>
        </w:rPr>
        <w:t xml:space="preserve">p</w:t>
      </w:r>
      <w:r>
        <w:t xml:space="preserve"> </w:t>
      </w:r>
      <w:r>
        <w:t xml:space="preserve">= .002 for both). The coefficients for the other situations were positive, but their intervals included zero (adjusted</w:t>
      </w:r>
      <w:r>
        <w:t xml:space="preserve"> </w:t>
      </w:r>
      <w:r>
        <w:rPr>
          <w:i/>
          <w:iCs/>
        </w:rPr>
        <w:t xml:space="preserve">p</w:t>
      </w:r>
      <w:r>
        <w:t xml:space="preserve"> </w:t>
      </w:r>
      <w:r>
        <w:t xml:space="preserve">≥ .19). These situations were less common, so their coefficients were estimated less precisely. Exclusion from training was not estimated, because fewer than 10 respondents reported it. When the index was divided into three levels, respondents with high exposure (an index above 0.43, the median among exposed respondents) scored 2.32 points higher than unexposed respondents (95% CI [1.08, 3.56]). For low exposure the estimate was 1.05 (95% CI [−0.08, 2.19]), which is inconclusive.</w:t>
      </w:r>
    </w:p>
    <w:bookmarkEnd w:id="37"/>
    <w:bookmarkStart w:id="41" w:name="robustness-and-sensitivity-analyses"/>
    <w:p>
      <w:pPr>
        <w:pStyle w:val="Heading2"/>
      </w:pPr>
      <w:r>
        <w:t xml:space="preserve">Robustness and Sensitivity Analyses</w:t>
      </w:r>
    </w:p>
    <w:p>
      <w:pPr>
        <w:pStyle w:val="FirstParagraph"/>
      </w:pPr>
      <w:r>
        <w:t xml:space="preserve">Table 8 reports the robustness checks. In every check that kept the stigma index as a single linear term, its coefficient was positive and ranged from 1.56 to 1.95, against 1.85 in the main specification, and its confidence interval excluded zero. The one exception was the check that separated the association into any exposure and intensity among exposed respondents. Both components were positive, but neither was distinguishable from zero on its own (any exposure: 0.95, 95% CI [−0.32, 2.22]; intensity: 1.24, 95% CI [−0.24, 2.72]). The restricted cubic spline gave no evidence of nonlinearity (</w:t>
      </w:r>
      <w:r>
        <w:rPr>
          <w:i/>
          <w:iCs/>
        </w:rPr>
        <w:t xml:space="preserve">p</w:t>
      </w:r>
      <w:r>
        <w:t xml:space="preserve"> </w:t>
      </w:r>
      <w:r>
        <w:t xml:space="preserve">= .335). The fractional logit model, which respects the bounds of the PHQ-4, gave an average marginal effect of 1.71 points (95% CI [0.90, 2.53]). The restricted wild bootstrap gave</w:t>
      </w:r>
      <w:r>
        <w:t xml:space="preserve"> </w:t>
      </w:r>
      <w:r>
        <w:rPr>
          <w:i/>
          <w:iCs/>
        </w:rPr>
        <w:t xml:space="preserve">p</w:t>
      </w:r>
      <w:r>
        <w:t xml:space="preserve"> </w:t>
      </w:r>
      <w:r>
        <w:t xml:space="preserve">= .001 and a 95% interval of [0.75, 3.05]. Omitting industry from the covariates changed the estimate little (1.83, 95% CI [0.71, 2.95]). The estimate from multiple imputation ([to be updated],</w:t>
      </w:r>
      <w:r>
        <w:t xml:space="preserve"> </w:t>
      </w:r>
      <w:r>
        <w:rPr>
          <w:i/>
          <w:iCs/>
        </w:rPr>
        <w:t xml:space="preserve">n</w:t>
      </w:r>
      <w:r>
        <w:t xml:space="preserve"> </w:t>
      </w:r>
      <w:r>
        <w:t xml:space="preserve">= 300) did not differ materially from the complete-case estimate.</w:t>
      </w:r>
    </w:p>
    <w:p>
      <w:pPr>
        <w:pStyle w:val="BodyText"/>
      </w:pPr>
      <w:r>
        <w:rPr>
          <w:b/>
          <w:bCs/>
        </w:rPr>
        <w:t xml:space="preserve">Table 8</w:t>
      </w:r>
      <w:r>
        <w:t xml:space="preserve"> </w:t>
      </w:r>
      <w:r>
        <w:rPr>
          <w:i/>
          <w:iCs/>
        </w:rPr>
        <w:t xml:space="preserve">Robustness checks for the association between the stigma index and PHQ-4 scores</w:t>
      </w:r>
    </w:p>
    <w:tbl>
      <w:tblPr>
        <w:tblStyle w:val="Table"/>
        <w:tblW w:type="pct" w:w="5000"/>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584"/>
        <w:gridCol w:w="1584"/>
        <w:gridCol w:w="1584"/>
        <w:gridCol w:w="1584"/>
        <w:gridCol w:w="1584"/>
      </w:tblGrid>
      <w:tr>
        <w:trPr>
          <w:tblHeader w:val="on"/>
        </w:trPr>
        <w:tc>
          <w:tcPr>
            <w:tcBorders>
              <w:bottom w:val="single" w:sz="6" w:space="0" w:color="000000"/>
            </w:tcBorders>
          </w:tcPr>
          <w:p>
            <w:pPr>
              <w:pStyle w:val="Compact"/>
            </w:pPr>
            <w:r>
              <w:rPr>
                <w:rFonts w:ascii="Times New Roman" w:hAnsi="Times New Roman"/>
                <w:sz w:val="20"/>
              </w:rPr>
              <w:t xml:space="preserve">Check</w:t>
            </w:r>
          </w:p>
        </w:tc>
        <w:tc>
          <w:tcPr>
            <w:tcBorders>
              <w:bottom w:val="single" w:sz="6" w:space="0" w:color="000000"/>
            </w:tcBorders>
          </w:tcPr>
          <w:p>
            <w:pPr>
              <w:pStyle w:val="Compact"/>
            </w:pPr>
            <w:r>
              <w:rPr>
                <w:rFonts w:ascii="Times New Roman" w:hAnsi="Times New Roman"/>
                <w:i/>
                <w:iCs/>
                <w:sz w:val="20"/>
              </w:rPr>
              <w:t xml:space="preserve">n</w:t>
            </w:r>
          </w:p>
        </w:tc>
        <w:tc>
          <w:tcPr>
            <w:tcBorders>
              <w:bottom w:val="single" w:sz="6" w:space="0" w:color="000000"/>
            </w:tcBorders>
          </w:tcPr>
          <w:p>
            <w:pPr>
              <w:pStyle w:val="Compact"/>
            </w:pPr>
            <w:r>
              <w:rPr>
                <w:rFonts w:ascii="Times New Roman" w:hAnsi="Times New Roman"/>
                <w:sz w:val="20"/>
              </w:rPr>
              <w:t xml:space="preserve">η</w:t>
            </w:r>
          </w:p>
        </w:tc>
        <w:tc>
          <w:tcPr>
            <w:tcBorders>
              <w:bottom w:val="single" w:sz="6" w:space="0" w:color="000000"/>
            </w:tcBorders>
          </w:tcPr>
          <w:p>
            <w:pPr>
              <w:pStyle w:val="Compact"/>
            </w:pPr>
            <w:r>
              <w:rPr>
                <w:rFonts w:ascii="Times New Roman" w:hAnsi="Times New Roman"/>
                <w:sz w:val="20"/>
              </w:rPr>
              <w:t xml:space="preserve">95% CI</w:t>
            </w:r>
          </w:p>
        </w:tc>
        <w:tc>
          <w:tcPr>
            <w:tcBorders>
              <w:bottom w:val="single" w:sz="6" w:space="0" w:color="000000"/>
            </w:tcBorders>
          </w:tcPr>
          <w:p>
            <w:pPr>
              <w:pStyle w:val="Compact"/>
            </w:pPr>
            <w:r>
              <w:rPr>
                <w:rFonts w:ascii="Times New Roman" w:hAnsi="Times New Roman"/>
                <w:i/>
                <w:iCs/>
                <w:sz w:val="20"/>
              </w:rPr>
              <w:t xml:space="preserve">p</w:t>
            </w:r>
          </w:p>
        </w:tc>
      </w:tr>
      <w:tr>
        <w:tc>
          <w:tcPr/>
          <w:p>
            <w:pPr>
              <w:pStyle w:val="Compact"/>
            </w:pPr>
            <w:r>
              <w:rPr>
                <w:rFonts w:ascii="Times New Roman" w:hAnsi="Times New Roman"/>
                <w:sz w:val="20"/>
              </w:rPr>
              <w:t xml:space="preserve">Main specification</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1.85</w:t>
            </w:r>
          </w:p>
        </w:tc>
        <w:tc>
          <w:tcPr/>
          <w:p>
            <w:pPr>
              <w:pStyle w:val="Compact"/>
            </w:pPr>
            <w:r>
              <w:rPr>
                <w:rFonts w:ascii="Times New Roman" w:hAnsi="Times New Roman"/>
                <w:sz w:val="20"/>
              </w:rPr>
              <w:t xml:space="preserve">[0.71, 2.99]</w:t>
            </w:r>
          </w:p>
        </w:tc>
        <w:tc>
          <w:tcPr/>
          <w:p>
            <w:pPr>
              <w:pStyle w:val="Compact"/>
            </w:pPr>
            <w:r>
              <w:rPr>
                <w:rFonts w:ascii="Times New Roman" w:hAnsi="Times New Roman"/>
                <w:sz w:val="20"/>
              </w:rPr>
              <w:t xml:space="preserve">.002</w:t>
            </w:r>
          </w:p>
        </w:tc>
      </w:tr>
      <w:tr>
        <w:tc>
          <w:tcPr/>
          <w:p>
            <w:pPr>
              <w:pStyle w:val="Compact"/>
            </w:pPr>
            <w:r>
              <w:rPr>
                <w:rFonts w:ascii="Times New Roman" w:hAnsi="Times New Roman"/>
                <w:sz w:val="20"/>
              </w:rPr>
              <w:t xml:space="preserve">1. Adding job characteristics (Xᴶ)</w:t>
            </w:r>
          </w:p>
        </w:tc>
        <w:tc>
          <w:tcPr/>
          <w:p>
            <w:pPr>
              <w:pStyle w:val="Compact"/>
            </w:pPr>
            <w:r>
              <w:rPr>
                <w:rFonts w:ascii="Times New Roman" w:hAnsi="Times New Roman"/>
                <w:sz w:val="20"/>
              </w:rPr>
              <w:t xml:space="preserve">206</w:t>
            </w:r>
          </w:p>
        </w:tc>
        <w:tc>
          <w:tcPr/>
          <w:p>
            <w:pPr>
              <w:pStyle w:val="Compact"/>
            </w:pPr>
            <w:r>
              <w:rPr>
                <w:rFonts w:ascii="Times New Roman" w:hAnsi="Times New Roman"/>
                <w:sz w:val="20"/>
              </w:rPr>
              <w:t xml:space="preserve">1.95</w:t>
            </w:r>
          </w:p>
        </w:tc>
        <w:tc>
          <w:tcPr/>
          <w:p>
            <w:pPr>
              <w:pStyle w:val="Compact"/>
            </w:pPr>
            <w:r>
              <w:rPr>
                <w:rFonts w:ascii="Times New Roman" w:hAnsi="Times New Roman"/>
                <w:sz w:val="20"/>
              </w:rPr>
              <w:t xml:space="preserve">[0.52, 3.37]</w:t>
            </w:r>
          </w:p>
        </w:tc>
        <w:tc>
          <w:tcPr/>
          <w:p>
            <w:pPr>
              <w:pStyle w:val="Compact"/>
            </w:pPr>
            <w:r>
              <w:rPr>
                <w:rFonts w:ascii="Times New Roman" w:hAnsi="Times New Roman"/>
                <w:sz w:val="20"/>
              </w:rPr>
              <w:t xml:space="preserve">.008</w:t>
            </w:r>
          </w:p>
        </w:tc>
      </w:tr>
      <w:tr>
        <w:tc>
          <w:tcPr/>
          <w:p>
            <w:pPr>
              <w:pStyle w:val="Compact"/>
            </w:pPr>
            <w:r>
              <w:rPr>
                <w:rFonts w:ascii="Times New Roman" w:hAnsi="Times New Roman"/>
                <w:sz w:val="20"/>
              </w:rPr>
              <w:t xml:space="preserve">2.</w:t>
            </w:r>
            <w:r>
              <w:rPr>
                <w:rFonts w:ascii="Times New Roman" w:hAnsi="Times New Roman"/>
                <w:sz w:val="20"/>
              </w:rPr>
              <w:t xml:space="preserve"> </w:t>
            </w:r>
            <w:r>
              <w:rPr>
                <w:rFonts w:ascii="Times New Roman" w:hAnsi="Times New Roman"/>
                <w:sz w:val="20"/>
              </w:rPr>
              <w:t xml:space="preserve">“Prefer not to answer”</w:t>
            </w:r>
            <w:r>
              <w:rPr>
                <w:rFonts w:ascii="Times New Roman" w:hAnsi="Times New Roman"/>
                <w:sz w:val="20"/>
              </w:rPr>
              <w:t xml:space="preserve"> </w:t>
            </w:r>
            <w:r>
              <w:rPr>
                <w:rFonts w:ascii="Times New Roman" w:hAnsi="Times New Roman"/>
                <w:sz w:val="20"/>
              </w:rPr>
              <w:t xml:space="preserve">as missing</w:t>
            </w:r>
          </w:p>
        </w:tc>
        <w:tc>
          <w:tcPr/>
          <w:p>
            <w:pPr>
              <w:pStyle w:val="Compact"/>
            </w:pPr>
            <w:r>
              <w:rPr>
                <w:rFonts w:ascii="Times New Roman" w:hAnsi="Times New Roman"/>
                <w:sz w:val="20"/>
              </w:rPr>
              <w:t xml:space="preserve">226</w:t>
            </w:r>
          </w:p>
        </w:tc>
        <w:tc>
          <w:tcPr/>
          <w:p>
            <w:pPr>
              <w:pStyle w:val="Compact"/>
            </w:pPr>
            <w:r>
              <w:rPr>
                <w:rFonts w:ascii="Times New Roman" w:hAnsi="Times New Roman"/>
                <w:sz w:val="20"/>
              </w:rPr>
              <w:t xml:space="preserve">1.94</w:t>
            </w:r>
          </w:p>
        </w:tc>
        <w:tc>
          <w:tcPr/>
          <w:p>
            <w:pPr>
              <w:pStyle w:val="Compact"/>
            </w:pPr>
            <w:r>
              <w:rPr>
                <w:rFonts w:ascii="Times New Roman" w:hAnsi="Times New Roman"/>
                <w:sz w:val="20"/>
              </w:rPr>
              <w:t xml:space="preserve">[0.78, 3.10]</w:t>
            </w:r>
          </w:p>
        </w:tc>
        <w:tc>
          <w:tcPr/>
          <w:p>
            <w:pPr>
              <w:pStyle w:val="Compact"/>
            </w:pPr>
            <w:r>
              <w:rPr>
                <w:rFonts w:ascii="Times New Roman" w:hAnsi="Times New Roman"/>
                <w:sz w:val="20"/>
              </w:rPr>
              <w:t xml:space="preserve">.001</w:t>
            </w:r>
          </w:p>
        </w:tc>
      </w:tr>
      <w:tr>
        <w:tc>
          <w:tcPr/>
          <w:p>
            <w:pPr>
              <w:pStyle w:val="Compact"/>
            </w:pPr>
            <w:r>
              <w:rPr>
                <w:rFonts w:ascii="Times New Roman" w:hAnsi="Times New Roman"/>
                <w:sz w:val="20"/>
              </w:rPr>
              <w:t xml:space="preserve">3a. Any exposure (indicator)</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0.95</w:t>
            </w:r>
          </w:p>
        </w:tc>
        <w:tc>
          <w:tcPr/>
          <w:p>
            <w:pPr>
              <w:pStyle w:val="Compact"/>
            </w:pPr>
            <w:r>
              <w:rPr>
                <w:rFonts w:ascii="Times New Roman" w:hAnsi="Times New Roman"/>
                <w:sz w:val="20"/>
              </w:rPr>
              <w:t xml:space="preserve">[−0.32, 2.22]</w:t>
            </w:r>
          </w:p>
        </w:tc>
        <w:tc>
          <w:tcPr/>
          <w:p>
            <w:pPr>
              <w:pStyle w:val="Compact"/>
            </w:pPr>
            <w:r>
              <w:rPr>
                <w:rFonts w:ascii="Times New Roman" w:hAnsi="Times New Roman"/>
                <w:sz w:val="20"/>
              </w:rPr>
              <w:t xml:space="preserve">.141</w:t>
            </w:r>
          </w:p>
        </w:tc>
      </w:tr>
      <w:tr>
        <w:tc>
          <w:tcPr/>
          <w:p>
            <w:pPr>
              <w:pStyle w:val="Compact"/>
            </w:pPr>
            <w:r>
              <w:rPr>
                <w:rFonts w:ascii="Times New Roman" w:hAnsi="Times New Roman"/>
                <w:sz w:val="20"/>
              </w:rPr>
              <w:t xml:space="preserve">3b. Intensity among exposed, same model</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1.24</w:t>
            </w:r>
          </w:p>
        </w:tc>
        <w:tc>
          <w:tcPr/>
          <w:p>
            <w:pPr>
              <w:pStyle w:val="Compact"/>
            </w:pPr>
            <w:r>
              <w:rPr>
                <w:rFonts w:ascii="Times New Roman" w:hAnsi="Times New Roman"/>
                <w:sz w:val="20"/>
              </w:rPr>
              <w:t xml:space="preserve">[−0.24, 2.72]</w:t>
            </w:r>
          </w:p>
        </w:tc>
        <w:tc>
          <w:tcPr/>
          <w:p>
            <w:pPr>
              <w:pStyle w:val="Compact"/>
            </w:pPr>
            <w:r>
              <w:rPr>
                <w:rFonts w:ascii="Times New Roman" w:hAnsi="Times New Roman"/>
                <w:sz w:val="20"/>
              </w:rPr>
              <w:t xml:space="preserve">.099</w:t>
            </w:r>
          </w:p>
        </w:tc>
      </w:tr>
      <w:tr>
        <w:tc>
          <w:tcPr/>
          <w:p>
            <w:pPr>
              <w:pStyle w:val="Compact"/>
            </w:pPr>
            <w:r>
              <w:rPr>
                <w:rFonts w:ascii="Times New Roman" w:hAnsi="Times New Roman"/>
                <w:sz w:val="20"/>
              </w:rPr>
              <w:t xml:space="preserve">3c. Restricted cubic spline, test of nonlinearity</w:t>
            </w:r>
          </w:p>
        </w:tc>
        <w:tc>
          <w:tcPr/>
          <w:p>
            <w:pPr>
              <w:pStyle w:val="Compact"/>
            </w:pPr>
            <w:r>
              <w:rPr>
                <w:rFonts w:ascii="Times New Roman" w:hAnsi="Times New Roman"/>
                <w:sz w:val="20"/>
              </w:rPr>
              <w:t xml:space="preserve">235</w:t>
            </w:r>
          </w:p>
        </w:tc>
        <w:tc>
          <w:tcPr/>
          <w:p>
            <w:pPr>
              <w:pStyle w:val="Compact"/>
            </w:pPr>
          </w:p>
        </w:tc>
        <w:tc>
          <w:tcPr/>
          <w:p>
            <w:pPr>
              <w:pStyle w:val="Compact"/>
            </w:pPr>
          </w:p>
        </w:tc>
        <w:tc>
          <w:tcPr/>
          <w:p>
            <w:pPr>
              <w:pStyle w:val="Compact"/>
            </w:pPr>
            <w:r>
              <w:rPr>
                <w:rFonts w:ascii="Times New Roman" w:hAnsi="Times New Roman"/>
                <w:sz w:val="20"/>
              </w:rPr>
              <w:t xml:space="preserve">.335</w:t>
            </w:r>
          </w:p>
        </w:tc>
      </w:tr>
      <w:tr>
        <w:tc>
          <w:tcPr/>
          <w:p>
            <w:pPr>
              <w:pStyle w:val="Compact"/>
            </w:pPr>
            <w:r>
              <w:rPr>
                <w:rFonts w:ascii="Times New Roman" w:hAnsi="Times New Roman"/>
                <w:sz w:val="20"/>
              </w:rPr>
              <w:t xml:space="preserve">4. Fractional logit, AME × 12</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1.71</w:t>
            </w:r>
          </w:p>
        </w:tc>
        <w:tc>
          <w:tcPr/>
          <w:p>
            <w:pPr>
              <w:pStyle w:val="Compact"/>
            </w:pPr>
            <w:r>
              <w:rPr>
                <w:rFonts w:ascii="Times New Roman" w:hAnsi="Times New Roman"/>
                <w:sz w:val="20"/>
              </w:rPr>
              <w:t xml:space="preserve">[0.90, 2.53]</w:t>
            </w:r>
          </w:p>
        </w:tc>
        <w:tc>
          <w:tcPr/>
          <w:p>
            <w:pPr>
              <w:pStyle w:val="Compact"/>
            </w:pPr>
            <w:r>
              <w:rPr>
                <w:rFonts w:ascii="Times New Roman" w:hAnsi="Times New Roman"/>
                <w:sz w:val="20"/>
              </w:rPr>
              <w:t xml:space="preserve">&lt; .001</w:t>
            </w:r>
          </w:p>
        </w:tc>
      </w:tr>
      <w:tr>
        <w:tc>
          <w:tcPr/>
          <w:p>
            <w:pPr>
              <w:pStyle w:val="Compact"/>
            </w:pPr>
            <w:r>
              <w:rPr>
                <w:rFonts w:ascii="Times New Roman" w:hAnsi="Times New Roman"/>
                <w:sz w:val="20"/>
              </w:rPr>
              <w:t xml:space="preserve">5. Multiple imputation (</w:t>
            </w:r>
            <w:r>
              <w:rPr>
                <w:rFonts w:ascii="Times New Roman" w:hAnsi="Times New Roman"/>
                <w:i/>
                <w:iCs/>
                <w:sz w:val="20"/>
              </w:rPr>
              <w:t xml:space="preserve">m</w:t>
            </w:r>
            <w:r>
              <w:rPr>
                <w:rFonts w:ascii="Times New Roman" w:hAnsi="Times New Roman"/>
                <w:sz w:val="20"/>
              </w:rPr>
              <w:t xml:space="preserve"> </w:t>
            </w:r>
            <w:r>
              <w:rPr>
                <w:rFonts w:ascii="Times New Roman" w:hAnsi="Times New Roman"/>
                <w:sz w:val="20"/>
              </w:rPr>
              <w:t xml:space="preserve">= 20)</w:t>
            </w:r>
          </w:p>
        </w:tc>
        <w:tc>
          <w:tcPr/>
          <w:p>
            <w:pPr>
              <w:pStyle w:val="Compact"/>
            </w:pPr>
            <w:r>
              <w:rPr>
                <w:rFonts w:ascii="Times New Roman" w:hAnsi="Times New Roman"/>
                <w:sz w:val="20"/>
              </w:rPr>
              <w:t xml:space="preserve">300</w:t>
            </w:r>
          </w:p>
        </w:tc>
        <w:tc>
          <w:tcPr/>
          <w:p>
            <w:pPr>
              <w:pStyle w:val="Compact"/>
            </w:pPr>
            <w:r>
              <w:rPr>
                <w:rFonts w:ascii="Times New Roman" w:hAnsi="Times New Roman"/>
                <w:sz w:val="20"/>
              </w:rPr>
              <w:t xml:space="preserve">[to be updated]</w:t>
            </w:r>
          </w:p>
        </w:tc>
        <w:tc>
          <w:tcPr/>
          <w:p>
            <w:pPr>
              <w:pStyle w:val="Compact"/>
            </w:pPr>
            <w:r>
              <w:rPr>
                <w:rFonts w:ascii="Times New Roman" w:hAnsi="Times New Roman"/>
                <w:sz w:val="20"/>
              </w:rPr>
              <w:t xml:space="preserve">[to be updated]</w:t>
            </w:r>
          </w:p>
        </w:tc>
        <w:tc>
          <w:tcPr/>
          <w:p>
            <w:pPr>
              <w:pStyle w:val="Compact"/>
            </w:pPr>
            <w:r>
              <w:rPr>
                <w:rFonts w:ascii="Times New Roman" w:hAnsi="Times New Roman"/>
                <w:sz w:val="20"/>
              </w:rPr>
              <w:t xml:space="preserve">[to be updated]</w:t>
            </w:r>
          </w:p>
        </w:tc>
      </w:tr>
      <w:tr>
        <w:tc>
          <w:tcPr/>
          <w:p>
            <w:pPr>
              <w:pStyle w:val="Compact"/>
            </w:pPr>
            <w:r>
              <w:rPr>
                <w:rFonts w:ascii="Times New Roman" w:hAnsi="Times New Roman"/>
                <w:sz w:val="20"/>
              </w:rPr>
              <w:t xml:space="preserve">6. Excluding flagged responses</w:t>
            </w:r>
          </w:p>
        </w:tc>
        <w:tc>
          <w:tcPr/>
          <w:p>
            <w:pPr>
              <w:pStyle w:val="Compact"/>
            </w:pPr>
            <w:r>
              <w:rPr>
                <w:rFonts w:ascii="Times New Roman" w:hAnsi="Times New Roman"/>
                <w:sz w:val="20"/>
              </w:rPr>
              <w:t xml:space="preserve">223</w:t>
            </w:r>
          </w:p>
        </w:tc>
        <w:tc>
          <w:tcPr/>
          <w:p>
            <w:pPr>
              <w:pStyle w:val="Compact"/>
            </w:pPr>
            <w:r>
              <w:rPr>
                <w:rFonts w:ascii="Times New Roman" w:hAnsi="Times New Roman"/>
                <w:sz w:val="20"/>
              </w:rPr>
              <w:t xml:space="preserve">1.89</w:t>
            </w:r>
          </w:p>
        </w:tc>
        <w:tc>
          <w:tcPr/>
          <w:p>
            <w:pPr>
              <w:pStyle w:val="Compact"/>
            </w:pPr>
            <w:r>
              <w:rPr>
                <w:rFonts w:ascii="Times New Roman" w:hAnsi="Times New Roman"/>
                <w:sz w:val="20"/>
              </w:rPr>
              <w:t xml:space="preserve">[0.70, 3.07]</w:t>
            </w:r>
          </w:p>
        </w:tc>
        <w:tc>
          <w:tcPr/>
          <w:p>
            <w:pPr>
              <w:pStyle w:val="Compact"/>
            </w:pPr>
            <w:r>
              <w:rPr>
                <w:rFonts w:ascii="Times New Roman" w:hAnsi="Times New Roman"/>
                <w:sz w:val="20"/>
              </w:rPr>
              <w:t xml:space="preserve">.002</w:t>
            </w:r>
          </w:p>
        </w:tc>
      </w:tr>
      <w:tr>
        <w:tc>
          <w:tcPr/>
          <w:p>
            <w:pPr>
              <w:pStyle w:val="Compact"/>
            </w:pPr>
            <w:r>
              <w:rPr>
                <w:rFonts w:ascii="Times New Roman" w:hAnsi="Times New Roman"/>
                <w:sz w:val="20"/>
              </w:rPr>
              <w:t xml:space="preserve">7. Excluding Cook’s distance &gt; 4/</w:t>
            </w:r>
            <w:r>
              <w:rPr>
                <w:rFonts w:ascii="Times New Roman" w:hAnsi="Times New Roman"/>
                <w:i/>
                <w:iCs/>
                <w:sz w:val="20"/>
              </w:rPr>
              <w:t xml:space="preserve">n</w:t>
            </w:r>
          </w:p>
        </w:tc>
        <w:tc>
          <w:tcPr/>
          <w:p>
            <w:pPr>
              <w:pStyle w:val="Compact"/>
            </w:pPr>
            <w:r>
              <w:rPr>
                <w:rFonts w:ascii="Times New Roman" w:hAnsi="Times New Roman"/>
                <w:sz w:val="20"/>
              </w:rPr>
              <w:t xml:space="preserve">216</w:t>
            </w:r>
          </w:p>
        </w:tc>
        <w:tc>
          <w:tcPr/>
          <w:p>
            <w:pPr>
              <w:pStyle w:val="Compact"/>
            </w:pPr>
            <w:r>
              <w:rPr>
                <w:rFonts w:ascii="Times New Roman" w:hAnsi="Times New Roman"/>
                <w:sz w:val="20"/>
              </w:rPr>
              <w:t xml:space="preserve">1.56</w:t>
            </w:r>
          </w:p>
        </w:tc>
        <w:tc>
          <w:tcPr/>
          <w:p>
            <w:pPr>
              <w:pStyle w:val="Compact"/>
            </w:pPr>
            <w:r>
              <w:rPr>
                <w:rFonts w:ascii="Times New Roman" w:hAnsi="Times New Roman"/>
                <w:sz w:val="20"/>
              </w:rPr>
              <w:t xml:space="preserve">[0.66, 2.46]</w:t>
            </w:r>
          </w:p>
        </w:tc>
        <w:tc>
          <w:tcPr/>
          <w:p>
            <w:pPr>
              <w:pStyle w:val="Compact"/>
            </w:pPr>
            <w:r>
              <w:rPr>
                <w:rFonts w:ascii="Times New Roman" w:hAnsi="Times New Roman"/>
                <w:sz w:val="20"/>
              </w:rPr>
              <w:t xml:space="preserve">&lt; .001</w:t>
            </w:r>
          </w:p>
        </w:tc>
      </w:tr>
      <w:tr>
        <w:tc>
          <w:tcPr/>
          <w:p>
            <w:pPr>
              <w:pStyle w:val="Compact"/>
            </w:pPr>
            <w:r>
              <w:rPr>
                <w:rFonts w:ascii="Times New Roman" w:hAnsi="Times New Roman"/>
                <w:sz w:val="20"/>
              </w:rPr>
              <w:t xml:space="preserve">8. Restricted wild bootstrap (Webb, 9,999)</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1.85</w:t>
            </w:r>
          </w:p>
        </w:tc>
        <w:tc>
          <w:tcPr/>
          <w:p>
            <w:pPr>
              <w:pStyle w:val="Compact"/>
            </w:pPr>
            <w:r>
              <w:rPr>
                <w:rFonts w:ascii="Times New Roman" w:hAnsi="Times New Roman"/>
                <w:sz w:val="20"/>
              </w:rPr>
              <w:t xml:space="preserve">[0.75, 3.05]</w:t>
            </w:r>
          </w:p>
        </w:tc>
        <w:tc>
          <w:tcPr/>
          <w:p>
            <w:pPr>
              <w:pStyle w:val="Compact"/>
            </w:pPr>
            <w:r>
              <w:rPr>
                <w:rFonts w:ascii="Times New Roman" w:hAnsi="Times New Roman"/>
                <w:sz w:val="20"/>
              </w:rPr>
              <w:t xml:space="preserve">.001</w:t>
            </w:r>
          </w:p>
        </w:tc>
      </w:tr>
      <w:tr>
        <w:tc>
          <w:tcPr/>
          <w:p>
            <w:pPr>
              <w:pStyle w:val="Compact"/>
            </w:pPr>
            <w:r>
              <w:rPr>
                <w:rFonts w:ascii="Times New Roman" w:hAnsi="Times New Roman"/>
                <w:sz w:val="20"/>
              </w:rPr>
              <w:t xml:space="preserve">9. Covariates without industry</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1.83</w:t>
            </w:r>
          </w:p>
        </w:tc>
        <w:tc>
          <w:tcPr/>
          <w:p>
            <w:pPr>
              <w:pStyle w:val="Compact"/>
            </w:pPr>
            <w:r>
              <w:rPr>
                <w:rFonts w:ascii="Times New Roman" w:hAnsi="Times New Roman"/>
                <w:sz w:val="20"/>
              </w:rPr>
              <w:t xml:space="preserve">[0.71, 2.95]</w:t>
            </w:r>
          </w:p>
        </w:tc>
        <w:tc>
          <w:tcPr/>
          <w:p>
            <w:pPr>
              <w:pStyle w:val="Compact"/>
            </w:pPr>
            <w:r>
              <w:rPr>
                <w:rFonts w:ascii="Times New Roman" w:hAnsi="Times New Roman"/>
                <w:sz w:val="20"/>
              </w:rPr>
              <w:t xml:space="preserve">.002</w:t>
            </w:r>
          </w:p>
        </w:tc>
      </w:tr>
    </w:tbl>
    <w:p>
      <w:pPr>
        <w:pStyle w:val="BodyText"/>
      </w:pPr>
      <w:r>
        <w:rPr>
          <w:i/>
          <w:iCs/>
        </w:rPr>
        <w:t xml:space="preserve">Note.</w:t>
      </w:r>
      <w:r>
        <w:t xml:space="preserve"> </w:t>
      </w:r>
      <w:r>
        <w:t xml:space="preserve">All models adjust for pre-exposure characteristics and use HC3 standard errors unless stated otherwise. AME = average marginal effect. Check 5 uses Rubin’s rules; checks 4 and 8 report</w:t>
      </w:r>
      <w:r>
        <w:t xml:space="preserve"> </w:t>
      </w:r>
      <w:r>
        <w:rPr>
          <w:i/>
          <w:iCs/>
        </w:rPr>
        <w:t xml:space="preserve">z</w:t>
      </w:r>
      <w:r>
        <w:t xml:space="preserve">-based and bootstrap intervals, respectively.</w:t>
      </w:r>
    </w:p>
    <w:p>
      <w:pPr>
        <w:pStyle w:val="BodyText"/>
      </w:pPr>
      <w:r>
        <w:t xml:space="preserve">The diagnostics of the main model indicated heteroskedasticity (Breusch-Pagan χ²(1) = 11.94,</w:t>
      </w:r>
      <w:r>
        <w:t xml:space="preserve"> </w:t>
      </w:r>
      <w:r>
        <w:rPr>
          <w:i/>
          <w:iCs/>
        </w:rPr>
        <w:t xml:space="preserve">p</w:t>
      </w:r>
      <w:r>
        <w:t xml:space="preserve"> </w:t>
      </w:r>
      <w:r>
        <w:t xml:space="preserve">&lt; .001), which the HC3 standard errors address. The RESET test gave</w:t>
      </w:r>
      <w:r>
        <w:t xml:space="preserve"> </w:t>
      </w:r>
      <w:r>
        <w:rPr>
          <w:i/>
          <w:iCs/>
        </w:rPr>
        <w:t xml:space="preserve">F</w:t>
      </w:r>
      <w:r>
        <w:t xml:space="preserve">(3, 206) = 2.34,</w:t>
      </w:r>
      <w:r>
        <w:t xml:space="preserve"> </w:t>
      </w:r>
      <w:r>
        <w:rPr>
          <w:i/>
          <w:iCs/>
        </w:rPr>
        <w:t xml:space="preserve">p</w:t>
      </w:r>
      <w:r>
        <w:t xml:space="preserve"> </w:t>
      </w:r>
      <w:r>
        <w:t xml:space="preserve">= .075. Collinearity was low: all values of GVIF^1/(2df) were at most 1.24, except for sex assigned at birth (1.72), which overlaps with sexual orientation group. Nineteen observations had Cook’s distance above 4/</w:t>
      </w:r>
      <w:r>
        <w:rPr>
          <w:i/>
          <w:iCs/>
        </w:rPr>
        <w:t xml:space="preserve">n</w:t>
      </w:r>
      <w:r>
        <w:t xml:space="preserve"> </w:t>
      </w:r>
      <w:r>
        <w:t xml:space="preserve">and 15 had leverage above 2</w:t>
      </w:r>
      <w:r>
        <w:rPr>
          <w:i/>
          <w:iCs/>
        </w:rPr>
        <w:t xml:space="preserve">k</w:t>
      </w:r>
      <w:r>
        <w:t xml:space="preserve">/</w:t>
      </w:r>
      <w:r>
        <w:rPr>
          <w:i/>
          <w:iCs/>
        </w:rPr>
        <w:t xml:space="preserve">n</w:t>
      </w:r>
      <w:r>
        <w:t xml:space="preserve">; the largest leverage was 0.29 (Table S2).</w:t>
      </w:r>
    </w:p>
    <w:p>
      <w:pPr>
        <w:pStyle w:val="BodyText"/>
      </w:pPr>
      <w:r>
        <w:t xml:space="preserve">All 32 specifications of the specification curve produced positive estimates (Figure 2; Table S5). Expressed per standard deviation of the respective index, they ranged from 0.81 to 1.23 PHQ-4 points, compared with 0.86 in the main specification. The 95% interval excluded zero in 28 specifications. Each of the four exceptions combined two choices: restricting the index to respondents who answered all eight situations, and adding job characteristics. Together these choices reduced the sample to between 85 and 96 respondents. No other choice changed the inferential conclusion, and the seven-situation index gave estimates close to those of the main index.</w:t>
      </w:r>
    </w:p>
    <w:p>
      <w:pPr>
        <w:pStyle w:val="BodyText"/>
      </w:pPr>
      <w:r>
        <w:rPr>
          <w:b/>
          <w:bCs/>
        </w:rPr>
        <w:t xml:space="preserve">Figure 2</w:t>
      </w:r>
      <w:r>
        <w:t xml:space="preserve"> </w:t>
      </w:r>
      <w:r>
        <w:rPr>
          <w:i/>
          <w:iCs/>
        </w:rPr>
        <w:t xml:space="preserve">Specification curve</w:t>
      </w:r>
    </w:p>
    <w:p>
      <w:pPr>
        <w:pStyle w:val="BodyText"/>
      </w:pPr>
      <w:r>
        <w:drawing>
          <wp:inline>
            <wp:extent cx="5334000" cy="3674533"/>
            <wp:effectExtent b="0" l="0" r="0" t="0"/>
            <wp:docPr descr="Specification curve" title="" id="39" name="Picture"/>
            <a:graphic>
              <a:graphicData uri="http://schemas.openxmlformats.org/drawingml/2006/picture">
                <pic:pic>
                  <pic:nvPicPr>
                    <pic:cNvPr descr="figures/fig2_specification_curve.png" id="40" name="Picture"/>
                    <pic:cNvPicPr>
                      <a:picLocks noChangeArrowheads="1" noChangeAspect="1"/>
                    </pic:cNvPicPr>
                  </pic:nvPicPr>
                  <pic:blipFill>
                    <a:blip r:embed="rId38"/>
                    <a:stretch>
                      <a:fillRect/>
                    </a:stretch>
                  </pic:blipFill>
                  <pic:spPr bwMode="auto">
                    <a:xfrm>
                      <a:off x="0" y="0"/>
                      <a:ext cx="5334000" cy="3674533"/>
                    </a:xfrm>
                    <a:prstGeom prst="rect">
                      <a:avLst/>
                    </a:prstGeom>
                    <a:noFill/>
                    <a:ln w="9525">
                      <a:noFill/>
                      <a:headEnd/>
                      <a:tailEnd/>
                    </a:ln>
                  </pic:spPr>
                </pic:pic>
              </a:graphicData>
            </a:graphic>
          </wp:inline>
        </w:drawing>
      </w:r>
    </w:p>
    <w:p>
      <w:pPr>
        <w:pStyle w:val="BodyText"/>
      </w:pPr>
      <w:r>
        <w:rPr>
          <w:i/>
          <w:iCs/>
        </w:rPr>
        <w:t xml:space="preserve">Note.</w:t>
      </w:r>
      <w:r>
        <w:t xml:space="preserve"> </w:t>
      </w:r>
      <w:r>
        <w:t xml:space="preserve">The upper panel shows the estimated difference in PHQ-4 scores per standard deviation of the stigma index, with 95% confidence intervals, for 32 specifications ranked by the estimate. The lower panel marks the choices made in each specification.</w:t>
      </w:r>
      <w:r>
        <w:t xml:space="preserve"> </w:t>
      </w:r>
      <w:r>
        <w:t xml:space="preserve">“LGBT: self-identification + SOGI”</w:t>
      </w:r>
      <w:r>
        <w:t xml:space="preserve"> </w:t>
      </w:r>
      <w:r>
        <w:t xml:space="preserve">requires both LGBT self-identification and a non-heterosexual orientation or a minority gender identity. Sparse covariate categories were merged in the main estimation samples, not separately within each specification.</w:t>
      </w:r>
    </w:p>
    <w:p>
      <w:pPr>
        <w:pStyle w:val="BodyText"/>
      </w:pPr>
      <w:r>
        <w:t xml:space="preserve">In the sensitivity analysis (Table S3), the stigma index accounted for 6.9% of the residual variance in PHQ-4 scores. An unmeasured confounder would have to explain 23.7% of the residual variance of both the stigma index and PHQ-4 scores to reduce the estimate to zero, and 12.6% to make the 95% interval include zero. Education, entered as a group, explained 1.0% of the residual variance of the stigma index and 2.9% of the residual variance of PHQ-4 scores. A confounder three times as strong as education would reduce the estimate to 1.49 (95% CI [0.59, 2.38]). Sex assigned at birth explained almost none of the variance in the stigma index, so it provides a negligible benchmark. These values use classical standard errors and serve as indicators rather than as HC3-based tests.</w:t>
      </w:r>
    </w:p>
    <w:p>
      <w:pPr>
        <w:pStyle w:val="BodyText"/>
      </w:pPr>
      <w:r>
        <w:t xml:space="preserve">In the post hoc analyses (Table S6), the unadjusted estimate was smaller (1.47, 95% CI [0.30, 2.65]), and adding disclosure at work (1.93), adding work experience (1.90), or omitting relationship status and region of work (1.83) changed the adjusted estimate little.</w:t>
      </w:r>
    </w:p>
    <w:p>
      <w:pPr>
        <w:pStyle w:val="BodyText"/>
      </w:pPr>
      <w:r>
        <w:t xml:space="preserve">Of the 272 respondents of the analytic sample, 37 lacked at least one pre-exposure covariate. Their mean PHQ-4 score was similar to that of respondents with complete covariates (3.76,</w:t>
      </w:r>
      <w:r>
        <w:t xml:space="preserve"> </w:t>
      </w:r>
      <w:r>
        <w:rPr>
          <w:i/>
          <w:iCs/>
        </w:rPr>
        <w:t xml:space="preserve">SD</w:t>
      </w:r>
      <w:r>
        <w:t xml:space="preserve"> </w:t>
      </w:r>
      <w:r>
        <w:t xml:space="preserve">= 3.48, vs. 3.43,</w:t>
      </w:r>
      <w:r>
        <w:t xml:space="preserve"> </w:t>
      </w:r>
      <w:r>
        <w:rPr>
          <w:i/>
          <w:iCs/>
        </w:rPr>
        <w:t xml:space="preserve">SD</w:t>
      </w:r>
      <w:r>
        <w:t xml:space="preserve"> </w:t>
      </w:r>
      <w:r>
        <w:t xml:space="preserve">= 3.25), and their mean stigma index was slightly lower (0.28 vs. 0.33). Of the 300 LGBT respondents, 22 did not complete the PHQ-4. Among the 19 of them with a valid stigma index, the mean index was 0.21, compared with 0.32 among respondents with complete PHQ-4 data.</w:t>
      </w:r>
    </w:p>
    <w:bookmarkEnd w:id="41"/>
    <w:bookmarkEnd w:id="42"/>
    <w:bookmarkStart w:id="48" w:name="discussion"/>
    <w:p>
      <w:pPr>
        <w:pStyle w:val="Heading1"/>
      </w:pPr>
      <w:r>
        <w:t xml:space="preserve">Discussion</w:t>
      </w:r>
    </w:p>
    <w:p>
      <w:pPr>
        <w:pStyle w:val="FirstParagraph"/>
      </w:pPr>
      <w:r>
        <w:t xml:space="preserve">This study asked which forms of enacted stigma LGBT workers in Vietnam experience at work and how these forms are associated with symptoms of anxiety and depression. More than half of the respondents reported at least one stigmatizing situation in the previous 12 months, and about one in four reported at least one often or very often. Interpersonal stigma, especially unwanted personal questions and offensive jokes, was the most common form. Workers who reported stigma more often reported more symptoms. The point estimate, about a quarter of a standard deviation in symptoms per standard deviation of stigma, exceeded the smallest effect size of interest, although the interval did not exclude slightly smaller values, and it changed little across covariate sets, codings of missing responses, estimators, influential-observation checks, and 32 alternative specifications. In exploratory analyses, the association was clear for interpersonal stigma and inconclusive for career-related and gender-expression stigma.</w:t>
      </w:r>
    </w:p>
    <w:bookmarkStart w:id="43" w:name="what-lgbt-workers-experience"/>
    <w:p>
      <w:pPr>
        <w:pStyle w:val="Heading2"/>
      </w:pPr>
      <w:r>
        <w:t xml:space="preserve">What LGBT Workers Experience</w:t>
      </w:r>
    </w:p>
    <w:p>
      <w:pPr>
        <w:pStyle w:val="FirstParagraph"/>
      </w:pPr>
      <w:r>
        <w:t xml:space="preserve">Stigma at work was common but mostly infrequent. Most exposed respondents reported one or two situations, and fewer than three in ten reported any situation often. The share reporting any situation (57.0%) is higher than the share of respondents in a national survey who felt discriminated against in any domain of life in the previous 12 months, about one in three (Institute for Studies of Society, Economy and Environment, 2015). The two figures are not directly comparable. Our measure includes behaviors such as intrusive questions and jokes, which respondents may not label as discrimination, and the samples were recruited differently.</w:t>
      </w:r>
    </w:p>
    <w:p>
      <w:pPr>
        <w:pStyle w:val="BodyText"/>
      </w:pPr>
      <w:r>
        <w:t xml:space="preserve">The pattern across forms is the clearest descriptive finding. Interpersonal stigma was reported more than twice as often as career-related stigma, which is the only form that Vietnam’s Labor Code would recognize as discrimination. This pattern resembles evidence that interpersonal bias persists where formal discrimination is not observed (Hebl et al., 2002). Three features of the setting and the measurement may contribute. First, interpersonal events are recognizable as they happen, whereas a decision about training or pay counts as stigma only if the worker attributes it to their identity, and workers often cannot see how colleagues were treated (Lewis et al., 2015). Second, where marriage between people of the same sex is not recognized (National Assembly of Vietnam, 2014), routine questions about romantic life and marriage plans may repeatedly confront LGBT workers with a choice between concealment and disclosure. Third, workers who conceal their identity may be spared stigma directed at it, so a low prevalence of some forms may partly reflect concealment rather than acceptance (Pachankis &amp; Bränström, 2018). Gender-expression stigma requires a specific caution. Situation 8 was left without a frequency by about one in five respondents, presumably because it applies mainly to transgender and nonbinary people, and its prevalence among the workers to whom it applies cannot be estimated from this sample.</w:t>
      </w:r>
    </w:p>
    <w:bookmarkEnd w:id="43"/>
    <w:bookmarkStart w:id="44" w:name="a-gradient-within-the-group"/>
    <w:p>
      <w:pPr>
        <w:pStyle w:val="Heading2"/>
      </w:pPr>
      <w:r>
        <w:t xml:space="preserve">A Gradient Within the Group</w:t>
      </w:r>
    </w:p>
    <w:p>
      <w:pPr>
        <w:pStyle w:val="FirstParagraph"/>
      </w:pPr>
      <w:r>
        <w:t xml:space="preserve">The within-group gradient is the prediction that separates the two readings described in the Introduction. Both an identity-based reading and a prejudice-based reading predict that LGBT people report more symptoms than heterosexual and cisgender people. Only the prejudice reading expects symptoms to vary with exposure to stigma among people who share an LGBT identity. The gradient observed here is therefore consistent with minority stress theory (I. H. Meyer, 2003) and with the theory’s account of distal stressors. It is not predicted by an account that locates distress in sexual or gender minority identity itself. The zero-order correlation between the stigma index and PHQ-4 scores (</w:t>
      </w:r>
      <w:r>
        <w:rPr>
          <w:i/>
          <w:iCs/>
        </w:rPr>
        <w:t xml:space="preserve">r</w:t>
      </w:r>
      <w:r>
        <w:t xml:space="preserve"> </w:t>
      </w:r>
      <w:r>
        <w:t xml:space="preserve">= .21) is of the same magnitude as the average association between perceived discrimination and well-being in the meta-analysis of Schmitt et al. (2014),</w:t>
      </w:r>
      <w:r>
        <w:t xml:space="preserve"> </w:t>
      </w:r>
      <w:r>
        <w:rPr>
          <w:i/>
          <w:iCs/>
        </w:rPr>
        <w:t xml:space="preserve">r</w:t>
      </w:r>
      <w:r>
        <w:t xml:space="preserve"> </w:t>
      </w:r>
      <w:r>
        <w:t xml:space="preserve">= −.23. The direction also matches workplace studies conducted in the United States (Velez et al., 2013; Waldo, 1999). The shape of the association was broadly linear: high exposure was associated with clearly higher scores, the spline gave no evidence of nonlinearity, and the data could not tell whether the association reflects having any experience of stigma or the frequency of such experiences.</w:t>
      </w:r>
    </w:p>
    <w:p>
      <w:pPr>
        <w:pStyle w:val="BodyText"/>
      </w:pPr>
      <w:r>
        <w:t xml:space="preserve">The gradient is necessary for the prejudice reading but not sufficient to establish that stigma raises symptoms. Three alternatives remain. First, the direction may run partly from symptoms to reports: people with more symptoms may recall or interpret more events as stigmatizing, or may be treated worse by colleagues. Second, a factor that the models did not measure, such as rejection by family or stigma in other domains of life, may shape both workplace experiences and symptoms. Third, because the stigma section immediately preceded the PHQ-4, recalling stigmatizing events may have raised the symptom ratings that followed (Schwarz, 1999). Our analyses address these alternatives only partly. The sensitivity analysis shows that a confounder would need to be several times as strongly related to stigma and symptoms as education to remove the association. It cannot show that no such confounder exists, and family rejection could plausibly be that strong. The data cannot separate the first and third alternatives from an influence of stigma on symptoms.</w:t>
      </w:r>
    </w:p>
    <w:bookmarkEnd w:id="44"/>
    <w:bookmarkStart w:id="45" w:name="which-forms-accompany-symptoms"/>
    <w:p>
      <w:pPr>
        <w:pStyle w:val="Heading2"/>
      </w:pPr>
      <w:r>
        <w:t xml:space="preserve">Which Forms Accompany Symptoms</w:t>
      </w:r>
    </w:p>
    <w:p>
      <w:pPr>
        <w:pStyle w:val="FirstParagraph"/>
      </w:pPr>
      <w:r>
        <w:t xml:space="preserve">The association was clear for interpersonal stigma, which comprised offensive jokes or comments and unwanted personal questions about sexual orientation, gender identity, or romantic life. These were also the most common situations, so their associations were estimated most precisely. The intervals for career-related and gender-expression stigma include values as large as the interpersonal coefficient, none of the pairwise differences could be distinguished from zero, and the low internal consistency of the sub-indices adds noise to all three estimates. The results therefore do not show that formal discrimination or gender-expression stigma is less strongly associated with symptoms. They show that the most common form of stigma in this sample is also one that clearly accompanies symptoms.</w:t>
      </w:r>
    </w:p>
    <w:p>
      <w:pPr>
        <w:pStyle w:val="BodyText"/>
      </w:pPr>
      <w:r>
        <w:t xml:space="preserve">This finding fits evidence that microaggressions accompany psychological distress (Nadal et al., 2016). It also fits the Vietnamese context described in the Introduction. Where labor law does not name sexual orientation or gender identity, jokes and intrusive questions are especially likely to be treated as private matters between colleagues, and the worker who is the target has few formal means of response. Behaviors that may be dismissed as trivial were the most frequent form of stigma, and they clearly accompanied symptoms.</w:t>
      </w:r>
    </w:p>
    <w:bookmarkEnd w:id="45"/>
    <w:bookmarkStart w:id="46" w:name="policy-implications"/>
    <w:p>
      <w:pPr>
        <w:pStyle w:val="Heading2"/>
      </w:pPr>
      <w:r>
        <w:t xml:space="preserve">Policy Implications</w:t>
      </w:r>
    </w:p>
    <w:p>
      <w:pPr>
        <w:pStyle w:val="FirstParagraph"/>
      </w:pPr>
      <w:r>
        <w:t xml:space="preserve">The first implication concerns interpretation. Higher symptom levels among LGBT people are sometimes read as evidence that LGBT identities are pathological. In this sample, symptom levels varied with how often workers were stigmatized at work, which is not what an identity-based account would predict. This is consistent with the position of the Ministry of Health of Vietnam (2022) that sexual and gender minority identities should not be regarded as illnesses. It also suggests that health and workplace programs should address the conditions that LGBT workers face rather than treat LGBT identity as a risk factor in itself.</w:t>
      </w:r>
    </w:p>
    <w:p>
      <w:pPr>
        <w:pStyle w:val="BodyText"/>
      </w:pPr>
      <w:r>
        <w:t xml:space="preserve">The second implication concerns law. Article 3(8) of the Labor Code defines discrimination in employment through a list of grounds that does not name sexual orientation or gender identity (National Assembly of Vietnam, 2019). Adding these grounds would give workers a basis for complaint about formal decisions. The forms of stigma that LGBT workers most often reported, however, were interpersonal, and they fall outside the narrow definition of discrimination as distinction, exclusion, or preference. Protection would therefore also require rules on workplace conduct that cover derogatory jokes, intrusive questioning, and disclosure of a worker’s sexual orientation or gender identity without consent.</w:t>
      </w:r>
    </w:p>
    <w:p>
      <w:pPr>
        <w:pStyle w:val="BodyText"/>
      </w:pPr>
      <w:r>
        <w:t xml:space="preserve">The third implication concerns employers. Because protection in Vietnam depends largely on the individual organization, employers can act without waiting for legal change. Codes of conduct can name derogatory jokes and intrusive questions about sexual orientation, gender identity, and private life as unacceptable, protect information about a worker’s identity, and provide a reporting channel that workers regard as safe. This study does not show whether such measures weaken the association between stigma and symptoms, so evaluations should be built into their introduction.</w:t>
      </w:r>
    </w:p>
    <w:p>
      <w:pPr>
        <w:pStyle w:val="BodyText"/>
      </w:pPr>
      <w:r>
        <w:t xml:space="preserve">These implications assume that the association reflects, at least in part, an influence of stigma on symptoms. The design cannot establish this, and the implications should be read with that qualification.</w:t>
      </w:r>
    </w:p>
    <w:bookmarkEnd w:id="46"/>
    <w:bookmarkStart w:id="47" w:name="limitations-and-future-directions"/>
    <w:p>
      <w:pPr>
        <w:pStyle w:val="Heading2"/>
      </w:pPr>
      <w:r>
        <w:t xml:space="preserve">Limitations and Future Directions</w:t>
      </w:r>
    </w:p>
    <w:p>
      <w:pPr>
        <w:pStyle w:val="FirstParagraph"/>
      </w:pPr>
      <w:r>
        <w:t xml:space="preserve">Several limitations qualify these findings. First, the design is cross-sectional, so the direction of the association cannot be established. Longitudinal designs that measure stigma and symptoms repeatedly, including diary designs that capture events close to when they occur, would allow the temporal order to be examined.</w:t>
      </w:r>
    </w:p>
    <w:p>
      <w:pPr>
        <w:pStyle w:val="BodyText"/>
      </w:pPr>
      <w:r>
        <w:t xml:space="preserve">Second, exposure and outcome were reported by the same person in one questionnaire. The stigma section immediately preceded the PHQ-4, and the data cannot test whether this order raised symptom reports. Future surveys should place the two sections apart or randomize their order.</w:t>
      </w:r>
    </w:p>
    <w:p>
      <w:pPr>
        <w:pStyle w:val="BodyText"/>
      </w:pPr>
      <w:r>
        <w:t xml:space="preserve">Third, the sample was recruited by convenience and snowball sampling. Participation may depend on both stigma and distress (Hernán et al., 2004), and the employment criterion excluded workers who had left their jobs, possibly because of stigma or distress. The sample was concentrated in Ho Chi Minh City, among university graduates, and in education and media, and the prevalence figures may not generalize to LGBT workers in rural areas, in informal employment, or in other sectors. Snowball recruitment may also produce correlated errors among respondents from the same network or workplace. No network or workplace identifier was recorded, so standard errors could not be clustered and may be understated. The wild bootstrap addresses small-sample inference but not clustering.</w:t>
      </w:r>
    </w:p>
    <w:p>
      <w:pPr>
        <w:pStyle w:val="BodyText"/>
      </w:pPr>
      <w:r>
        <w:t xml:space="preserve">Fourth, the measures have limitations. The stigma situations have not been validated, and each form is represented by only two or three situations, so the sub-indices have low internal consistency. Exclusion from training was too rare to analyze, and the few career-related events limit the precision of that form. Situation 8 applies mainly to transgender and nonbinary people; coding</w:t>
      </w:r>
      <w:r>
        <w:t xml:space="preserve"> </w:t>
      </w:r>
      <w:r>
        <w:t xml:space="preserve">“not applicable”</w:t>
      </w:r>
      <w:r>
        <w:t xml:space="preserve"> </w:t>
      </w:r>
      <w:r>
        <w:t xml:space="preserve">as missing avoids treating it as an absence of stigma, but it means that the index of most respondents rests on seven situations. We found no validation study of the Vietnamese PHQ-4. Future research should validate a Vietnamese measure of workplace stigma with more situations per form and use longer symptom scales.</w:t>
      </w:r>
    </w:p>
    <w:p>
      <w:pPr>
        <w:pStyle w:val="BodyText"/>
      </w:pPr>
      <w:r>
        <w:t xml:space="preserve">Fifth, the covariates do not capture minority stress outside work, such as rejection by family. Relationship status may partly reflect symptoms, and region of work and industry may reflect moves to places or sectors perceived as more accepting; omitting industry or relationship status and region changed the estimate little. Eight groups of covariates were estimated on 235 respondents, which required sparse categories to be merged. The sensitivity analysis indicates how strong an omitted confounder would need to be, but it cannot show that none exists.</w:t>
      </w:r>
    </w:p>
    <w:p>
      <w:pPr>
        <w:pStyle w:val="BodyText"/>
      </w:pPr>
      <w:r>
        <w:t xml:space="preserve">Sixth, the transgender and nonbinary group was too small to analyze separately. The gender identity barriers that these workers face may differ in kind from the stigma that cisgender LGBT workers encounter, and they require studies with targeted recruitment.</w:t>
      </w:r>
    </w:p>
    <w:p>
      <w:pPr>
        <w:pStyle w:val="BodyText"/>
      </w:pPr>
      <w:r>
        <w:t xml:space="preserve">Finally, the analysis plan was not registered before estimation, and the stigma index, the covariate set, the sample definition, and the scope of the article were revised after initial results were known. The conclusion about H1 did not depend on these revisions, but the study should be read as exploratory. Replication in a new sample, with a plan registered before data collection, would provide a stronger test.</w:t>
      </w:r>
    </w:p>
    <w:bookmarkEnd w:id="47"/>
    <w:bookmarkEnd w:id="48"/>
    <w:bookmarkStart w:id="50" w:name="conclusions"/>
    <w:p>
      <w:pPr>
        <w:pStyle w:val="Heading1"/>
      </w:pPr>
      <w:r>
        <w:t xml:space="preserve">Conclusions</w:t>
      </w:r>
    </w:p>
    <w:p>
      <w:pPr>
        <w:pStyle w:val="FirstParagraph"/>
      </w:pPr>
      <w:r>
        <w:t xml:space="preserve">Among LGBT workers in Vietnam, more than half reported stigma at work in the previous 12 months, most often in the form of unwanted personal questions and offensive jokes. Workers who encountered stigma more often reported more symptoms of anxiety and depression, and the association was robust to a wide range of analytic choices. In exploratory analyses, it was clear for interpersonal stigma, whereas the results for career-related and gender-expression stigma were inconclusive. A gradient of this kind within the group is predicted by minority stress theory and not by an account that treats sexual or gender minority identity as the source of distress. The cross-sectional design leaves the direction of the association open. Within that limit, the findings direct attention away from LGBT identity and toward the treatment of LGBT workers, including everyday interpersonal behavior that current Vietnamese labor law does not address.</w:t>
      </w:r>
    </w:p>
    <w:p>
      <w:pPr>
        <w:pStyle w:val="BodyText"/>
      </w:pPr>
      <w:r>
        <w:rPr>
          <w:b/>
          <w:bCs/>
        </w:rPr>
        <w:t xml:space="preserve">Acknowledgements</w:t>
      </w:r>
      <w:r>
        <w:t xml:space="preserve"> </w:t>
      </w:r>
      <w:r>
        <w:t xml:space="preserve">We thank the participants and the community organizations that circulated the questionnaire. [Authors: add the project supervisor and the experts consulted on the questionnaire.]</w:t>
      </w:r>
    </w:p>
    <w:p>
      <w:pPr>
        <w:pStyle w:val="BodyText"/>
      </w:pPr>
      <w:r>
        <w:rPr>
          <w:b/>
          <w:bCs/>
        </w:rPr>
        <w:t xml:space="preserve">Author Contributions</w:t>
      </w:r>
      <w:r>
        <w:t xml:space="preserve"> </w:t>
      </w:r>
      <w:r>
        <w:t xml:space="preserve">[Authors: complete using the CRediT taxonomy, for example conceptualization, methodology, formal analysis, writing (original draft), writing (review and editing), and supervision.]</w:t>
      </w:r>
    </w:p>
    <w:p>
      <w:pPr>
        <w:pStyle w:val="BodyText"/>
      </w:pPr>
      <w:r>
        <w:rPr>
          <w:b/>
          <w:bCs/>
        </w:rPr>
        <w:t xml:space="preserve">Funding</w:t>
      </w:r>
      <w:r>
        <w:t xml:space="preserve"> </w:t>
      </w:r>
      <w:r>
        <w:t xml:space="preserve">[Authors: state the funding source, or</w:t>
      </w:r>
      <w:r>
        <w:t xml:space="preserve"> </w:t>
      </w:r>
      <w:r>
        <w:t xml:space="preserve">“This research received no specific funding.”</w:t>
      </w:r>
      <w:r>
        <w:t xml:space="preserve">]</w:t>
      </w:r>
    </w:p>
    <w:p>
      <w:pPr>
        <w:pStyle w:val="BodyText"/>
      </w:pPr>
      <w:r>
        <w:rPr>
          <w:b/>
          <w:bCs/>
        </w:rPr>
        <w:t xml:space="preserve">Data Availability</w:t>
      </w:r>
      <w:r>
        <w:t xml:space="preserve"> </w:t>
      </w:r>
      <w:r>
        <w:t xml:space="preserve">The data contain sensitive personal data on sexual orientation, gender identity, and health under Vietnam’s Law on Personal Data Protection (Law No. 91/2025/QH15) and Decree No. 356/2025/ND-CP, and cannot be shared publicly. The analysis code, the analysis plan, and aggregate results with small cells suppressed are available at [registration link].</w:t>
      </w:r>
    </w:p>
    <w:bookmarkStart w:id="49" w:name="declarations"/>
    <w:p>
      <w:pPr>
        <w:pStyle w:val="Heading2"/>
      </w:pPr>
      <w:r>
        <w:t xml:space="preserve">Declarations</w:t>
      </w:r>
    </w:p>
    <w:p>
      <w:pPr>
        <w:pStyle w:val="FirstParagraph"/>
      </w:pPr>
      <w:r>
        <w:rPr>
          <w:b/>
          <w:bCs/>
        </w:rPr>
        <w:t xml:space="preserve">Ethics Approval</w:t>
      </w:r>
      <w:r>
        <w:t xml:space="preserve"> </w:t>
      </w:r>
      <w:r>
        <w:t xml:space="preserve">[Authors: name of the ethics committee, approval number, and date.]</w:t>
      </w:r>
    </w:p>
    <w:p>
      <w:pPr>
        <w:pStyle w:val="BodyText"/>
      </w:pPr>
      <w:r>
        <w:rPr>
          <w:b/>
          <w:bCs/>
        </w:rPr>
        <w:t xml:space="preserve">Consent to Participate</w:t>
      </w:r>
      <w:r>
        <w:t xml:space="preserve"> </w:t>
      </w:r>
      <w:r>
        <w:t xml:space="preserve">Participants read an information page that described the study, warned of sensitive questions, and explained their right to skip any question or stop at any time, and they indicated consent by continuing to the questionnaire. No identifying information was collected.</w:t>
      </w:r>
    </w:p>
    <w:p>
      <w:pPr>
        <w:pStyle w:val="BodyText"/>
      </w:pPr>
      <w:r>
        <w:rPr>
          <w:b/>
          <w:bCs/>
        </w:rPr>
        <w:t xml:space="preserve">Competing Interests</w:t>
      </w:r>
      <w:r>
        <w:t xml:space="preserve"> </w:t>
      </w:r>
      <w:r>
        <w:t xml:space="preserve">The authors declare no competing interests.</w:t>
      </w:r>
    </w:p>
    <w:p>
      <w:r>
        <w:br w:type="page"/>
      </w:r>
    </w:p>
    <w:bookmarkEnd w:id="49"/>
    <w:bookmarkEnd w:id="50"/>
    <w:bookmarkStart w:id="51" w:name="references"/>
    <w:p>
      <w:pPr>
        <w:pStyle w:val="Heading1"/>
      </w:pPr>
      <w:r>
        <w:t xml:space="preserve">References</w:t>
      </w:r>
    </w:p>
    <w:p>
      <w:pPr>
        <w:pStyle w:val="FirstParagraph"/>
      </w:pPr>
      <w:r>
        <w:t xml:space="preserve">Angrist, J. D., &amp; Pischke, J.-S. (2009).</w:t>
      </w:r>
      <w:r>
        <w:t xml:space="preserve"> </w:t>
      </w:r>
      <w:r>
        <w:rPr>
          <w:i/>
          <w:iCs/>
        </w:rPr>
        <w:t xml:space="preserve">Mostly harmless econometrics: An empiricist’s companion</w:t>
      </w:r>
      <w:r>
        <w:t xml:space="preserve">. Princeton University Press.</w:t>
      </w:r>
    </w:p>
    <w:p>
      <w:pPr>
        <w:pStyle w:val="BodyText"/>
      </w:pPr>
      <w:r>
        <w:t xml:space="preserve">Benjamini, Y., &amp; Hochberg, Y. (1995). Controlling the false discovery rate: A practical and powerful approach to multiple testing.</w:t>
      </w:r>
      <w:r>
        <w:t xml:space="preserve"> </w:t>
      </w:r>
      <w:r>
        <w:rPr>
          <w:i/>
          <w:iCs/>
        </w:rPr>
        <w:t xml:space="preserve">Journal of the Royal Statistical Society: Series B (Methodological), 57</w:t>
      </w:r>
      <w:r>
        <w:t xml:space="preserve">(1), 289–300. https://doi.org/10.1111/j.2517-6161.1995.tb02031.x</w:t>
      </w:r>
    </w:p>
    <w:p>
      <w:pPr>
        <w:pStyle w:val="BodyText"/>
      </w:pPr>
      <w:r>
        <w:t xml:space="preserve">Bollen, K., &amp; Lennox, R. (1991). Conventional wisdom on measurement: A structural equation perspective.</w:t>
      </w:r>
      <w:r>
        <w:t xml:space="preserve"> </w:t>
      </w:r>
      <w:r>
        <w:rPr>
          <w:i/>
          <w:iCs/>
        </w:rPr>
        <w:t xml:space="preserve">Psychological Bulletin, 110</w:t>
      </w:r>
      <w:r>
        <w:t xml:space="preserve">(2), 305–314. https://doi.org/10.1037/0033-2909.110.2.305</w:t>
      </w:r>
    </w:p>
    <w:p>
      <w:pPr>
        <w:pStyle w:val="BodyText"/>
      </w:pPr>
      <w:r>
        <w:t xml:space="preserve">Cinelli, C., &amp; Hazlett, C. (2020). Making sense of sensitivity: Extending omitted variable bias.</w:t>
      </w:r>
      <w:r>
        <w:t xml:space="preserve"> </w:t>
      </w:r>
      <w:r>
        <w:rPr>
          <w:i/>
          <w:iCs/>
        </w:rPr>
        <w:t xml:space="preserve">Journal of the Royal Statistical Society: Series B (Statistical Methodology), 82</w:t>
      </w:r>
      <w:r>
        <w:t xml:space="preserve">(1), 39–67. https://doi.org/10.1111/rssb.12348</w:t>
      </w:r>
    </w:p>
    <w:p>
      <w:pPr>
        <w:pStyle w:val="BodyText"/>
      </w:pPr>
      <w:r>
        <w:t xml:space="preserve">Davidson, R., &amp; Flachaire, E. (2008). The wild bootstrap, tamed at last.</w:t>
      </w:r>
      <w:r>
        <w:t xml:space="preserve"> </w:t>
      </w:r>
      <w:r>
        <w:rPr>
          <w:i/>
          <w:iCs/>
        </w:rPr>
        <w:t xml:space="preserve">Journal of Econometrics, 146</w:t>
      </w:r>
      <w:r>
        <w:t xml:space="preserve">(1), 162–169. https://doi.org/10.1016/j.jeconom.2008.08.003</w:t>
      </w:r>
    </w:p>
    <w:p>
      <w:pPr>
        <w:pStyle w:val="BodyText"/>
      </w:pPr>
      <w:r>
        <w:t xml:space="preserve">Drescher, J. (2015). Out of DSM: Depathologizing homosexuality.</w:t>
      </w:r>
      <w:r>
        <w:t xml:space="preserve"> </w:t>
      </w:r>
      <w:r>
        <w:rPr>
          <w:i/>
          <w:iCs/>
        </w:rPr>
        <w:t xml:space="preserve">Behavioral Sciences, 5</w:t>
      </w:r>
      <w:r>
        <w:t xml:space="preserve">(4), 565–575. https://doi.org/10.3390/bs5040565</w:t>
      </w:r>
    </w:p>
    <w:p>
      <w:pPr>
        <w:pStyle w:val="BodyText"/>
      </w:pPr>
      <w:r>
        <w:t xml:space="preserve">Fox, J., &amp; Monette, G. (1992). Generalized collinearity diagnostics.</w:t>
      </w:r>
      <w:r>
        <w:t xml:space="preserve"> </w:t>
      </w:r>
      <w:r>
        <w:rPr>
          <w:i/>
          <w:iCs/>
        </w:rPr>
        <w:t xml:space="preserve">Journal of the American Statistical Association, 87</w:t>
      </w:r>
      <w:r>
        <w:t xml:space="preserve">(417), 178–183. https://doi.org/10.1080/01621459.1992.10475190</w:t>
      </w:r>
    </w:p>
    <w:p>
      <w:pPr>
        <w:pStyle w:val="BodyText"/>
      </w:pPr>
      <w:r>
        <w:t xml:space="preserve">Frost, D. M., &amp; Meyer, I. H. (2023). Minority stress theory: Application, critique, and continued relevance.</w:t>
      </w:r>
      <w:r>
        <w:t xml:space="preserve"> </w:t>
      </w:r>
      <w:r>
        <w:rPr>
          <w:i/>
          <w:iCs/>
        </w:rPr>
        <w:t xml:space="preserve">Current Opinion in Psychology, 51</w:t>
      </w:r>
      <w:r>
        <w:t xml:space="preserve">, Article 101579. https://doi.org/10.1016/j.copsyc.2023.101579</w:t>
      </w:r>
    </w:p>
    <w:p>
      <w:pPr>
        <w:pStyle w:val="BodyText"/>
      </w:pPr>
      <w:r>
        <w:t xml:space="preserve">Gelman, A., &amp; Stern, H. (2006). The difference between</w:t>
      </w:r>
      <w:r>
        <w:t xml:space="preserve"> </w:t>
      </w:r>
      <w:r>
        <w:t xml:space="preserve">“significant”</w:t>
      </w:r>
      <w:r>
        <w:t xml:space="preserve"> </w:t>
      </w:r>
      <w:r>
        <w:t xml:space="preserve">and</w:t>
      </w:r>
      <w:r>
        <w:t xml:space="preserve"> </w:t>
      </w:r>
      <w:r>
        <w:t xml:space="preserve">“not significant”</w:t>
      </w:r>
      <w:r>
        <w:t xml:space="preserve"> </w:t>
      </w:r>
      <w:r>
        <w:t xml:space="preserve">is not itself statistically significant.</w:t>
      </w:r>
      <w:r>
        <w:t xml:space="preserve"> </w:t>
      </w:r>
      <w:r>
        <w:rPr>
          <w:i/>
          <w:iCs/>
        </w:rPr>
        <w:t xml:space="preserve">The American Statistician, 60</w:t>
      </w:r>
      <w:r>
        <w:t xml:space="preserve">(4), 328–331. https://doi.org/10.1198/000313006X152649</w:t>
      </w:r>
    </w:p>
    <w:p>
      <w:pPr>
        <w:pStyle w:val="BodyText"/>
      </w:pPr>
      <w:r>
        <w:t xml:space="preserve">Greenland, S., Pearl, J., &amp; Robins, J. M. (1999). Causal diagrams for epidemiologic research.</w:t>
      </w:r>
      <w:r>
        <w:t xml:space="preserve"> </w:t>
      </w:r>
      <w:r>
        <w:rPr>
          <w:i/>
          <w:iCs/>
        </w:rPr>
        <w:t xml:space="preserve">Epidemiology, 10</w:t>
      </w:r>
      <w:r>
        <w:t xml:space="preserve">(1), 37–48. https://doi.org/10.1097/00001648-199901000-00008</w:t>
      </w:r>
    </w:p>
    <w:p>
      <w:pPr>
        <w:pStyle w:val="BodyText"/>
      </w:pPr>
      <w:r>
        <w:t xml:space="preserve">Ha, H., Risser, J. M. H., Ross, M. W., Huynh, N. T., &amp; Nguyen, H. T. M. (2015). Homosexuality-related stigma and sexual risk behaviors among men who have sex with men in Hanoi, Vietnam.</w:t>
      </w:r>
      <w:r>
        <w:t xml:space="preserve"> </w:t>
      </w:r>
      <w:r>
        <w:rPr>
          <w:i/>
          <w:iCs/>
        </w:rPr>
        <w:t xml:space="preserve">Archives of Sexual Behavior, 44</w:t>
      </w:r>
      <w:r>
        <w:t xml:space="preserve">(2), 349–356. https://doi.org/10.1007/s10508-014-0450-8</w:t>
      </w:r>
    </w:p>
    <w:p>
      <w:pPr>
        <w:pStyle w:val="BodyText"/>
      </w:pPr>
      <w:r>
        <w:t xml:space="preserve">Hatzenbuehler, M. L. (2009). How does sexual minority stigma</w:t>
      </w:r>
      <w:r>
        <w:t xml:space="preserve"> </w:t>
      </w:r>
      <w:r>
        <w:t xml:space="preserve">“get under the skin”</w:t>
      </w:r>
      <w:r>
        <w:t xml:space="preserve">? A psychological mediation framework.</w:t>
      </w:r>
      <w:r>
        <w:t xml:space="preserve"> </w:t>
      </w:r>
      <w:r>
        <w:rPr>
          <w:i/>
          <w:iCs/>
        </w:rPr>
        <w:t xml:space="preserve">Psychological Bulletin, 135</w:t>
      </w:r>
      <w:r>
        <w:t xml:space="preserve">(5), 707–730. https://doi.org/10.1037/a0016441</w:t>
      </w:r>
    </w:p>
    <w:p>
      <w:pPr>
        <w:pStyle w:val="BodyText"/>
      </w:pPr>
      <w:r>
        <w:t xml:space="preserve">Hatzenbuehler, M. L. (2016). Structural stigma: Research evidence and implications for psychological science.</w:t>
      </w:r>
      <w:r>
        <w:t xml:space="preserve"> </w:t>
      </w:r>
      <w:r>
        <w:rPr>
          <w:i/>
          <w:iCs/>
        </w:rPr>
        <w:t xml:space="preserve">American Psychologist, 71</w:t>
      </w:r>
      <w:r>
        <w:t xml:space="preserve">(8), 742–751. https://doi.org/10.1037/amp0000068</w:t>
      </w:r>
    </w:p>
    <w:p>
      <w:pPr>
        <w:pStyle w:val="BodyText"/>
      </w:pPr>
      <w:r>
        <w:t xml:space="preserve">Hatzenbuehler, M. L., McLaughlin, K. A., Keyes, K. M., &amp; Hasin, D. S. (2010). The impact of institutional discrimination on psychiatric disorders in lesbian, gay, and bisexual populations: A prospective study.</w:t>
      </w:r>
      <w:r>
        <w:t xml:space="preserve"> </w:t>
      </w:r>
      <w:r>
        <w:rPr>
          <w:i/>
          <w:iCs/>
        </w:rPr>
        <w:t xml:space="preserve">American Journal of Public Health, 100</w:t>
      </w:r>
      <w:r>
        <w:t xml:space="preserve">(3), 452–459. https://doi.org/10.2105/AJPH.2009.168815</w:t>
      </w:r>
    </w:p>
    <w:p>
      <w:pPr>
        <w:pStyle w:val="BodyText"/>
      </w:pPr>
      <w:r>
        <w:t xml:space="preserve">Hebl, M. R., Foster, J. B., Mannix, L. M., &amp; Dovidio, J. F. (2002). Formal and interpersonal discrimination: A field study of bias toward homosexual applicants.</w:t>
      </w:r>
      <w:r>
        <w:t xml:space="preserve"> </w:t>
      </w:r>
      <w:r>
        <w:rPr>
          <w:i/>
          <w:iCs/>
        </w:rPr>
        <w:t xml:space="preserve">Personality and Social Psychology Bulletin, 28</w:t>
      </w:r>
      <w:r>
        <w:t xml:space="preserve">(6), 815–825. https://doi.org/10.1177/0146167202289010</w:t>
      </w:r>
    </w:p>
    <w:p>
      <w:pPr>
        <w:pStyle w:val="BodyText"/>
      </w:pPr>
      <w:r>
        <w:t xml:space="preserve">Hendricks, M. L., &amp; Testa, R. J. (2012). A conceptual framework for clinical work with transgender and gender nonconforming clients: An adaptation of the Minority Stress Model.</w:t>
      </w:r>
      <w:r>
        <w:t xml:space="preserve"> </w:t>
      </w:r>
      <w:r>
        <w:rPr>
          <w:i/>
          <w:iCs/>
        </w:rPr>
        <w:t xml:space="preserve">Professional Psychology: Research and Practice, 43</w:t>
      </w:r>
      <w:r>
        <w:t xml:space="preserve">(5), 460–467. https://doi.org/10.1037/a0029597</w:t>
      </w:r>
    </w:p>
    <w:p>
      <w:pPr>
        <w:pStyle w:val="BodyText"/>
      </w:pPr>
      <w:r>
        <w:t xml:space="preserve">Hernán, M. A., Hernández-Díaz, S., &amp; Robins, J. M. (2004). A structural approach to selection bias.</w:t>
      </w:r>
      <w:r>
        <w:t xml:space="preserve"> </w:t>
      </w:r>
      <w:r>
        <w:rPr>
          <w:i/>
          <w:iCs/>
        </w:rPr>
        <w:t xml:space="preserve">Epidemiology, 15</w:t>
      </w:r>
      <w:r>
        <w:t xml:space="preserve">(5), 615–625. https://doi.org/10.1097/01.ede.0000135174.63482.43</w:t>
      </w:r>
    </w:p>
    <w:p>
      <w:pPr>
        <w:pStyle w:val="BodyText"/>
      </w:pPr>
      <w:r>
        <w:t xml:space="preserve">Herry, E., &amp; Dyar, C. (2025). LGBTQ+ policies in the United States and mental health: The mediating role of sexual orientation discrimination among sexual minority women and gender diverse individuals assigned female at birth.</w:t>
      </w:r>
      <w:r>
        <w:t xml:space="preserve"> </w:t>
      </w:r>
      <w:r>
        <w:rPr>
          <w:i/>
          <w:iCs/>
        </w:rPr>
        <w:t xml:space="preserve">Sexuality Research and Social Policy</w:t>
      </w:r>
      <w:r>
        <w:t xml:space="preserve">. Advance online publication. https://doi.org/10.1007/s13178-025-01246-w</w:t>
      </w:r>
    </w:p>
    <w:p>
      <w:pPr>
        <w:pStyle w:val="BodyText"/>
      </w:pPr>
      <w:r>
        <w:t xml:space="preserve">Human Rights Watch. (2020).</w:t>
      </w:r>
      <w:r>
        <w:t xml:space="preserve"> </w:t>
      </w:r>
      <w:r>
        <w:rPr>
          <w:i/>
          <w:iCs/>
        </w:rPr>
        <w:t xml:space="preserve">“My teacher said I had a disease”</w:t>
      </w:r>
      <w:r>
        <w:rPr>
          <w:i/>
          <w:iCs/>
        </w:rPr>
        <w:t xml:space="preserve">: Barriers to the right to education for LGBT youth in Vietnam</w:t>
      </w:r>
      <w:r>
        <w:t xml:space="preserve">. https://www.hrw.org/report/2020/02/12/my-teacher-said-i-had-disease/barriers-right-education-lgbt-youth-vietnam</w:t>
      </w:r>
    </w:p>
    <w:p>
      <w:pPr>
        <w:pStyle w:val="BodyText"/>
      </w:pPr>
      <w:r>
        <w:t xml:space="preserve">Institute for Studies of Society, Economy and Environment. (2015).</w:t>
      </w:r>
      <w:r>
        <w:t xml:space="preserve"> </w:t>
      </w:r>
      <w:r>
        <w:rPr>
          <w:i/>
          <w:iCs/>
        </w:rPr>
        <w:t xml:space="preserve">Is it because I am LGBT? Discrimination based on sexual orientation and gender identity in Viet Nam</w:t>
      </w:r>
      <w:r>
        <w:t xml:space="preserve">.</w:t>
      </w:r>
    </w:p>
    <w:p>
      <w:pPr>
        <w:pStyle w:val="BodyText"/>
      </w:pPr>
      <w:r>
        <w:t xml:space="preserve">King, M., Semlyen, J., Tai, S. S., Killaspy, H., Osborn, D., Popelyuk, D., &amp; Nazareth, I. (2008). A systematic review of mental disorder, suicide, and deliberate self harm in lesbian, gay and bisexual people.</w:t>
      </w:r>
      <w:r>
        <w:t xml:space="preserve"> </w:t>
      </w:r>
      <w:r>
        <w:rPr>
          <w:i/>
          <w:iCs/>
        </w:rPr>
        <w:t xml:space="preserve">BMC Psychiatry, 8</w:t>
      </w:r>
      <w:r>
        <w:t xml:space="preserve">, Article 70. https://doi.org/10.1186/1471-244X-8-70</w:t>
      </w:r>
    </w:p>
    <w:p>
      <w:pPr>
        <w:pStyle w:val="BodyText"/>
      </w:pPr>
      <w:r>
        <w:t xml:space="preserve">Kroenke, K., Spitzer, R. L., &amp; Williams, J. B. W. (2001). The PHQ-9: Validity of a brief depression severity measure.</w:t>
      </w:r>
      <w:r>
        <w:t xml:space="preserve"> </w:t>
      </w:r>
      <w:r>
        <w:rPr>
          <w:i/>
          <w:iCs/>
        </w:rPr>
        <w:t xml:space="preserve">Journal of General Internal Medicine, 16</w:t>
      </w:r>
      <w:r>
        <w:t xml:space="preserve">(9), 606–613. https://doi.org/10.1046/j.1525-1497.2001.016009606.x</w:t>
      </w:r>
    </w:p>
    <w:p>
      <w:pPr>
        <w:pStyle w:val="BodyText"/>
      </w:pPr>
      <w:r>
        <w:t xml:space="preserve">Kroenke, K., Spitzer, R. L., Williams, J. B. W., &amp; Löwe, B. (2009). An ultra-brief screening scale for anxiety and depression: The PHQ-4.</w:t>
      </w:r>
      <w:r>
        <w:t xml:space="preserve"> </w:t>
      </w:r>
      <w:r>
        <w:rPr>
          <w:i/>
          <w:iCs/>
        </w:rPr>
        <w:t xml:space="preserve">Psychosomatics, 50</w:t>
      </w:r>
      <w:r>
        <w:t xml:space="preserve">(6), 613–621. https://doi.org/10.1176/appi.psy.50.6.613</w:t>
      </w:r>
    </w:p>
    <w:p>
      <w:pPr>
        <w:pStyle w:val="BodyText"/>
      </w:pPr>
      <w:r>
        <w:t xml:space="preserve">Lakens, D. (2017). Equivalence tests: A practical primer for t tests, correlations, and meta-analyses.</w:t>
      </w:r>
      <w:r>
        <w:t xml:space="preserve"> </w:t>
      </w:r>
      <w:r>
        <w:rPr>
          <w:i/>
          <w:iCs/>
        </w:rPr>
        <w:t xml:space="preserve">Social Psychological and Personality Science, 8</w:t>
      </w:r>
      <w:r>
        <w:t xml:space="preserve">(4), 355–362. https://doi.org/10.1177/1948550617697177</w:t>
      </w:r>
    </w:p>
    <w:p>
      <w:pPr>
        <w:pStyle w:val="BodyText"/>
      </w:pPr>
      <w:r>
        <w:t xml:space="preserve">Lakens, D., Scheel, A. M., &amp; Isager, P. M. (2018). Equivalence testing for psychological research: A tutorial.</w:t>
      </w:r>
      <w:r>
        <w:t xml:space="preserve"> </w:t>
      </w:r>
      <w:r>
        <w:rPr>
          <w:i/>
          <w:iCs/>
        </w:rPr>
        <w:t xml:space="preserve">Advances in Methods and Practices in Psychological Science, 1</w:t>
      </w:r>
      <w:r>
        <w:t xml:space="preserve">(2), 259–269. https://doi.org/10.1177/2515245918770963</w:t>
      </w:r>
    </w:p>
    <w:p>
      <w:pPr>
        <w:pStyle w:val="BodyText"/>
      </w:pPr>
      <w:r>
        <w:t xml:space="preserve">Lewis, T. T., Cogburn, C. D., &amp; Williams, D. R. (2015). Self-reported experiences of discrimination and health: Scientific advances, ongoing controversies, and emerging issues.</w:t>
      </w:r>
      <w:r>
        <w:t xml:space="preserve"> </w:t>
      </w:r>
      <w:r>
        <w:rPr>
          <w:i/>
          <w:iCs/>
        </w:rPr>
        <w:t xml:space="preserve">Annual Review of Clinical Psychology, 11</w:t>
      </w:r>
      <w:r>
        <w:t xml:space="preserve">, 407–440. https://doi.org/10.1146/annurev-clinpsy-032814-112728</w:t>
      </w:r>
    </w:p>
    <w:p>
      <w:pPr>
        <w:pStyle w:val="BodyText"/>
      </w:pPr>
      <w:r>
        <w:t xml:space="preserve">Link, B. G., &amp; Phelan, J. C. (2001). Conceptualizing stigma.</w:t>
      </w:r>
      <w:r>
        <w:t xml:space="preserve"> </w:t>
      </w:r>
      <w:r>
        <w:rPr>
          <w:i/>
          <w:iCs/>
        </w:rPr>
        <w:t xml:space="preserve">Annual Review of Sociology, 27</w:t>
      </w:r>
      <w:r>
        <w:t xml:space="preserve">, 363–385. https://doi.org/10.1146/annurev.soc.27.1.363</w:t>
      </w:r>
    </w:p>
    <w:p>
      <w:pPr>
        <w:pStyle w:val="BodyText"/>
      </w:pPr>
      <w:r>
        <w:t xml:space="preserve">Lo, I. P. Y., Kim, Y. K., Liu, E. H., &amp; Yan, E. (2025). Typologies of minority stressors and depressive symptoms among LGBTQ employees in the workplace: A moderated mediation model of workplace climate and resilience.</w:t>
      </w:r>
      <w:r>
        <w:t xml:space="preserve"> </w:t>
      </w:r>
      <w:r>
        <w:rPr>
          <w:i/>
          <w:iCs/>
        </w:rPr>
        <w:t xml:space="preserve">Sexuality Research and Social Policy, 22</w:t>
      </w:r>
      <w:r>
        <w:t xml:space="preserve">, 1043–1057. https://doi.org/10.1007/s13178-024-01027-x</w:t>
      </w:r>
    </w:p>
    <w:p>
      <w:pPr>
        <w:pStyle w:val="BodyText"/>
      </w:pPr>
      <w:r>
        <w:t xml:space="preserve">Long, J. S., &amp; Ervin, L. H. (2000). Using heteroscedasticity consistent standard errors in the linear regression model.</w:t>
      </w:r>
      <w:r>
        <w:t xml:space="preserve"> </w:t>
      </w:r>
      <w:r>
        <w:rPr>
          <w:i/>
          <w:iCs/>
        </w:rPr>
        <w:t xml:space="preserve">The American Statistician, 54</w:t>
      </w:r>
      <w:r>
        <w:t xml:space="preserve">(3), 217–224. https://doi.org/10.1080/00031305.2000.10474549</w:t>
      </w:r>
    </w:p>
    <w:p>
      <w:pPr>
        <w:pStyle w:val="BodyText"/>
      </w:pPr>
      <w:r>
        <w:t xml:space="preserve">Maxwell, S. E., &amp; Cole, D. A. (2007). Bias in cross-sectional analyses of longitudinal mediation.</w:t>
      </w:r>
      <w:r>
        <w:t xml:space="preserve"> </w:t>
      </w:r>
      <w:r>
        <w:rPr>
          <w:i/>
          <w:iCs/>
        </w:rPr>
        <w:t xml:space="preserve">Psychological Methods, 12</w:t>
      </w:r>
      <w:r>
        <w:t xml:space="preserve">(1), 23–44. https://doi.org/10.1037/1082-989X.12.1.23</w:t>
      </w:r>
    </w:p>
    <w:p>
      <w:pPr>
        <w:pStyle w:val="BodyText"/>
      </w:pPr>
      <w:r>
        <w:t xml:space="preserve">Meyer, I. H. (1995). Minority stress and mental health in gay men.</w:t>
      </w:r>
      <w:r>
        <w:t xml:space="preserve"> </w:t>
      </w:r>
      <w:r>
        <w:rPr>
          <w:i/>
          <w:iCs/>
        </w:rPr>
        <w:t xml:space="preserve">Journal of Health and Social Behavior, 36</w:t>
      </w:r>
      <w:r>
        <w:t xml:space="preserve">(1), 38–56. https://doi.org/10.2307/2137286</w:t>
      </w:r>
    </w:p>
    <w:p>
      <w:pPr>
        <w:pStyle w:val="BodyText"/>
      </w:pPr>
      <w:r>
        <w:t xml:space="preserve">Meyer, I. H. (2003). Prejudice, social stress, and mental health in lesbian, gay, and bisexual populations: Conceptual issues and research evidence.</w:t>
      </w:r>
      <w:r>
        <w:t xml:space="preserve"> </w:t>
      </w:r>
      <w:r>
        <w:rPr>
          <w:i/>
          <w:iCs/>
        </w:rPr>
        <w:t xml:space="preserve">Psychological Bulletin, 129</w:t>
      </w:r>
      <w:r>
        <w:t xml:space="preserve">(5), 674–697. https://doi.org/10.1037/0033-2909.129.5.674</w:t>
      </w:r>
    </w:p>
    <w:p>
      <w:pPr>
        <w:pStyle w:val="BodyText"/>
      </w:pPr>
      <w:r>
        <w:t xml:space="preserve">Ministry of Health of Vietnam. (2022).</w:t>
      </w:r>
      <w:r>
        <w:t xml:space="preserve"> </w:t>
      </w:r>
      <w:r>
        <w:rPr>
          <w:i/>
          <w:iCs/>
        </w:rPr>
        <w:t xml:space="preserve">Công văn số 4132/BYT-PC về việc chấn chỉnh công tác khám bệnh, chữa bệnh đối với người đồng tính, song tính và chuyển giới</w:t>
      </w:r>
      <w:r>
        <w:t xml:space="preserve"> </w:t>
      </w:r>
      <w:r>
        <w:t xml:space="preserve">[Official Letter No. 4132/BYT-PC on rectifying medical examination and treatment for homosexual, bisexual, and transgender people].</w:t>
      </w:r>
    </w:p>
    <w:p>
      <w:pPr>
        <w:pStyle w:val="BodyText"/>
      </w:pPr>
      <w:r>
        <w:t xml:space="preserve">Nadal, K. L., Whitman, C. N., Davis, L. S., Erazo, T., &amp; Davidoff, K. C. (2016). Microaggressions toward lesbian, gay, bisexual, transgender, queer, and genderqueer people: A review of the literature.</w:t>
      </w:r>
      <w:r>
        <w:t xml:space="preserve"> </w:t>
      </w:r>
      <w:r>
        <w:rPr>
          <w:i/>
          <w:iCs/>
        </w:rPr>
        <w:t xml:space="preserve">The Journal of Sex Research, 53</w:t>
      </w:r>
      <w:r>
        <w:t xml:space="preserve">(4–5), 488–508. https://doi.org/10.1080/00224499.2016.1142495</w:t>
      </w:r>
    </w:p>
    <w:p>
      <w:pPr>
        <w:pStyle w:val="BodyText"/>
      </w:pPr>
      <w:r>
        <w:t xml:space="preserve">National Academies of Sciences, Engineering, and Medicine. (2022).</w:t>
      </w:r>
      <w:r>
        <w:t xml:space="preserve"> </w:t>
      </w:r>
      <w:r>
        <w:rPr>
          <w:i/>
          <w:iCs/>
        </w:rPr>
        <w:t xml:space="preserve">Measuring sex, gender identity, and sexual orientation</w:t>
      </w:r>
      <w:r>
        <w:t xml:space="preserve">. The National Academies Press. https://doi.org/10.17226/26424</w:t>
      </w:r>
    </w:p>
    <w:p>
      <w:pPr>
        <w:pStyle w:val="BodyText"/>
      </w:pPr>
      <w:r>
        <w:t xml:space="preserve">National Assembly of Vietnam. (2014).</w:t>
      </w:r>
      <w:r>
        <w:t xml:space="preserve"> </w:t>
      </w:r>
      <w:r>
        <w:rPr>
          <w:i/>
          <w:iCs/>
        </w:rPr>
        <w:t xml:space="preserve">Luật Hôn nhân và gia đình</w:t>
      </w:r>
      <w:r>
        <w:t xml:space="preserve"> </w:t>
      </w:r>
      <w:r>
        <w:t xml:space="preserve">[Law on Marriage and Family] (Law No. 52/2014/QH13).</w:t>
      </w:r>
    </w:p>
    <w:p>
      <w:pPr>
        <w:pStyle w:val="BodyText"/>
      </w:pPr>
      <w:r>
        <w:t xml:space="preserve">National Assembly of Vietnam. (2015).</w:t>
      </w:r>
      <w:r>
        <w:t xml:space="preserve"> </w:t>
      </w:r>
      <w:r>
        <w:rPr>
          <w:i/>
          <w:iCs/>
        </w:rPr>
        <w:t xml:space="preserve">Bộ luật Dân sự</w:t>
      </w:r>
      <w:r>
        <w:t xml:space="preserve"> </w:t>
      </w:r>
      <w:r>
        <w:t xml:space="preserve">[Civil Code] (Law No. 91/2015/QH13).</w:t>
      </w:r>
    </w:p>
    <w:p>
      <w:pPr>
        <w:pStyle w:val="BodyText"/>
      </w:pPr>
      <w:r>
        <w:t xml:space="preserve">National Assembly of Vietnam. (2019).</w:t>
      </w:r>
      <w:r>
        <w:t xml:space="preserve"> </w:t>
      </w:r>
      <w:r>
        <w:rPr>
          <w:i/>
          <w:iCs/>
        </w:rPr>
        <w:t xml:space="preserve">Bộ luật Lao động</w:t>
      </w:r>
      <w:r>
        <w:t xml:space="preserve"> </w:t>
      </w:r>
      <w:r>
        <w:t xml:space="preserve">[Labor Code] (Law No. 45/2019/QH14).</w:t>
      </w:r>
    </w:p>
    <w:p>
      <w:pPr>
        <w:pStyle w:val="BodyText"/>
      </w:pPr>
      <w:r>
        <w:t xml:space="preserve">Ngo, T. T., To, T. N., Luong, T. V. A., Ngo, V. H., Tran, M. C., Trinh, T. T. H., &amp; Nguyen, T. T. H. (2026). Self-stigma and associated factors among the LGBTQ+ community in northern and central Vietnam in 2024.</w:t>
      </w:r>
      <w:r>
        <w:t xml:space="preserve"> </w:t>
      </w:r>
      <w:r>
        <w:rPr>
          <w:i/>
          <w:iCs/>
        </w:rPr>
        <w:t xml:space="preserve">Tạp chí Nghiên cứu Y học, 202</w:t>
      </w:r>
      <w:r>
        <w:t xml:space="preserve">(5E18), 399–406. https://doi.org/10.52852/tcncyh.v202i5E18.4681</w:t>
      </w:r>
    </w:p>
    <w:p>
      <w:pPr>
        <w:pStyle w:val="BodyText"/>
      </w:pPr>
      <w:r>
        <w:t xml:space="preserve">Nguyen, L. V., Vu, N. T., &amp; Thai, Q. V. (2026). Gender dysphoria and psychological distress among transgender individuals: The moderating role of resilience.</w:t>
      </w:r>
      <w:r>
        <w:t xml:space="preserve"> </w:t>
      </w:r>
      <w:r>
        <w:rPr>
          <w:i/>
          <w:iCs/>
        </w:rPr>
        <w:t xml:space="preserve">Health Psychology Report, 14</w:t>
      </w:r>
      <w:r>
        <w:t xml:space="preserve">(1), 9–23. https://hpr.termedia.pl/Gender-dysphoria-and-psychological-distress-among-transgender-individuals-the-moderating,211481,0,2.html</w:t>
      </w:r>
    </w:p>
    <w:p>
      <w:pPr>
        <w:pStyle w:val="BodyText"/>
      </w:pPr>
      <w:r>
        <w:t xml:space="preserve">Nguyen, T. Q., Bandeen-Roche, K., Bass, J. K., German, D., Nguyen, N. T. T., &amp; Knowlton, A. R. (2016). A tool for sexual minority mental health research: The Patient Health Questionnaire (PHQ-9) as a depressive symptom severity measure for sexual minority women in Viet Nam.</w:t>
      </w:r>
      <w:r>
        <w:t xml:space="preserve"> </w:t>
      </w:r>
      <w:r>
        <w:rPr>
          <w:i/>
          <w:iCs/>
        </w:rPr>
        <w:t xml:space="preserve">Journal of Gay &amp; Lesbian Mental Health, 20</w:t>
      </w:r>
      <w:r>
        <w:t xml:space="preserve">(2), 173–191. https://doi.org/10.1080/19359705.2015.1080204</w:t>
      </w:r>
    </w:p>
    <w:p>
      <w:pPr>
        <w:pStyle w:val="BodyText"/>
      </w:pPr>
      <w:r>
        <w:t xml:space="preserve">Nguyen, T. Q., Poteat, T., Bandeen-Roche, K., German, D., Nguyen, Y. H., Vu, L. K.-C., Nguyen, N. T.-T., &amp; Knowlton, A. R. (2016). The Internalized Homophobia Scale for Vietnamese sexual minority women: Conceptualization, factor structure, reliability, and associations with hypothesized correlates.</w:t>
      </w:r>
      <w:r>
        <w:t xml:space="preserve"> </w:t>
      </w:r>
      <w:r>
        <w:rPr>
          <w:i/>
          <w:iCs/>
        </w:rPr>
        <w:t xml:space="preserve">Archives of Sexual Behavior, 45</w:t>
      </w:r>
      <w:r>
        <w:t xml:space="preserve">(6), 1329–1346. https://doi.org/10.1007/s10508-016-0694-6</w:t>
      </w:r>
    </w:p>
    <w:p>
      <w:pPr>
        <w:pStyle w:val="BodyText"/>
      </w:pPr>
      <w:r>
        <w:t xml:space="preserve">Oster, E. (2019). Unobservable selection and coefficient stability: Theory and evidence.</w:t>
      </w:r>
      <w:r>
        <w:t xml:space="preserve"> </w:t>
      </w:r>
      <w:r>
        <w:rPr>
          <w:i/>
          <w:iCs/>
        </w:rPr>
        <w:t xml:space="preserve">Journal of Business &amp; Economic Statistics, 37</w:t>
      </w:r>
      <w:r>
        <w:t xml:space="preserve">(2), 187–204. https://doi.org/10.1080/07350015.2016.1227711</w:t>
      </w:r>
    </w:p>
    <w:p>
      <w:pPr>
        <w:pStyle w:val="BodyText"/>
      </w:pPr>
      <w:r>
        <w:t xml:space="preserve">Owens, B., Mills, S., Lewis, N., &amp; Guta, A. (2022). Work-related stressors and mental health among LGBTQ workers: Results from a cross-sectional survey.</w:t>
      </w:r>
      <w:r>
        <w:t xml:space="preserve"> </w:t>
      </w:r>
      <w:r>
        <w:rPr>
          <w:i/>
          <w:iCs/>
        </w:rPr>
        <w:t xml:space="preserve">PLOS ONE, 17</w:t>
      </w:r>
      <w:r>
        <w:t xml:space="preserve">(10), Article e0275771. https://doi.org/10.1371/journal.pone.0275771</w:t>
      </w:r>
    </w:p>
    <w:p>
      <w:pPr>
        <w:pStyle w:val="BodyText"/>
      </w:pPr>
      <w:r>
        <w:t xml:space="preserve">Pachankis, J. E., &amp; Bränström, R. (2018). Hidden from happiness: Structural stigma, sexual orientation concealment, and life satisfaction across 28 countries.</w:t>
      </w:r>
      <w:r>
        <w:t xml:space="preserve"> </w:t>
      </w:r>
      <w:r>
        <w:rPr>
          <w:i/>
          <w:iCs/>
        </w:rPr>
        <w:t xml:space="preserve">Journal of Consulting and Clinical Psychology, 86</w:t>
      </w:r>
      <w:r>
        <w:t xml:space="preserve">(5), 403–415. https://doi.org/10.1037/ccp0000299</w:t>
      </w:r>
    </w:p>
    <w:p>
      <w:pPr>
        <w:pStyle w:val="BodyText"/>
      </w:pPr>
      <w:r>
        <w:t xml:space="preserve">Papke, L. E., &amp; Wooldridge, J. M. (1996). Econometric methods for fractional response variables with an application to 401(k) plan participation rates.</w:t>
      </w:r>
      <w:r>
        <w:t xml:space="preserve"> </w:t>
      </w:r>
      <w:r>
        <w:rPr>
          <w:i/>
          <w:iCs/>
        </w:rPr>
        <w:t xml:space="preserve">Journal of Applied Econometrics, 11</w:t>
      </w:r>
      <w:r>
        <w:t xml:space="preserve">(6), 619–632.</w:t>
      </w:r>
    </w:p>
    <w:p>
      <w:pPr>
        <w:pStyle w:val="BodyText"/>
      </w:pPr>
      <w:r>
        <w:t xml:space="preserve">Plöderl, M., &amp; Tremblay, P. (2015). Mental health of sexual minorities. A systematic review.</w:t>
      </w:r>
      <w:r>
        <w:t xml:space="preserve"> </w:t>
      </w:r>
      <w:r>
        <w:rPr>
          <w:i/>
          <w:iCs/>
        </w:rPr>
        <w:t xml:space="preserve">International Review of Psychiatry, 27</w:t>
      </w:r>
      <w:r>
        <w:t xml:space="preserve">(5), 367–385. https://doi.org/10.3109/09540261.2015.1083949</w:t>
      </w:r>
    </w:p>
    <w:p>
      <w:pPr>
        <w:pStyle w:val="BodyText"/>
      </w:pPr>
      <w:r>
        <w:t xml:space="preserve">Podsakoff, P. M., MacKenzie, S. B., Lee, J.-Y., &amp; Podsakoff, N. P. (2003). Common method biases in behavioral research: A critical review of the literature and recommended remedies.</w:t>
      </w:r>
      <w:r>
        <w:t xml:space="preserve"> </w:t>
      </w:r>
      <w:r>
        <w:rPr>
          <w:i/>
          <w:iCs/>
        </w:rPr>
        <w:t xml:space="preserve">Journal of Applied Psychology, 88</w:t>
      </w:r>
      <w:r>
        <w:t xml:space="preserve">(5), 879–903. https://doi.org/10.1037/0021-9010.88.5.879</w:t>
      </w:r>
    </w:p>
    <w:p>
      <w:pPr>
        <w:pStyle w:val="BodyText"/>
      </w:pPr>
      <w:r>
        <w:t xml:space="preserve">Ragins, B. R., &amp; Cornwell, J. M. (2001). Pink triangles: Antecedents and consequences of perceived workplace discrimination against gay and lesbian employees.</w:t>
      </w:r>
      <w:r>
        <w:t xml:space="preserve"> </w:t>
      </w:r>
      <w:r>
        <w:rPr>
          <w:i/>
          <w:iCs/>
        </w:rPr>
        <w:t xml:space="preserve">Journal of Applied Psychology, 86</w:t>
      </w:r>
      <w:r>
        <w:t xml:space="preserve">(6), 1244–1261. https://doi.org/10.1037/0021-9010.86.6.1244</w:t>
      </w:r>
    </w:p>
    <w:p>
      <w:pPr>
        <w:pStyle w:val="BodyText"/>
      </w:pPr>
      <w:r>
        <w:t xml:space="preserve">Roodman, D., MacKinnon, J. G., Nielsen, M. Ø., &amp; Webb, M. D. (2019). Fast and wild: Bootstrap inference in Stata using boottest.</w:t>
      </w:r>
      <w:r>
        <w:t xml:space="preserve"> </w:t>
      </w:r>
      <w:r>
        <w:rPr>
          <w:i/>
          <w:iCs/>
        </w:rPr>
        <w:t xml:space="preserve">The Stata Journal, 19</w:t>
      </w:r>
      <w:r>
        <w:t xml:space="preserve">(1), 4–60. https://doi.org/10.1177/1536867X19830877</w:t>
      </w:r>
    </w:p>
    <w:p>
      <w:pPr>
        <w:pStyle w:val="BodyText"/>
      </w:pPr>
      <w:r>
        <w:t xml:space="preserve">Ross, L. E., Salway, T., Tarasoff, L. A., MacKay, J. M., Hawkins, B. W., &amp; Fehr, C. P. (2018). Prevalence of depression and anxiety among bisexual people compared to gay, lesbian, and heterosexual individuals: A systematic review and meta-analysis.</w:t>
      </w:r>
      <w:r>
        <w:t xml:space="preserve"> </w:t>
      </w:r>
      <w:r>
        <w:rPr>
          <w:i/>
          <w:iCs/>
        </w:rPr>
        <w:t xml:space="preserve">The Journal of Sex Research, 55</w:t>
      </w:r>
      <w:r>
        <w:t xml:space="preserve">(4–5), 435–456. https://doi.org/10.1080/00224499.2017.1387755</w:t>
      </w:r>
    </w:p>
    <w:p>
      <w:pPr>
        <w:pStyle w:val="BodyText"/>
      </w:pPr>
      <w:r>
        <w:t xml:space="preserve">Schmitt, M. T., Branscombe, N. R., Postmes, T., &amp; Garcia, A. (2014). The consequences of perceived discrimination for psychological well-being: A meta-analytic review.</w:t>
      </w:r>
      <w:r>
        <w:t xml:space="preserve"> </w:t>
      </w:r>
      <w:r>
        <w:rPr>
          <w:i/>
          <w:iCs/>
        </w:rPr>
        <w:t xml:space="preserve">Psychological Bulletin, 140</w:t>
      </w:r>
      <w:r>
        <w:t xml:space="preserve">(4), 921–948. https://doi.org/10.1037/a0035754</w:t>
      </w:r>
    </w:p>
    <w:p>
      <w:pPr>
        <w:pStyle w:val="BodyText"/>
      </w:pPr>
      <w:r>
        <w:t xml:space="preserve">Schwarz, N. (1999). Self-reports: How the questions shape the answers.</w:t>
      </w:r>
      <w:r>
        <w:t xml:space="preserve"> </w:t>
      </w:r>
      <w:r>
        <w:rPr>
          <w:i/>
          <w:iCs/>
        </w:rPr>
        <w:t xml:space="preserve">American Psychologist, 54</w:t>
      </w:r>
      <w:r>
        <w:t xml:space="preserve">(2), 93–105. https://doi.org/10.1037/0003-066X.54.2.93</w:t>
      </w:r>
    </w:p>
    <w:p>
      <w:pPr>
        <w:pStyle w:val="BodyText"/>
      </w:pPr>
      <w:r>
        <w:t xml:space="preserve">Simonsohn, U., Simmons, J. P., &amp; Nelson, L. D. (2020). Specification curve analysis.</w:t>
      </w:r>
      <w:r>
        <w:t xml:space="preserve"> </w:t>
      </w:r>
      <w:r>
        <w:rPr>
          <w:i/>
          <w:iCs/>
        </w:rPr>
        <w:t xml:space="preserve">Nature Human Behaviour, 4</w:t>
      </w:r>
      <w:r>
        <w:t xml:space="preserve">(11), 1208–1214. https://doi.org/10.1038/s41562-020-0912-z</w:t>
      </w:r>
    </w:p>
    <w:p>
      <w:pPr>
        <w:pStyle w:val="BodyText"/>
      </w:pPr>
      <w:r>
        <w:t xml:space="preserve">Spitzer, R. L., Kroenke, K., Williams, J. B. W., &amp; Löwe, B. (2006). A brief measure for assessing generalized anxiety disorder: The GAD-7.</w:t>
      </w:r>
      <w:r>
        <w:t xml:space="preserve"> </w:t>
      </w:r>
      <w:r>
        <w:rPr>
          <w:i/>
          <w:iCs/>
        </w:rPr>
        <w:t xml:space="preserve">Archives of Internal Medicine, 166</w:t>
      </w:r>
      <w:r>
        <w:t xml:space="preserve">(10), 1092–1097. https://doi.org/10.1001/archinte.166.10.1092</w:t>
      </w:r>
    </w:p>
    <w:p>
      <w:pPr>
        <w:pStyle w:val="BodyText"/>
      </w:pPr>
      <w:r>
        <w:t xml:space="preserve">Tomic, D., O’Dwyer, M., Keegel, T., &amp; Walker-Bone, K. (2025). Mental health of LGBTQ+ workers: A systematic review.</w:t>
      </w:r>
      <w:r>
        <w:t xml:space="preserve"> </w:t>
      </w:r>
      <w:r>
        <w:rPr>
          <w:i/>
          <w:iCs/>
        </w:rPr>
        <w:t xml:space="preserve">BMC Psychiatry, 25</w:t>
      </w:r>
      <w:r>
        <w:t xml:space="preserve">, Article 114. https://doi.org/10.1186/s12888-025-06556-2</w:t>
      </w:r>
    </w:p>
    <w:p>
      <w:pPr>
        <w:pStyle w:val="BodyText"/>
      </w:pPr>
      <w:r>
        <w:t xml:space="preserve">Tran, T. M. D., Ha, K. O., Bui, T. H. T., &amp; Nguyen, T. A. T. (2020). Sexual self-disclosure, internalized homophobia and depression symptoms among sexual minority women in Vietnam.</w:t>
      </w:r>
      <w:r>
        <w:t xml:space="preserve"> </w:t>
      </w:r>
      <w:r>
        <w:rPr>
          <w:i/>
          <w:iCs/>
        </w:rPr>
        <w:t xml:space="preserve">Health Psychology Open, 7</w:t>
      </w:r>
      <w:r>
        <w:t xml:space="preserve">(2). https://doi.org/10.1177/2055102920959576</w:t>
      </w:r>
    </w:p>
    <w:p>
      <w:pPr>
        <w:pStyle w:val="BodyText"/>
      </w:pPr>
      <w:r>
        <w:t xml:space="preserve">United Nations Development Programme, &amp; United States Agency for International Development. (2014).</w:t>
      </w:r>
      <w:r>
        <w:t xml:space="preserve"> </w:t>
      </w:r>
      <w:r>
        <w:rPr>
          <w:i/>
          <w:iCs/>
        </w:rPr>
        <w:t xml:space="preserve">Being LGBT in Asia: Viet Nam country report</w:t>
      </w:r>
      <w:r>
        <w:t xml:space="preserve">. United Nations Development Programme.</w:t>
      </w:r>
    </w:p>
    <w:p>
      <w:pPr>
        <w:pStyle w:val="BodyText"/>
      </w:pPr>
      <w:r>
        <w:t xml:space="preserve">van Buuren, S., &amp; Groothuis-Oudshoorn, K. (2011). mice: Multivariate imputation by chained equations in R.</w:t>
      </w:r>
      <w:r>
        <w:t xml:space="preserve"> </w:t>
      </w:r>
      <w:r>
        <w:rPr>
          <w:i/>
          <w:iCs/>
        </w:rPr>
        <w:t xml:space="preserve">Journal of Statistical Software, 45</w:t>
      </w:r>
      <w:r>
        <w:t xml:space="preserve">(3), 1–67. https://doi.org/10.18637/jss.v045.i03</w:t>
      </w:r>
    </w:p>
    <w:p>
      <w:pPr>
        <w:pStyle w:val="BodyText"/>
      </w:pPr>
      <w:r>
        <w:t xml:space="preserve">VanderWeele, T. J. (2019). Principles of confounder selection.</w:t>
      </w:r>
      <w:r>
        <w:t xml:space="preserve"> </w:t>
      </w:r>
      <w:r>
        <w:rPr>
          <w:i/>
          <w:iCs/>
        </w:rPr>
        <w:t xml:space="preserve">European Journal of Epidemiology, 34</w:t>
      </w:r>
      <w:r>
        <w:t xml:space="preserve">(3), 211–219. https://doi.org/10.1007/s10654-019-00494-6</w:t>
      </w:r>
    </w:p>
    <w:p>
      <w:pPr>
        <w:pStyle w:val="BodyText"/>
      </w:pPr>
      <w:r>
        <w:t xml:space="preserve">Velez, B. L., Moradi, B., &amp; Brewster, M. E. (2013). Testing the tenets of minority stress theory in workplace contexts.</w:t>
      </w:r>
      <w:r>
        <w:t xml:space="preserve"> </w:t>
      </w:r>
      <w:r>
        <w:rPr>
          <w:i/>
          <w:iCs/>
        </w:rPr>
        <w:t xml:space="preserve">Journal of Counseling Psychology, 60</w:t>
      </w:r>
      <w:r>
        <w:t xml:space="preserve">(4), 532–542. https://doi.org/10.1037/a0033346</w:t>
      </w:r>
    </w:p>
    <w:p>
      <w:pPr>
        <w:pStyle w:val="BodyText"/>
      </w:pPr>
      <w:r>
        <w:t xml:space="preserve">Waldo, C. R. (1999). Working in a majority context: A structural model of heterosexism as minority stress in the workplace.</w:t>
      </w:r>
      <w:r>
        <w:t xml:space="preserve"> </w:t>
      </w:r>
      <w:r>
        <w:rPr>
          <w:i/>
          <w:iCs/>
        </w:rPr>
        <w:t xml:space="preserve">Journal of Counseling Psychology, 46</w:t>
      </w:r>
      <w:r>
        <w:t xml:space="preserve">(2), 218–232. https://doi.org/10.1037/0022-0167.46.2.218</w:t>
      </w:r>
    </w:p>
    <w:p>
      <w:pPr>
        <w:pStyle w:val="BodyText"/>
      </w:pPr>
      <w:r>
        <w:t xml:space="preserve">World Health Organization. (2019).</w:t>
      </w:r>
      <w:r>
        <w:t xml:space="preserve"> </w:t>
      </w:r>
      <w:r>
        <w:rPr>
          <w:i/>
          <w:iCs/>
        </w:rPr>
        <w:t xml:space="preserve">International statistical classification of diseases and related health problems</w:t>
      </w:r>
      <w:r>
        <w:t xml:space="preserve"> </w:t>
      </w:r>
      <w:r>
        <w:t xml:space="preserve">(11th ed.). https://icd.who.int/</w:t>
      </w:r>
    </w:p>
    <w:p>
      <w:r>
        <w:br w:type="page"/>
      </w:r>
    </w:p>
    <w:bookmarkEnd w:id="51"/>
    <w:bookmarkStart w:id="54" w:name="supplementary-material"/>
    <w:p>
      <w:pPr>
        <w:pStyle w:val="Heading1"/>
      </w:pPr>
      <w:r>
        <w:t xml:space="preserve">Supplementary Material</w:t>
      </w:r>
    </w:p>
    <w:bookmarkStart w:id="52" w:name="supplementary-methods"/>
    <w:p>
      <w:pPr>
        <w:pStyle w:val="Heading2"/>
      </w:pPr>
      <w:r>
        <w:t xml:space="preserve">Supplementary Methods</w:t>
      </w:r>
    </w:p>
    <w:p>
      <w:pPr>
        <w:pStyle w:val="FirstParagraph"/>
      </w:pPr>
      <w:r>
        <w:rPr>
          <w:b/>
          <w:bCs/>
        </w:rPr>
        <w:t xml:space="preserve">S1. Merging sparse covariate categories.</w:t>
      </w:r>
      <w:r>
        <w:t xml:space="preserve"> </w:t>
      </w:r>
      <w:r>
        <w:t xml:space="preserve">In each estimation sample, a covariate category with fewer than five respondents was merged before estimation. For ordered variables (age group, education, work experience, organization size, and working hours), the category was merged with the adjacent category nearer the median. For nominal variables, it was merged into a pooled</w:t>
      </w:r>
      <w:r>
        <w:t xml:space="preserve"> </w:t>
      </w:r>
      <w:r>
        <w:t xml:space="preserve">“other”</w:t>
      </w:r>
      <w:r>
        <w:t xml:space="preserve"> </w:t>
      </w:r>
      <w:r>
        <w:t xml:space="preserve">category. A sparse</w:t>
      </w:r>
      <w:r>
        <w:t xml:space="preserve"> </w:t>
      </w:r>
      <w:r>
        <w:t xml:space="preserve">“prefer not to answer”</w:t>
      </w:r>
      <w:r>
        <w:t xml:space="preserve"> </w:t>
      </w:r>
      <w:r>
        <w:t xml:space="preserve">category was merged into the pooled category if one existed and otherwise into the largest category. The rule uses counts only. In the main-rule sample, the</w:t>
      </w:r>
      <w:r>
        <w:t xml:space="preserve"> </w:t>
      </w:r>
      <w:r>
        <w:t xml:space="preserve">“prefer not to answer”</w:t>
      </w:r>
      <w:r>
        <w:t xml:space="preserve"> </w:t>
      </w:r>
      <w:r>
        <w:t xml:space="preserve">category of age group was merged into the 25–34 category, and that of sexual orientation group into the other or questioning group. Among job characteristics, sparse categories of work experience, position, employment relationship, organization type, social insurance coverage, and working hours were merged.</w:t>
      </w:r>
    </w:p>
    <w:p>
      <w:pPr>
        <w:pStyle w:val="BodyText"/>
      </w:pPr>
      <w:r>
        <w:rPr>
          <w:b/>
          <w:bCs/>
        </w:rPr>
        <w:t xml:space="preserve">S2. Approaches not used.</w:t>
      </w:r>
      <w:r>
        <w:t xml:space="preserve"> </w:t>
      </w:r>
      <w:r>
        <w:t xml:space="preserve">Instrumental variables were not used, because no available variable plausibly affects stigma without affecting symptoms directly. Propensity score matching rests on the same selection-on-observables assumption as regression adjustment and suits a continuous exposure poorly. A Heckman selection model requires data on non-participants, which do not exist. Harman’s single-factor test cannot detect common-method variance (Podsakoff et al., 2003). The coefficient-stability approach of Oster (2019) rests on a proportional-selection assumption that is hard to justify for a self-reported psychological outcome.</w:t>
      </w:r>
    </w:p>
    <w:p>
      <w:pPr>
        <w:pStyle w:val="BodyText"/>
      </w:pPr>
      <w:r>
        <w:rPr>
          <w:b/>
          <w:bCs/>
        </w:rPr>
        <w:t xml:space="preserve">S3. Departures from the finalized plan.</w:t>
      </w:r>
      <w:r>
        <w:t xml:space="preserve"> </w:t>
      </w:r>
      <w:r>
        <w:t xml:space="preserve">The plan was finalized on 5 October 2026. (a) 5 October: the plan was not registered before estimation. The descriptive regression of PHQ-4 scores on pre-exposure characteristics (Table S1) was estimated after, rather than before, sparse categories were merged, because one age category contained a single respondent. Sex assigned at birth was entered in the sensitivity analysis as a single benchmark variable, because the group-benchmark command requires at least two variables; with one variable, the two procedures give the same bounds. (b) 9 October: the post hoc analyses in Table S6 were specified after the main results were known. (c) 12 October: the scope of the article was narrowed, and RQ1 (three sub-indices of stigma) was added after the situation-level results were known. (d) 13 October: the stigma index was extended from the mean of situations 1–7 (at least four answered) to the mean of all eight situations (at least six answered), and the seven-situation index was moved to the specification curve; the covariate set was extended from five groups (age group, sex assigned at birth, education, relationship status, region of work) to eight, adding gender minority status, sexual orientation group, and industry, and a robustness check omitting industry replaced one that added sexual orientation group; the samples were defined by employment and substantive data, without a separate age criterion. (e) 16 October: the scope was narrowed to the forms of stigma and their association with symptoms, descriptive Tables 4 and 5 were added, and the imputation model was restricted to the PHQ-4, the stigma index, and the covariates. Under the specification used before 13 October, the H1 estimate was 1.72 (95% CI [0.74, 2.69],</w:t>
      </w:r>
      <w:r>
        <w:t xml:space="preserve"> </w:t>
      </w:r>
      <w:r>
        <w:rPr>
          <w:i/>
          <w:iCs/>
        </w:rPr>
        <w:t xml:space="preserve">n</w:t>
      </w:r>
      <w:r>
        <w:t xml:space="preserve"> </w:t>
      </w:r>
      <w:r>
        <w:t xml:space="preserve">= 256).</w:t>
      </w:r>
    </w:p>
    <w:bookmarkEnd w:id="52"/>
    <w:bookmarkStart w:id="53" w:name="supplementary-tables"/>
    <w:p>
      <w:pPr>
        <w:pStyle w:val="Heading2"/>
      </w:pPr>
      <w:r>
        <w:t xml:space="preserve">Supplementary Tables</w:t>
      </w:r>
    </w:p>
    <w:p>
      <w:pPr>
        <w:pStyle w:val="FirstParagraph"/>
      </w:pPr>
      <w:r>
        <w:rPr>
          <w:b/>
          <w:bCs/>
        </w:rPr>
        <w:t xml:space="preserve">Table S1</w:t>
      </w:r>
      <w:r>
        <w:t xml:space="preserve"> </w:t>
      </w:r>
      <w:r>
        <w:rPr>
          <w:i/>
          <w:iCs/>
        </w:rPr>
        <w:t xml:space="preserve">PHQ-4 scores by pre-exposure characteristics (main sample, n = 235)</w:t>
      </w:r>
    </w:p>
    <w:tbl>
      <w:tblPr>
        <w:tblStyle w:val="Table"/>
        <w:tblW w:type="pct" w:w="5000"/>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584"/>
        <w:gridCol w:w="1584"/>
        <w:gridCol w:w="1584"/>
        <w:gridCol w:w="1584"/>
        <w:gridCol w:w="1584"/>
      </w:tblGrid>
      <w:tr>
        <w:trPr>
          <w:tblHeader w:val="on"/>
        </w:trPr>
        <w:tc>
          <w:tcPr>
            <w:tcBorders>
              <w:bottom w:val="single" w:sz="6" w:space="0" w:color="000000"/>
            </w:tcBorders>
          </w:tcPr>
          <w:p>
            <w:pPr>
              <w:pStyle w:val="Compact"/>
            </w:pPr>
            <w:r>
              <w:rPr>
                <w:rFonts w:ascii="Times New Roman" w:hAnsi="Times New Roman"/>
                <w:sz w:val="20"/>
              </w:rPr>
              <w:t xml:space="preserve">Characteristic</w:t>
            </w:r>
          </w:p>
        </w:tc>
        <w:tc>
          <w:tcPr>
            <w:tcBorders>
              <w:bottom w:val="single" w:sz="6" w:space="0" w:color="000000"/>
            </w:tcBorders>
          </w:tcPr>
          <w:p>
            <w:pPr>
              <w:pStyle w:val="Compact"/>
            </w:pPr>
            <w:r>
              <w:rPr>
                <w:rFonts w:ascii="Times New Roman" w:hAnsi="Times New Roman"/>
                <w:sz w:val="20"/>
              </w:rPr>
              <w:t xml:space="preserve">Coefficient</w:t>
            </w:r>
          </w:p>
        </w:tc>
        <w:tc>
          <w:tcPr>
            <w:tcBorders>
              <w:bottom w:val="single" w:sz="6" w:space="0" w:color="000000"/>
            </w:tcBorders>
          </w:tcPr>
          <w:p>
            <w:pPr>
              <w:pStyle w:val="Compact"/>
            </w:pPr>
            <w:r>
              <w:rPr>
                <w:rFonts w:ascii="Times New Roman" w:hAnsi="Times New Roman"/>
                <w:i/>
                <w:iCs/>
                <w:sz w:val="20"/>
              </w:rPr>
              <w:t xml:space="preserve">SE</w:t>
            </w:r>
          </w:p>
        </w:tc>
        <w:tc>
          <w:tcPr>
            <w:tcBorders>
              <w:bottom w:val="single" w:sz="6" w:space="0" w:color="000000"/>
            </w:tcBorders>
          </w:tcPr>
          <w:p>
            <w:pPr>
              <w:pStyle w:val="Compact"/>
            </w:pPr>
            <w:r>
              <w:rPr>
                <w:rFonts w:ascii="Times New Roman" w:hAnsi="Times New Roman"/>
                <w:sz w:val="20"/>
              </w:rPr>
              <w:t xml:space="preserve">95% CI</w:t>
            </w:r>
          </w:p>
        </w:tc>
        <w:tc>
          <w:tcPr>
            <w:tcBorders>
              <w:bottom w:val="single" w:sz="6" w:space="0" w:color="000000"/>
            </w:tcBorders>
          </w:tcPr>
          <w:p>
            <w:pPr>
              <w:pStyle w:val="Compact"/>
            </w:pPr>
            <w:r>
              <w:rPr>
                <w:rFonts w:ascii="Times New Roman" w:hAnsi="Times New Roman"/>
                <w:i/>
                <w:iCs/>
                <w:sz w:val="20"/>
              </w:rPr>
              <w:t xml:space="preserve">p</w:t>
            </w:r>
          </w:p>
        </w:tc>
      </w:tr>
      <w:tr>
        <w:tc>
          <w:tcPr/>
          <w:p>
            <w:pPr>
              <w:pStyle w:val="Compact"/>
            </w:pPr>
            <w:r>
              <w:rPr>
                <w:rFonts w:ascii="Times New Roman" w:hAnsi="Times New Roman"/>
                <w:sz w:val="20"/>
              </w:rPr>
              <w:t xml:space="preserve">Age 25–34 (ref. 18–24)</w:t>
            </w:r>
          </w:p>
        </w:tc>
        <w:tc>
          <w:tcPr/>
          <w:p>
            <w:pPr>
              <w:pStyle w:val="Compact"/>
            </w:pPr>
            <w:r>
              <w:rPr>
                <w:rFonts w:ascii="Times New Roman" w:hAnsi="Times New Roman"/>
                <w:sz w:val="20"/>
              </w:rPr>
              <w:t xml:space="preserve">0.57</w:t>
            </w:r>
          </w:p>
        </w:tc>
        <w:tc>
          <w:tcPr/>
          <w:p>
            <w:pPr>
              <w:pStyle w:val="Compact"/>
            </w:pPr>
            <w:r>
              <w:rPr>
                <w:rFonts w:ascii="Times New Roman" w:hAnsi="Times New Roman"/>
                <w:sz w:val="20"/>
              </w:rPr>
              <w:t xml:space="preserve">0.56</w:t>
            </w:r>
          </w:p>
        </w:tc>
        <w:tc>
          <w:tcPr/>
          <w:p>
            <w:pPr>
              <w:pStyle w:val="Compact"/>
            </w:pPr>
            <w:r>
              <w:rPr>
                <w:rFonts w:ascii="Times New Roman" w:hAnsi="Times New Roman"/>
                <w:sz w:val="20"/>
              </w:rPr>
              <w:t xml:space="preserve">[−0.54, 1.69]</w:t>
            </w:r>
          </w:p>
        </w:tc>
        <w:tc>
          <w:tcPr/>
          <w:p>
            <w:pPr>
              <w:pStyle w:val="Compact"/>
            </w:pPr>
            <w:r>
              <w:rPr>
                <w:rFonts w:ascii="Times New Roman" w:hAnsi="Times New Roman"/>
                <w:sz w:val="20"/>
              </w:rPr>
              <w:t xml:space="preserve">.311</w:t>
            </w:r>
          </w:p>
        </w:tc>
      </w:tr>
      <w:tr>
        <w:tc>
          <w:tcPr/>
          <w:p>
            <w:pPr>
              <w:pStyle w:val="Compact"/>
            </w:pPr>
            <w:r>
              <w:rPr>
                <w:rFonts w:ascii="Times New Roman" w:hAnsi="Times New Roman"/>
                <w:sz w:val="20"/>
              </w:rPr>
              <w:t xml:space="preserve">Age 35–44</w:t>
            </w:r>
          </w:p>
        </w:tc>
        <w:tc>
          <w:tcPr/>
          <w:p>
            <w:pPr>
              <w:pStyle w:val="Compact"/>
            </w:pPr>
            <w:r>
              <w:rPr>
                <w:rFonts w:ascii="Times New Roman" w:hAnsi="Times New Roman"/>
                <w:sz w:val="20"/>
              </w:rPr>
              <w:t xml:space="preserve">1.05</w:t>
            </w:r>
          </w:p>
        </w:tc>
        <w:tc>
          <w:tcPr/>
          <w:p>
            <w:pPr>
              <w:pStyle w:val="Compact"/>
            </w:pPr>
            <w:r>
              <w:rPr>
                <w:rFonts w:ascii="Times New Roman" w:hAnsi="Times New Roman"/>
                <w:sz w:val="20"/>
              </w:rPr>
              <w:t xml:space="preserve">0.88</w:t>
            </w:r>
          </w:p>
        </w:tc>
        <w:tc>
          <w:tcPr/>
          <w:p>
            <w:pPr>
              <w:pStyle w:val="Compact"/>
            </w:pPr>
            <w:r>
              <w:rPr>
                <w:rFonts w:ascii="Times New Roman" w:hAnsi="Times New Roman"/>
                <w:sz w:val="20"/>
              </w:rPr>
              <w:t xml:space="preserve">[−0.68, 2.79]</w:t>
            </w:r>
          </w:p>
        </w:tc>
        <w:tc>
          <w:tcPr/>
          <w:p>
            <w:pPr>
              <w:pStyle w:val="Compact"/>
            </w:pPr>
            <w:r>
              <w:rPr>
                <w:rFonts w:ascii="Times New Roman" w:hAnsi="Times New Roman"/>
                <w:sz w:val="20"/>
              </w:rPr>
              <w:t xml:space="preserve">.231</w:t>
            </w:r>
          </w:p>
        </w:tc>
      </w:tr>
      <w:tr>
        <w:tc>
          <w:tcPr/>
          <w:p>
            <w:pPr>
              <w:pStyle w:val="Compact"/>
            </w:pPr>
            <w:r>
              <w:rPr>
                <w:rFonts w:ascii="Times New Roman" w:hAnsi="Times New Roman"/>
                <w:sz w:val="20"/>
              </w:rPr>
              <w:t xml:space="preserve">Age 45 or older</w:t>
            </w:r>
          </w:p>
        </w:tc>
        <w:tc>
          <w:tcPr/>
          <w:p>
            <w:pPr>
              <w:pStyle w:val="Compact"/>
            </w:pPr>
            <w:r>
              <w:rPr>
                <w:rFonts w:ascii="Times New Roman" w:hAnsi="Times New Roman"/>
                <w:sz w:val="20"/>
              </w:rPr>
              <w:t xml:space="preserve">−1.17</w:t>
            </w:r>
          </w:p>
        </w:tc>
        <w:tc>
          <w:tcPr/>
          <w:p>
            <w:pPr>
              <w:pStyle w:val="Compact"/>
            </w:pPr>
            <w:r>
              <w:rPr>
                <w:rFonts w:ascii="Times New Roman" w:hAnsi="Times New Roman"/>
                <w:sz w:val="20"/>
              </w:rPr>
              <w:t xml:space="preserve">0.68</w:t>
            </w:r>
          </w:p>
        </w:tc>
        <w:tc>
          <w:tcPr/>
          <w:p>
            <w:pPr>
              <w:pStyle w:val="Compact"/>
            </w:pPr>
            <w:r>
              <w:rPr>
                <w:rFonts w:ascii="Times New Roman" w:hAnsi="Times New Roman"/>
                <w:sz w:val="20"/>
              </w:rPr>
              <w:t xml:space="preserve">[−2.50, 0.17]</w:t>
            </w:r>
          </w:p>
        </w:tc>
        <w:tc>
          <w:tcPr/>
          <w:p>
            <w:pPr>
              <w:pStyle w:val="Compact"/>
            </w:pPr>
            <w:r>
              <w:rPr>
                <w:rFonts w:ascii="Times New Roman" w:hAnsi="Times New Roman"/>
                <w:sz w:val="20"/>
              </w:rPr>
              <w:t xml:space="preserve">.086</w:t>
            </w:r>
          </w:p>
        </w:tc>
      </w:tr>
      <w:tr>
        <w:tc>
          <w:tcPr/>
          <w:p>
            <w:pPr>
              <w:pStyle w:val="Compact"/>
            </w:pPr>
            <w:r>
              <w:rPr>
                <w:rFonts w:ascii="Times New Roman" w:hAnsi="Times New Roman"/>
                <w:sz w:val="20"/>
              </w:rPr>
              <w:t xml:space="preserve">College (ref. upper secondary or below)</w:t>
            </w:r>
          </w:p>
        </w:tc>
        <w:tc>
          <w:tcPr/>
          <w:p>
            <w:pPr>
              <w:pStyle w:val="Compact"/>
            </w:pPr>
            <w:r>
              <w:rPr>
                <w:rFonts w:ascii="Times New Roman" w:hAnsi="Times New Roman"/>
                <w:sz w:val="20"/>
              </w:rPr>
              <w:t xml:space="preserve">0.57</w:t>
            </w:r>
          </w:p>
        </w:tc>
        <w:tc>
          <w:tcPr/>
          <w:p>
            <w:pPr>
              <w:pStyle w:val="Compact"/>
            </w:pPr>
            <w:r>
              <w:rPr>
                <w:rFonts w:ascii="Times New Roman" w:hAnsi="Times New Roman"/>
                <w:sz w:val="20"/>
              </w:rPr>
              <w:t xml:space="preserve">1.06</w:t>
            </w:r>
          </w:p>
        </w:tc>
        <w:tc>
          <w:tcPr/>
          <w:p>
            <w:pPr>
              <w:pStyle w:val="Compact"/>
            </w:pPr>
            <w:r>
              <w:rPr>
                <w:rFonts w:ascii="Times New Roman" w:hAnsi="Times New Roman"/>
                <w:sz w:val="20"/>
              </w:rPr>
              <w:t xml:space="preserve">[−1.52, 2.66]</w:t>
            </w:r>
          </w:p>
        </w:tc>
        <w:tc>
          <w:tcPr/>
          <w:p>
            <w:pPr>
              <w:pStyle w:val="Compact"/>
            </w:pPr>
            <w:r>
              <w:rPr>
                <w:rFonts w:ascii="Times New Roman" w:hAnsi="Times New Roman"/>
                <w:sz w:val="20"/>
              </w:rPr>
              <w:t xml:space="preserve">.591</w:t>
            </w:r>
          </w:p>
        </w:tc>
      </w:tr>
      <w:tr>
        <w:tc>
          <w:tcPr/>
          <w:p>
            <w:pPr>
              <w:pStyle w:val="Compact"/>
            </w:pPr>
            <w:r>
              <w:rPr>
                <w:rFonts w:ascii="Times New Roman" w:hAnsi="Times New Roman"/>
                <w:sz w:val="20"/>
              </w:rPr>
              <w:t xml:space="preserve">University</w:t>
            </w:r>
          </w:p>
        </w:tc>
        <w:tc>
          <w:tcPr/>
          <w:p>
            <w:pPr>
              <w:pStyle w:val="Compact"/>
            </w:pPr>
            <w:r>
              <w:rPr>
                <w:rFonts w:ascii="Times New Roman" w:hAnsi="Times New Roman"/>
                <w:sz w:val="20"/>
              </w:rPr>
              <w:t xml:space="preserve">−0.98</w:t>
            </w:r>
          </w:p>
        </w:tc>
        <w:tc>
          <w:tcPr/>
          <w:p>
            <w:pPr>
              <w:pStyle w:val="Compact"/>
            </w:pPr>
            <w:r>
              <w:rPr>
                <w:rFonts w:ascii="Times New Roman" w:hAnsi="Times New Roman"/>
                <w:sz w:val="20"/>
              </w:rPr>
              <w:t xml:space="preserve">0.72</w:t>
            </w:r>
          </w:p>
        </w:tc>
        <w:tc>
          <w:tcPr/>
          <w:p>
            <w:pPr>
              <w:pStyle w:val="Compact"/>
            </w:pPr>
            <w:r>
              <w:rPr>
                <w:rFonts w:ascii="Times New Roman" w:hAnsi="Times New Roman"/>
                <w:sz w:val="20"/>
              </w:rPr>
              <w:t xml:space="preserve">[−2.39, 0.44]</w:t>
            </w:r>
          </w:p>
        </w:tc>
        <w:tc>
          <w:tcPr/>
          <w:p>
            <w:pPr>
              <w:pStyle w:val="Compact"/>
            </w:pPr>
            <w:r>
              <w:rPr>
                <w:rFonts w:ascii="Times New Roman" w:hAnsi="Times New Roman"/>
                <w:sz w:val="20"/>
              </w:rPr>
              <w:t xml:space="preserve">.176</w:t>
            </w:r>
          </w:p>
        </w:tc>
      </w:tr>
      <w:tr>
        <w:tc>
          <w:tcPr/>
          <w:p>
            <w:pPr>
              <w:pStyle w:val="Compact"/>
            </w:pPr>
            <w:r>
              <w:rPr>
                <w:rFonts w:ascii="Times New Roman" w:hAnsi="Times New Roman"/>
                <w:sz w:val="20"/>
              </w:rPr>
              <w:t xml:space="preserve">Postgraduate</w:t>
            </w:r>
          </w:p>
        </w:tc>
        <w:tc>
          <w:tcPr/>
          <w:p>
            <w:pPr>
              <w:pStyle w:val="Compact"/>
            </w:pPr>
            <w:r>
              <w:rPr>
                <w:rFonts w:ascii="Times New Roman" w:hAnsi="Times New Roman"/>
                <w:sz w:val="20"/>
              </w:rPr>
              <w:t xml:space="preserve">−0.15</w:t>
            </w:r>
          </w:p>
        </w:tc>
        <w:tc>
          <w:tcPr/>
          <w:p>
            <w:pPr>
              <w:pStyle w:val="Compact"/>
            </w:pPr>
            <w:r>
              <w:rPr>
                <w:rFonts w:ascii="Times New Roman" w:hAnsi="Times New Roman"/>
                <w:sz w:val="20"/>
              </w:rPr>
              <w:t xml:space="preserve">1.03</w:t>
            </w:r>
          </w:p>
        </w:tc>
        <w:tc>
          <w:tcPr/>
          <w:p>
            <w:pPr>
              <w:pStyle w:val="Compact"/>
            </w:pPr>
            <w:r>
              <w:rPr>
                <w:rFonts w:ascii="Times New Roman" w:hAnsi="Times New Roman"/>
                <w:sz w:val="20"/>
              </w:rPr>
              <w:t xml:space="preserve">[−2.18, 1.88]</w:t>
            </w:r>
          </w:p>
        </w:tc>
        <w:tc>
          <w:tcPr/>
          <w:p>
            <w:pPr>
              <w:pStyle w:val="Compact"/>
            </w:pPr>
            <w:r>
              <w:rPr>
                <w:rFonts w:ascii="Times New Roman" w:hAnsi="Times New Roman"/>
                <w:sz w:val="20"/>
              </w:rPr>
              <w:t xml:space="preserve">.883</w:t>
            </w:r>
          </w:p>
        </w:tc>
      </w:tr>
      <w:tr>
        <w:tc>
          <w:tcPr/>
          <w:p>
            <w:pPr>
              <w:pStyle w:val="Compact"/>
            </w:pPr>
            <w:r>
              <w:rPr>
                <w:rFonts w:ascii="Times New Roman" w:hAnsi="Times New Roman"/>
                <w:sz w:val="20"/>
              </w:rPr>
              <w:t xml:space="preserve">Assigned female at birth (ref. male)</w:t>
            </w:r>
          </w:p>
        </w:tc>
        <w:tc>
          <w:tcPr/>
          <w:p>
            <w:pPr>
              <w:pStyle w:val="Compact"/>
            </w:pPr>
            <w:r>
              <w:rPr>
                <w:rFonts w:ascii="Times New Roman" w:hAnsi="Times New Roman"/>
                <w:sz w:val="20"/>
              </w:rPr>
              <w:t xml:space="preserve">0.21</w:t>
            </w:r>
          </w:p>
        </w:tc>
        <w:tc>
          <w:tcPr/>
          <w:p>
            <w:pPr>
              <w:pStyle w:val="Compact"/>
            </w:pPr>
            <w:r>
              <w:rPr>
                <w:rFonts w:ascii="Times New Roman" w:hAnsi="Times New Roman"/>
                <w:sz w:val="20"/>
              </w:rPr>
              <w:t xml:space="preserve">0.82</w:t>
            </w:r>
          </w:p>
        </w:tc>
        <w:tc>
          <w:tcPr/>
          <w:p>
            <w:pPr>
              <w:pStyle w:val="Compact"/>
            </w:pPr>
            <w:r>
              <w:rPr>
                <w:rFonts w:ascii="Times New Roman" w:hAnsi="Times New Roman"/>
                <w:sz w:val="20"/>
              </w:rPr>
              <w:t xml:space="preserve">[−1.40, 1.81]</w:t>
            </w:r>
          </w:p>
        </w:tc>
        <w:tc>
          <w:tcPr/>
          <w:p>
            <w:pPr>
              <w:pStyle w:val="Compact"/>
            </w:pPr>
            <w:r>
              <w:rPr>
                <w:rFonts w:ascii="Times New Roman" w:hAnsi="Times New Roman"/>
                <w:sz w:val="20"/>
              </w:rPr>
              <w:t xml:space="preserve">.800</w:t>
            </w:r>
          </w:p>
        </w:tc>
      </w:tr>
      <w:tr>
        <w:tc>
          <w:tcPr/>
          <w:p>
            <w:pPr>
              <w:pStyle w:val="Compact"/>
            </w:pPr>
            <w:r>
              <w:rPr>
                <w:rFonts w:ascii="Times New Roman" w:hAnsi="Times New Roman"/>
                <w:sz w:val="20"/>
              </w:rPr>
              <w:t xml:space="preserve">Gender minority status</w:t>
            </w:r>
          </w:p>
        </w:tc>
        <w:tc>
          <w:tcPr/>
          <w:p>
            <w:pPr>
              <w:pStyle w:val="Compact"/>
            </w:pPr>
            <w:r>
              <w:rPr>
                <w:rFonts w:ascii="Times New Roman" w:hAnsi="Times New Roman"/>
                <w:sz w:val="20"/>
              </w:rPr>
              <w:t xml:space="preserve">not reported</w:t>
            </w:r>
          </w:p>
        </w:tc>
        <w:tc>
          <w:tcPr/>
          <w:p>
            <w:pPr>
              <w:pStyle w:val="Compact"/>
            </w:pPr>
          </w:p>
        </w:tc>
        <w:tc>
          <w:tcPr/>
          <w:p>
            <w:pPr>
              <w:pStyle w:val="Compact"/>
            </w:pPr>
          </w:p>
        </w:tc>
        <w:tc>
          <w:tcPr/>
          <w:p>
            <w:pPr>
              <w:pStyle w:val="Compact"/>
            </w:pPr>
          </w:p>
        </w:tc>
      </w:tr>
      <w:tr>
        <w:tc>
          <w:tcPr/>
          <w:p>
            <w:pPr>
              <w:pStyle w:val="Compact"/>
            </w:pPr>
            <w:r>
              <w:rPr>
                <w:rFonts w:ascii="Times New Roman" w:hAnsi="Times New Roman"/>
                <w:sz w:val="20"/>
              </w:rPr>
              <w:t xml:space="preserve">Lesbian (ref. gay)</w:t>
            </w:r>
          </w:p>
        </w:tc>
        <w:tc>
          <w:tcPr/>
          <w:p>
            <w:pPr>
              <w:pStyle w:val="Compact"/>
            </w:pPr>
            <w:r>
              <w:rPr>
                <w:rFonts w:ascii="Times New Roman" w:hAnsi="Times New Roman"/>
                <w:sz w:val="20"/>
              </w:rPr>
              <w:t xml:space="preserve">−0.66</w:t>
            </w:r>
          </w:p>
        </w:tc>
        <w:tc>
          <w:tcPr/>
          <w:p>
            <w:pPr>
              <w:pStyle w:val="Compact"/>
            </w:pPr>
            <w:r>
              <w:rPr>
                <w:rFonts w:ascii="Times New Roman" w:hAnsi="Times New Roman"/>
                <w:sz w:val="20"/>
              </w:rPr>
              <w:t xml:space="preserve">0.98</w:t>
            </w:r>
          </w:p>
        </w:tc>
        <w:tc>
          <w:tcPr/>
          <w:p>
            <w:pPr>
              <w:pStyle w:val="Compact"/>
            </w:pPr>
            <w:r>
              <w:rPr>
                <w:rFonts w:ascii="Times New Roman" w:hAnsi="Times New Roman"/>
                <w:sz w:val="20"/>
              </w:rPr>
              <w:t xml:space="preserve">[−2.60, 1.28]</w:t>
            </w:r>
          </w:p>
        </w:tc>
        <w:tc>
          <w:tcPr/>
          <w:p>
            <w:pPr>
              <w:pStyle w:val="Compact"/>
            </w:pPr>
            <w:r>
              <w:rPr>
                <w:rFonts w:ascii="Times New Roman" w:hAnsi="Times New Roman"/>
                <w:sz w:val="20"/>
              </w:rPr>
              <w:t xml:space="preserve">.505</w:t>
            </w:r>
          </w:p>
        </w:tc>
      </w:tr>
      <w:tr>
        <w:tc>
          <w:tcPr/>
          <w:p>
            <w:pPr>
              <w:pStyle w:val="Compact"/>
            </w:pPr>
            <w:r>
              <w:rPr>
                <w:rFonts w:ascii="Times New Roman" w:hAnsi="Times New Roman"/>
                <w:sz w:val="20"/>
              </w:rPr>
              <w:t xml:space="preserve">Bisexual or pansexual</w:t>
            </w:r>
          </w:p>
        </w:tc>
        <w:tc>
          <w:tcPr/>
          <w:p>
            <w:pPr>
              <w:pStyle w:val="Compact"/>
            </w:pPr>
            <w:r>
              <w:rPr>
                <w:rFonts w:ascii="Times New Roman" w:hAnsi="Times New Roman"/>
                <w:sz w:val="20"/>
              </w:rPr>
              <w:t xml:space="preserve">−0.64</w:t>
            </w:r>
          </w:p>
        </w:tc>
        <w:tc>
          <w:tcPr/>
          <w:p>
            <w:pPr>
              <w:pStyle w:val="Compact"/>
            </w:pPr>
            <w:r>
              <w:rPr>
                <w:rFonts w:ascii="Times New Roman" w:hAnsi="Times New Roman"/>
                <w:sz w:val="20"/>
              </w:rPr>
              <w:t xml:space="preserve">0.84</w:t>
            </w:r>
          </w:p>
        </w:tc>
        <w:tc>
          <w:tcPr/>
          <w:p>
            <w:pPr>
              <w:pStyle w:val="Compact"/>
            </w:pPr>
            <w:r>
              <w:rPr>
                <w:rFonts w:ascii="Times New Roman" w:hAnsi="Times New Roman"/>
                <w:sz w:val="20"/>
              </w:rPr>
              <w:t xml:space="preserve">[−2.30, 1.02]</w:t>
            </w:r>
          </w:p>
        </w:tc>
        <w:tc>
          <w:tcPr/>
          <w:p>
            <w:pPr>
              <w:pStyle w:val="Compact"/>
            </w:pPr>
            <w:r>
              <w:rPr>
                <w:rFonts w:ascii="Times New Roman" w:hAnsi="Times New Roman"/>
                <w:sz w:val="20"/>
              </w:rPr>
              <w:t xml:space="preserve">.447</w:t>
            </w:r>
          </w:p>
        </w:tc>
      </w:tr>
      <w:tr>
        <w:tc>
          <w:tcPr/>
          <w:p>
            <w:pPr>
              <w:pStyle w:val="Compact"/>
            </w:pPr>
            <w:r>
              <w:rPr>
                <w:rFonts w:ascii="Times New Roman" w:hAnsi="Times New Roman"/>
                <w:sz w:val="20"/>
              </w:rPr>
              <w:t xml:space="preserve">Other or questioning</w:t>
            </w:r>
          </w:p>
        </w:tc>
        <w:tc>
          <w:tcPr/>
          <w:p>
            <w:pPr>
              <w:pStyle w:val="Compact"/>
            </w:pPr>
            <w:r>
              <w:rPr>
                <w:rFonts w:ascii="Times New Roman" w:hAnsi="Times New Roman"/>
                <w:sz w:val="20"/>
              </w:rPr>
              <w:t xml:space="preserve">−1.12</w:t>
            </w:r>
          </w:p>
        </w:tc>
        <w:tc>
          <w:tcPr/>
          <w:p>
            <w:pPr>
              <w:pStyle w:val="Compact"/>
            </w:pPr>
            <w:r>
              <w:rPr>
                <w:rFonts w:ascii="Times New Roman" w:hAnsi="Times New Roman"/>
                <w:sz w:val="20"/>
              </w:rPr>
              <w:t xml:space="preserve">1.42</w:t>
            </w:r>
          </w:p>
        </w:tc>
        <w:tc>
          <w:tcPr/>
          <w:p>
            <w:pPr>
              <w:pStyle w:val="Compact"/>
            </w:pPr>
            <w:r>
              <w:rPr>
                <w:rFonts w:ascii="Times New Roman" w:hAnsi="Times New Roman"/>
                <w:sz w:val="20"/>
              </w:rPr>
              <w:t xml:space="preserve">[−3.92, 1.69]</w:t>
            </w:r>
          </w:p>
        </w:tc>
        <w:tc>
          <w:tcPr/>
          <w:p>
            <w:pPr>
              <w:pStyle w:val="Compact"/>
            </w:pPr>
            <w:r>
              <w:rPr>
                <w:rFonts w:ascii="Times New Roman" w:hAnsi="Times New Roman"/>
                <w:sz w:val="20"/>
              </w:rPr>
              <w:t xml:space="preserve">.433</w:t>
            </w:r>
          </w:p>
        </w:tc>
      </w:tr>
      <w:tr>
        <w:tc>
          <w:tcPr/>
          <w:p>
            <w:pPr>
              <w:pStyle w:val="Compact"/>
            </w:pPr>
            <w:r>
              <w:rPr>
                <w:rFonts w:ascii="Times New Roman" w:hAnsi="Times New Roman"/>
                <w:sz w:val="20"/>
              </w:rPr>
              <w:t xml:space="preserve">Partner (ref. no partner)</w:t>
            </w:r>
          </w:p>
        </w:tc>
        <w:tc>
          <w:tcPr/>
          <w:p>
            <w:pPr>
              <w:pStyle w:val="Compact"/>
            </w:pPr>
            <w:r>
              <w:rPr>
                <w:rFonts w:ascii="Times New Roman" w:hAnsi="Times New Roman"/>
                <w:sz w:val="20"/>
              </w:rPr>
              <w:t xml:space="preserve">0.46</w:t>
            </w:r>
          </w:p>
        </w:tc>
        <w:tc>
          <w:tcPr/>
          <w:p>
            <w:pPr>
              <w:pStyle w:val="Compact"/>
            </w:pPr>
            <w:r>
              <w:rPr>
                <w:rFonts w:ascii="Times New Roman" w:hAnsi="Times New Roman"/>
                <w:sz w:val="20"/>
              </w:rPr>
              <w:t xml:space="preserve">0.50</w:t>
            </w:r>
          </w:p>
        </w:tc>
        <w:tc>
          <w:tcPr/>
          <w:p>
            <w:pPr>
              <w:pStyle w:val="Compact"/>
            </w:pPr>
            <w:r>
              <w:rPr>
                <w:rFonts w:ascii="Times New Roman" w:hAnsi="Times New Roman"/>
                <w:sz w:val="20"/>
              </w:rPr>
              <w:t xml:space="preserve">[−0.53, 1.45]</w:t>
            </w:r>
          </w:p>
        </w:tc>
        <w:tc>
          <w:tcPr/>
          <w:p>
            <w:pPr>
              <w:pStyle w:val="Compact"/>
            </w:pPr>
            <w:r>
              <w:rPr>
                <w:rFonts w:ascii="Times New Roman" w:hAnsi="Times New Roman"/>
                <w:sz w:val="20"/>
              </w:rPr>
              <w:t xml:space="preserve">.361</w:t>
            </w:r>
          </w:p>
        </w:tc>
      </w:tr>
      <w:tr>
        <w:tc>
          <w:tcPr/>
          <w:p>
            <w:pPr>
              <w:pStyle w:val="Compact"/>
            </w:pPr>
            <w:r>
              <w:rPr>
                <w:rFonts w:ascii="Times New Roman" w:hAnsi="Times New Roman"/>
                <w:sz w:val="20"/>
              </w:rPr>
              <w:t xml:space="preserve">Separated, divorced, or widowed</w:t>
            </w:r>
          </w:p>
        </w:tc>
        <w:tc>
          <w:tcPr/>
          <w:p>
            <w:pPr>
              <w:pStyle w:val="Compact"/>
            </w:pPr>
            <w:r>
              <w:rPr>
                <w:rFonts w:ascii="Times New Roman" w:hAnsi="Times New Roman"/>
                <w:sz w:val="20"/>
              </w:rPr>
              <w:t xml:space="preserve">not reported</w:t>
            </w:r>
          </w:p>
        </w:tc>
        <w:tc>
          <w:tcPr/>
          <w:p>
            <w:pPr>
              <w:pStyle w:val="Compact"/>
            </w:pPr>
          </w:p>
        </w:tc>
        <w:tc>
          <w:tcPr/>
          <w:p>
            <w:pPr>
              <w:pStyle w:val="Compact"/>
            </w:pPr>
          </w:p>
        </w:tc>
        <w:tc>
          <w:tcPr/>
          <w:p>
            <w:pPr>
              <w:pStyle w:val="Compact"/>
            </w:pPr>
          </w:p>
        </w:tc>
      </w:tr>
      <w:tr>
        <w:tc>
          <w:tcPr/>
          <w:p>
            <w:pPr>
              <w:pStyle w:val="Compact"/>
            </w:pPr>
            <w:r>
              <w:rPr>
                <w:rFonts w:ascii="Times New Roman" w:hAnsi="Times New Roman"/>
                <w:sz w:val="20"/>
              </w:rPr>
              <w:t xml:space="preserve">Prefer not to answer (relationship status)</w:t>
            </w:r>
          </w:p>
        </w:tc>
        <w:tc>
          <w:tcPr/>
          <w:p>
            <w:pPr>
              <w:pStyle w:val="Compact"/>
            </w:pPr>
            <w:r>
              <w:rPr>
                <w:rFonts w:ascii="Times New Roman" w:hAnsi="Times New Roman"/>
                <w:sz w:val="20"/>
              </w:rPr>
              <w:t xml:space="preserve">not reported</w:t>
            </w:r>
          </w:p>
        </w:tc>
        <w:tc>
          <w:tcPr/>
          <w:p>
            <w:pPr>
              <w:pStyle w:val="Compact"/>
            </w:pPr>
          </w:p>
        </w:tc>
        <w:tc>
          <w:tcPr/>
          <w:p>
            <w:pPr>
              <w:pStyle w:val="Compact"/>
            </w:pPr>
          </w:p>
        </w:tc>
        <w:tc>
          <w:tcPr/>
          <w:p>
            <w:pPr>
              <w:pStyle w:val="Compact"/>
            </w:pPr>
          </w:p>
        </w:tc>
      </w:tr>
      <w:tr>
        <w:tc>
          <w:tcPr/>
          <w:p>
            <w:pPr>
              <w:pStyle w:val="Compact"/>
            </w:pPr>
            <w:r>
              <w:rPr>
                <w:rFonts w:ascii="Times New Roman" w:hAnsi="Times New Roman"/>
                <w:sz w:val="20"/>
              </w:rPr>
              <w:t xml:space="preserve">Ho Chi Minh City (ref. Hanoi)</w:t>
            </w:r>
          </w:p>
        </w:tc>
        <w:tc>
          <w:tcPr/>
          <w:p>
            <w:pPr>
              <w:pStyle w:val="Compact"/>
            </w:pPr>
            <w:r>
              <w:rPr>
                <w:rFonts w:ascii="Times New Roman" w:hAnsi="Times New Roman"/>
                <w:sz w:val="20"/>
              </w:rPr>
              <w:t xml:space="preserve">0.67</w:t>
            </w:r>
          </w:p>
        </w:tc>
        <w:tc>
          <w:tcPr/>
          <w:p>
            <w:pPr>
              <w:pStyle w:val="Compact"/>
            </w:pPr>
            <w:r>
              <w:rPr>
                <w:rFonts w:ascii="Times New Roman" w:hAnsi="Times New Roman"/>
                <w:sz w:val="20"/>
              </w:rPr>
              <w:t xml:space="preserve">0.55</w:t>
            </w:r>
          </w:p>
        </w:tc>
        <w:tc>
          <w:tcPr/>
          <w:p>
            <w:pPr>
              <w:pStyle w:val="Compact"/>
            </w:pPr>
            <w:r>
              <w:rPr>
                <w:rFonts w:ascii="Times New Roman" w:hAnsi="Times New Roman"/>
                <w:sz w:val="20"/>
              </w:rPr>
              <w:t xml:space="preserve">[−0.41, 1.75]</w:t>
            </w:r>
          </w:p>
        </w:tc>
        <w:tc>
          <w:tcPr/>
          <w:p>
            <w:pPr>
              <w:pStyle w:val="Compact"/>
            </w:pPr>
            <w:r>
              <w:rPr>
                <w:rFonts w:ascii="Times New Roman" w:hAnsi="Times New Roman"/>
                <w:sz w:val="20"/>
              </w:rPr>
              <w:t xml:space="preserve">.223</w:t>
            </w:r>
          </w:p>
        </w:tc>
      </w:tr>
      <w:tr>
        <w:tc>
          <w:tcPr/>
          <w:p>
            <w:pPr>
              <w:pStyle w:val="Compact"/>
            </w:pPr>
            <w:r>
              <w:rPr>
                <w:rFonts w:ascii="Times New Roman" w:hAnsi="Times New Roman"/>
                <w:sz w:val="20"/>
              </w:rPr>
              <w:t xml:space="preserve">Da Nang</w:t>
            </w:r>
          </w:p>
        </w:tc>
        <w:tc>
          <w:tcPr/>
          <w:p>
            <w:pPr>
              <w:pStyle w:val="Compact"/>
            </w:pPr>
            <w:r>
              <w:rPr>
                <w:rFonts w:ascii="Times New Roman" w:hAnsi="Times New Roman"/>
                <w:sz w:val="20"/>
              </w:rPr>
              <w:t xml:space="preserve">1.60</w:t>
            </w:r>
          </w:p>
        </w:tc>
        <w:tc>
          <w:tcPr/>
          <w:p>
            <w:pPr>
              <w:pStyle w:val="Compact"/>
            </w:pPr>
            <w:r>
              <w:rPr>
                <w:rFonts w:ascii="Times New Roman" w:hAnsi="Times New Roman"/>
                <w:sz w:val="20"/>
              </w:rPr>
              <w:t xml:space="preserve">0.78</w:t>
            </w:r>
          </w:p>
        </w:tc>
        <w:tc>
          <w:tcPr/>
          <w:p>
            <w:pPr>
              <w:pStyle w:val="Compact"/>
            </w:pPr>
            <w:r>
              <w:rPr>
                <w:rFonts w:ascii="Times New Roman" w:hAnsi="Times New Roman"/>
                <w:sz w:val="20"/>
              </w:rPr>
              <w:t xml:space="preserve">[0.06, 3.15]</w:t>
            </w:r>
          </w:p>
        </w:tc>
        <w:tc>
          <w:tcPr/>
          <w:p>
            <w:pPr>
              <w:pStyle w:val="Compact"/>
            </w:pPr>
            <w:r>
              <w:rPr>
                <w:rFonts w:ascii="Times New Roman" w:hAnsi="Times New Roman"/>
                <w:sz w:val="20"/>
              </w:rPr>
              <w:t xml:space="preserve">.042</w:t>
            </w:r>
          </w:p>
        </w:tc>
      </w:tr>
      <w:tr>
        <w:tc>
          <w:tcPr/>
          <w:p>
            <w:pPr>
              <w:pStyle w:val="Compact"/>
            </w:pPr>
            <w:r>
              <w:rPr>
                <w:rFonts w:ascii="Times New Roman" w:hAnsi="Times New Roman"/>
                <w:sz w:val="20"/>
              </w:rPr>
              <w:t xml:space="preserve">Elsewhere</w:t>
            </w:r>
          </w:p>
        </w:tc>
        <w:tc>
          <w:tcPr/>
          <w:p>
            <w:pPr>
              <w:pStyle w:val="Compact"/>
            </w:pPr>
            <w:r>
              <w:rPr>
                <w:rFonts w:ascii="Times New Roman" w:hAnsi="Times New Roman"/>
                <w:sz w:val="20"/>
              </w:rPr>
              <w:t xml:space="preserve">0.85</w:t>
            </w:r>
          </w:p>
        </w:tc>
        <w:tc>
          <w:tcPr/>
          <w:p>
            <w:pPr>
              <w:pStyle w:val="Compact"/>
            </w:pPr>
            <w:r>
              <w:rPr>
                <w:rFonts w:ascii="Times New Roman" w:hAnsi="Times New Roman"/>
                <w:sz w:val="20"/>
              </w:rPr>
              <w:t xml:space="preserve">0.95</w:t>
            </w:r>
          </w:p>
        </w:tc>
        <w:tc>
          <w:tcPr/>
          <w:p>
            <w:pPr>
              <w:pStyle w:val="Compact"/>
            </w:pPr>
            <w:r>
              <w:rPr>
                <w:rFonts w:ascii="Times New Roman" w:hAnsi="Times New Roman"/>
                <w:sz w:val="20"/>
              </w:rPr>
              <w:t xml:space="preserve">[−1.02, 2.72]</w:t>
            </w:r>
          </w:p>
        </w:tc>
        <w:tc>
          <w:tcPr/>
          <w:p>
            <w:pPr>
              <w:pStyle w:val="Compact"/>
            </w:pPr>
            <w:r>
              <w:rPr>
                <w:rFonts w:ascii="Times New Roman" w:hAnsi="Times New Roman"/>
                <w:sz w:val="20"/>
              </w:rPr>
              <w:t xml:space="preserve">.371</w:t>
            </w:r>
          </w:p>
        </w:tc>
      </w:tr>
      <w:tr>
        <w:tc>
          <w:tcPr/>
          <w:p>
            <w:pPr>
              <w:pStyle w:val="Compact"/>
            </w:pPr>
            <w:r>
              <w:rPr>
                <w:rFonts w:ascii="Times New Roman" w:hAnsi="Times New Roman"/>
                <w:sz w:val="20"/>
              </w:rPr>
              <w:t xml:space="preserve">Information technology (ref. finance and banking)</w:t>
            </w:r>
          </w:p>
        </w:tc>
        <w:tc>
          <w:tcPr/>
          <w:p>
            <w:pPr>
              <w:pStyle w:val="Compact"/>
            </w:pPr>
            <w:r>
              <w:rPr>
                <w:rFonts w:ascii="Times New Roman" w:hAnsi="Times New Roman"/>
                <w:sz w:val="20"/>
              </w:rPr>
              <w:t xml:space="preserve">−0.93</w:t>
            </w:r>
          </w:p>
        </w:tc>
        <w:tc>
          <w:tcPr/>
          <w:p>
            <w:pPr>
              <w:pStyle w:val="Compact"/>
            </w:pPr>
            <w:r>
              <w:rPr>
                <w:rFonts w:ascii="Times New Roman" w:hAnsi="Times New Roman"/>
                <w:sz w:val="20"/>
              </w:rPr>
              <w:t xml:space="preserve">1.12</w:t>
            </w:r>
          </w:p>
        </w:tc>
        <w:tc>
          <w:tcPr/>
          <w:p>
            <w:pPr>
              <w:pStyle w:val="Compact"/>
            </w:pPr>
            <w:r>
              <w:rPr>
                <w:rFonts w:ascii="Times New Roman" w:hAnsi="Times New Roman"/>
                <w:sz w:val="20"/>
              </w:rPr>
              <w:t xml:space="preserve">[−3.13, 1.27]</w:t>
            </w:r>
          </w:p>
        </w:tc>
        <w:tc>
          <w:tcPr/>
          <w:p>
            <w:pPr>
              <w:pStyle w:val="Compact"/>
            </w:pPr>
            <w:r>
              <w:rPr>
                <w:rFonts w:ascii="Times New Roman" w:hAnsi="Times New Roman"/>
                <w:sz w:val="20"/>
              </w:rPr>
              <w:t xml:space="preserve">.407</w:t>
            </w:r>
          </w:p>
        </w:tc>
      </w:tr>
      <w:tr>
        <w:tc>
          <w:tcPr/>
          <w:p>
            <w:pPr>
              <w:pStyle w:val="Compact"/>
            </w:pPr>
            <w:r>
              <w:rPr>
                <w:rFonts w:ascii="Times New Roman" w:hAnsi="Times New Roman"/>
                <w:sz w:val="20"/>
              </w:rPr>
              <w:t xml:space="preserve">Education</w:t>
            </w:r>
          </w:p>
        </w:tc>
        <w:tc>
          <w:tcPr/>
          <w:p>
            <w:pPr>
              <w:pStyle w:val="Compact"/>
            </w:pPr>
            <w:r>
              <w:rPr>
                <w:rFonts w:ascii="Times New Roman" w:hAnsi="Times New Roman"/>
                <w:sz w:val="20"/>
              </w:rPr>
              <w:t xml:space="preserve">−0.54</w:t>
            </w:r>
          </w:p>
        </w:tc>
        <w:tc>
          <w:tcPr/>
          <w:p>
            <w:pPr>
              <w:pStyle w:val="Compact"/>
            </w:pPr>
            <w:r>
              <w:rPr>
                <w:rFonts w:ascii="Times New Roman" w:hAnsi="Times New Roman"/>
                <w:sz w:val="20"/>
              </w:rPr>
              <w:t xml:space="preserve">0.91</w:t>
            </w:r>
          </w:p>
        </w:tc>
        <w:tc>
          <w:tcPr/>
          <w:p>
            <w:pPr>
              <w:pStyle w:val="Compact"/>
            </w:pPr>
            <w:r>
              <w:rPr>
                <w:rFonts w:ascii="Times New Roman" w:hAnsi="Times New Roman"/>
                <w:sz w:val="20"/>
              </w:rPr>
              <w:t xml:space="preserve">[−2.35, 1.26]</w:t>
            </w:r>
          </w:p>
        </w:tc>
        <w:tc>
          <w:tcPr/>
          <w:p>
            <w:pPr>
              <w:pStyle w:val="Compact"/>
            </w:pPr>
            <w:r>
              <w:rPr>
                <w:rFonts w:ascii="Times New Roman" w:hAnsi="Times New Roman"/>
                <w:sz w:val="20"/>
              </w:rPr>
              <w:t xml:space="preserve">.553</w:t>
            </w:r>
          </w:p>
        </w:tc>
      </w:tr>
      <w:tr>
        <w:tc>
          <w:tcPr/>
          <w:p>
            <w:pPr>
              <w:pStyle w:val="Compact"/>
            </w:pPr>
            <w:r>
              <w:rPr>
                <w:rFonts w:ascii="Times New Roman" w:hAnsi="Times New Roman"/>
                <w:sz w:val="20"/>
              </w:rPr>
              <w:t xml:space="preserve">Health care</w:t>
            </w:r>
          </w:p>
        </w:tc>
        <w:tc>
          <w:tcPr/>
          <w:p>
            <w:pPr>
              <w:pStyle w:val="Compact"/>
            </w:pPr>
            <w:r>
              <w:rPr>
                <w:rFonts w:ascii="Times New Roman" w:hAnsi="Times New Roman"/>
                <w:sz w:val="20"/>
              </w:rPr>
              <w:t xml:space="preserve">not reported</w:t>
            </w:r>
          </w:p>
        </w:tc>
        <w:tc>
          <w:tcPr/>
          <w:p>
            <w:pPr>
              <w:pStyle w:val="Compact"/>
            </w:pPr>
          </w:p>
        </w:tc>
        <w:tc>
          <w:tcPr/>
          <w:p>
            <w:pPr>
              <w:pStyle w:val="Compact"/>
            </w:pPr>
          </w:p>
        </w:tc>
        <w:tc>
          <w:tcPr/>
          <w:p>
            <w:pPr>
              <w:pStyle w:val="Compact"/>
            </w:pPr>
          </w:p>
        </w:tc>
      </w:tr>
      <w:tr>
        <w:tc>
          <w:tcPr/>
          <w:p>
            <w:pPr>
              <w:pStyle w:val="Compact"/>
            </w:pPr>
            <w:r>
              <w:rPr>
                <w:rFonts w:ascii="Times New Roman" w:hAnsi="Times New Roman"/>
                <w:sz w:val="20"/>
              </w:rPr>
              <w:t xml:space="preserve">Trade and services</w:t>
            </w:r>
          </w:p>
        </w:tc>
        <w:tc>
          <w:tcPr/>
          <w:p>
            <w:pPr>
              <w:pStyle w:val="Compact"/>
            </w:pPr>
            <w:r>
              <w:rPr>
                <w:rFonts w:ascii="Times New Roman" w:hAnsi="Times New Roman"/>
                <w:sz w:val="20"/>
              </w:rPr>
              <w:t xml:space="preserve">−0.33</w:t>
            </w:r>
          </w:p>
        </w:tc>
        <w:tc>
          <w:tcPr/>
          <w:p>
            <w:pPr>
              <w:pStyle w:val="Compact"/>
            </w:pPr>
            <w:r>
              <w:rPr>
                <w:rFonts w:ascii="Times New Roman" w:hAnsi="Times New Roman"/>
                <w:sz w:val="20"/>
              </w:rPr>
              <w:t xml:space="preserve">1.26</w:t>
            </w:r>
          </w:p>
        </w:tc>
        <w:tc>
          <w:tcPr/>
          <w:p>
            <w:pPr>
              <w:pStyle w:val="Compact"/>
            </w:pPr>
            <w:r>
              <w:rPr>
                <w:rFonts w:ascii="Times New Roman" w:hAnsi="Times New Roman"/>
                <w:sz w:val="20"/>
              </w:rPr>
              <w:t xml:space="preserve">[−2.81, 2.16]</w:t>
            </w:r>
          </w:p>
        </w:tc>
        <w:tc>
          <w:tcPr/>
          <w:p>
            <w:pPr>
              <w:pStyle w:val="Compact"/>
            </w:pPr>
            <w:r>
              <w:rPr>
                <w:rFonts w:ascii="Times New Roman" w:hAnsi="Times New Roman"/>
                <w:sz w:val="20"/>
              </w:rPr>
              <w:t xml:space="preserve">.796</w:t>
            </w:r>
          </w:p>
        </w:tc>
      </w:tr>
      <w:tr>
        <w:tc>
          <w:tcPr/>
          <w:p>
            <w:pPr>
              <w:pStyle w:val="Compact"/>
            </w:pPr>
            <w:r>
              <w:rPr>
                <w:rFonts w:ascii="Times New Roman" w:hAnsi="Times New Roman"/>
                <w:sz w:val="20"/>
              </w:rPr>
              <w:t xml:space="preserve">Manufacturing</w:t>
            </w:r>
          </w:p>
        </w:tc>
        <w:tc>
          <w:tcPr/>
          <w:p>
            <w:pPr>
              <w:pStyle w:val="Compact"/>
            </w:pPr>
            <w:r>
              <w:rPr>
                <w:rFonts w:ascii="Times New Roman" w:hAnsi="Times New Roman"/>
                <w:sz w:val="20"/>
              </w:rPr>
              <w:t xml:space="preserve">−1.38</w:t>
            </w:r>
          </w:p>
        </w:tc>
        <w:tc>
          <w:tcPr/>
          <w:p>
            <w:pPr>
              <w:pStyle w:val="Compact"/>
            </w:pPr>
            <w:r>
              <w:rPr>
                <w:rFonts w:ascii="Times New Roman" w:hAnsi="Times New Roman"/>
                <w:sz w:val="20"/>
              </w:rPr>
              <w:t xml:space="preserve">1.06</w:t>
            </w:r>
          </w:p>
        </w:tc>
        <w:tc>
          <w:tcPr/>
          <w:p>
            <w:pPr>
              <w:pStyle w:val="Compact"/>
            </w:pPr>
            <w:r>
              <w:rPr>
                <w:rFonts w:ascii="Times New Roman" w:hAnsi="Times New Roman"/>
                <w:sz w:val="20"/>
              </w:rPr>
              <w:t xml:space="preserve">[−3.48, 0.72]</w:t>
            </w:r>
          </w:p>
        </w:tc>
        <w:tc>
          <w:tcPr/>
          <w:p>
            <w:pPr>
              <w:pStyle w:val="Compact"/>
            </w:pPr>
            <w:r>
              <w:rPr>
                <w:rFonts w:ascii="Times New Roman" w:hAnsi="Times New Roman"/>
                <w:sz w:val="20"/>
              </w:rPr>
              <w:t xml:space="preserve">.195</w:t>
            </w:r>
          </w:p>
        </w:tc>
      </w:tr>
      <w:tr>
        <w:tc>
          <w:tcPr/>
          <w:p>
            <w:pPr>
              <w:pStyle w:val="Compact"/>
            </w:pPr>
            <w:r>
              <w:rPr>
                <w:rFonts w:ascii="Times New Roman" w:hAnsi="Times New Roman"/>
                <w:sz w:val="20"/>
              </w:rPr>
              <w:t xml:space="preserve">Media and marketing</w:t>
            </w:r>
          </w:p>
        </w:tc>
        <w:tc>
          <w:tcPr/>
          <w:p>
            <w:pPr>
              <w:pStyle w:val="Compact"/>
            </w:pPr>
            <w:r>
              <w:rPr>
                <w:rFonts w:ascii="Times New Roman" w:hAnsi="Times New Roman"/>
                <w:sz w:val="20"/>
              </w:rPr>
              <w:t xml:space="preserve">−0.31</w:t>
            </w:r>
          </w:p>
        </w:tc>
        <w:tc>
          <w:tcPr/>
          <w:p>
            <w:pPr>
              <w:pStyle w:val="Compact"/>
            </w:pPr>
            <w:r>
              <w:rPr>
                <w:rFonts w:ascii="Times New Roman" w:hAnsi="Times New Roman"/>
                <w:sz w:val="20"/>
              </w:rPr>
              <w:t xml:space="preserve">1.06</w:t>
            </w:r>
          </w:p>
        </w:tc>
        <w:tc>
          <w:tcPr/>
          <w:p>
            <w:pPr>
              <w:pStyle w:val="Compact"/>
            </w:pPr>
            <w:r>
              <w:rPr>
                <w:rFonts w:ascii="Times New Roman" w:hAnsi="Times New Roman"/>
                <w:sz w:val="20"/>
              </w:rPr>
              <w:t xml:space="preserve">[−2.41, 1.78]</w:t>
            </w:r>
          </w:p>
        </w:tc>
        <w:tc>
          <w:tcPr/>
          <w:p>
            <w:pPr>
              <w:pStyle w:val="Compact"/>
            </w:pPr>
            <w:r>
              <w:rPr>
                <w:rFonts w:ascii="Times New Roman" w:hAnsi="Times New Roman"/>
                <w:sz w:val="20"/>
              </w:rPr>
              <w:t xml:space="preserve">.768</w:t>
            </w:r>
          </w:p>
        </w:tc>
      </w:tr>
      <w:tr>
        <w:tc>
          <w:tcPr/>
          <w:p>
            <w:pPr>
              <w:pStyle w:val="Compact"/>
            </w:pPr>
            <w:r>
              <w:rPr>
                <w:rFonts w:ascii="Times New Roman" w:hAnsi="Times New Roman"/>
                <w:sz w:val="20"/>
              </w:rPr>
              <w:t xml:space="preserve">Other industry</w:t>
            </w:r>
          </w:p>
        </w:tc>
        <w:tc>
          <w:tcPr/>
          <w:p>
            <w:pPr>
              <w:pStyle w:val="Compact"/>
            </w:pPr>
            <w:r>
              <w:rPr>
                <w:rFonts w:ascii="Times New Roman" w:hAnsi="Times New Roman"/>
                <w:sz w:val="20"/>
              </w:rPr>
              <w:t xml:space="preserve">−1.10</w:t>
            </w:r>
          </w:p>
        </w:tc>
        <w:tc>
          <w:tcPr/>
          <w:p>
            <w:pPr>
              <w:pStyle w:val="Compact"/>
            </w:pPr>
            <w:r>
              <w:rPr>
                <w:rFonts w:ascii="Times New Roman" w:hAnsi="Times New Roman"/>
                <w:sz w:val="20"/>
              </w:rPr>
              <w:t xml:space="preserve">0.89</w:t>
            </w:r>
          </w:p>
        </w:tc>
        <w:tc>
          <w:tcPr/>
          <w:p>
            <w:pPr>
              <w:pStyle w:val="Compact"/>
            </w:pPr>
            <w:r>
              <w:rPr>
                <w:rFonts w:ascii="Times New Roman" w:hAnsi="Times New Roman"/>
                <w:sz w:val="20"/>
              </w:rPr>
              <w:t xml:space="preserve">[−2.85, 0.66]</w:t>
            </w:r>
          </w:p>
        </w:tc>
        <w:tc>
          <w:tcPr/>
          <w:p>
            <w:pPr>
              <w:pStyle w:val="Compact"/>
            </w:pPr>
            <w:r>
              <w:rPr>
                <w:rFonts w:ascii="Times New Roman" w:hAnsi="Times New Roman"/>
                <w:sz w:val="20"/>
              </w:rPr>
              <w:t xml:space="preserve">.220</w:t>
            </w:r>
          </w:p>
        </w:tc>
      </w:tr>
    </w:tbl>
    <w:p>
      <w:pPr>
        <w:pStyle w:val="BodyText"/>
      </w:pPr>
      <w:r>
        <w:rPr>
          <w:i/>
          <w:iCs/>
        </w:rPr>
        <w:t xml:space="preserve">Note.</w:t>
      </w:r>
      <w:r>
        <w:t xml:space="preserve"> </w:t>
      </w:r>
      <w:r>
        <w:t xml:space="preserve">Descriptive regression without the stigma index; ordinary least squares with HC3 standard errors. Coefficients for categories with fewer than 10 respondents, and for gender minority status, were estimated but are not reported. Sparse categories were merged before estimation (Supplementary Methods S1).</w:t>
      </w:r>
    </w:p>
    <w:p>
      <w:pPr>
        <w:pStyle w:val="BodyText"/>
      </w:pPr>
      <w:r>
        <w:rPr>
          <w:b/>
          <w:bCs/>
        </w:rPr>
        <w:t xml:space="preserve">Table S2</w:t>
      </w:r>
      <w:r>
        <w:t xml:space="preserve"> </w:t>
      </w:r>
      <w:r>
        <w:rPr>
          <w:i/>
          <w:iCs/>
        </w:rPr>
        <w:t xml:space="preserve">Diagnostics of the main model (n = 235)</w:t>
      </w:r>
    </w:p>
    <w:tbl>
      <w:tblPr>
        <w:tblStyle w:val="Table"/>
        <w:tblW w:type="pct" w:w="5000"/>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3960"/>
        <w:gridCol w:w="3960"/>
      </w:tblGrid>
      <w:tr>
        <w:trPr>
          <w:tblHeader w:val="on"/>
        </w:trPr>
        <w:tc>
          <w:tcPr>
            <w:tcBorders>
              <w:bottom w:val="single" w:sz="6" w:space="0" w:color="000000"/>
            </w:tcBorders>
          </w:tcPr>
          <w:p>
            <w:pPr>
              <w:pStyle w:val="Compact"/>
            </w:pPr>
            <w:r>
              <w:rPr>
                <w:rFonts w:ascii="Times New Roman" w:hAnsi="Times New Roman"/>
                <w:sz w:val="20"/>
              </w:rPr>
              <w:t xml:space="preserve">Diagnostic</w:t>
            </w:r>
          </w:p>
        </w:tc>
        <w:tc>
          <w:tcPr>
            <w:tcBorders>
              <w:bottom w:val="single" w:sz="6" w:space="0" w:color="000000"/>
            </w:tcBorders>
          </w:tcPr>
          <w:p>
            <w:pPr>
              <w:pStyle w:val="Compact"/>
            </w:pPr>
            <w:r>
              <w:rPr>
                <w:rFonts w:ascii="Times New Roman" w:hAnsi="Times New Roman"/>
                <w:sz w:val="20"/>
              </w:rPr>
              <w:t xml:space="preserve">Value</w:t>
            </w:r>
          </w:p>
        </w:tc>
      </w:tr>
      <w:tr>
        <w:tc>
          <w:tcPr/>
          <w:p>
            <w:pPr>
              <w:pStyle w:val="Compact"/>
            </w:pPr>
            <w:r>
              <w:rPr>
                <w:rFonts w:ascii="Times New Roman" w:hAnsi="Times New Roman"/>
                <w:sz w:val="20"/>
              </w:rPr>
              <w:t xml:space="preserve">Breusch-Pagan test (fitted values)</w:t>
            </w:r>
          </w:p>
        </w:tc>
        <w:tc>
          <w:tcPr/>
          <w:p>
            <w:pPr>
              <w:pStyle w:val="Compact"/>
            </w:pPr>
            <w:r>
              <w:rPr>
                <w:rFonts w:ascii="Times New Roman" w:hAnsi="Times New Roman"/>
                <w:sz w:val="20"/>
              </w:rPr>
              <w:t xml:space="preserve">χ²(1) = 11.94,</w:t>
            </w:r>
            <w:r>
              <w:rPr>
                <w:rFonts w:ascii="Times New Roman" w:hAnsi="Times New Roman"/>
                <w:sz w:val="20"/>
              </w:rPr>
              <w:t xml:space="preserve"> </w:t>
            </w:r>
            <w:r>
              <w:rPr>
                <w:rFonts w:ascii="Times New Roman" w:hAnsi="Times New Roman"/>
                <w:i/>
                <w:iCs/>
                <w:sz w:val="20"/>
              </w:rPr>
              <w:t xml:space="preserve">p</w:t>
            </w:r>
            <w:r>
              <w:rPr>
                <w:rFonts w:ascii="Times New Roman" w:hAnsi="Times New Roman"/>
                <w:sz w:val="20"/>
              </w:rPr>
              <w:t xml:space="preserve"> </w:t>
            </w:r>
            <w:r>
              <w:rPr>
                <w:rFonts w:ascii="Times New Roman" w:hAnsi="Times New Roman"/>
                <w:sz w:val="20"/>
              </w:rPr>
              <w:t xml:space="preserve">&lt; .001</w:t>
            </w:r>
          </w:p>
        </w:tc>
      </w:tr>
      <w:tr>
        <w:tc>
          <w:tcPr/>
          <w:p>
            <w:pPr>
              <w:pStyle w:val="Compact"/>
            </w:pPr>
            <w:r>
              <w:rPr>
                <w:rFonts w:ascii="Times New Roman" w:hAnsi="Times New Roman"/>
                <w:sz w:val="20"/>
              </w:rPr>
              <w:t xml:space="preserve">Ramsey RESET</w:t>
            </w:r>
          </w:p>
        </w:tc>
        <w:tc>
          <w:tcPr/>
          <w:p>
            <w:pPr>
              <w:pStyle w:val="Compact"/>
            </w:pPr>
            <w:r>
              <w:rPr>
                <w:rFonts w:ascii="Times New Roman" w:hAnsi="Times New Roman"/>
                <w:i/>
                <w:iCs/>
                <w:sz w:val="20"/>
              </w:rPr>
              <w:t xml:space="preserve">F</w:t>
            </w:r>
            <w:r>
              <w:rPr>
                <w:rFonts w:ascii="Times New Roman" w:hAnsi="Times New Roman"/>
                <w:sz w:val="20"/>
              </w:rPr>
              <w:t xml:space="preserve">(3, 206) = 2.34,</w:t>
            </w:r>
            <w:r>
              <w:rPr>
                <w:rFonts w:ascii="Times New Roman" w:hAnsi="Times New Roman"/>
                <w:sz w:val="20"/>
              </w:rPr>
              <w:t xml:space="preserve"> </w:t>
            </w:r>
            <w:r>
              <w:rPr>
                <w:rFonts w:ascii="Times New Roman" w:hAnsi="Times New Roman"/>
                <w:i/>
                <w:iCs/>
                <w:sz w:val="20"/>
              </w:rPr>
              <w:t xml:space="preserve">p</w:t>
            </w:r>
            <w:r>
              <w:rPr>
                <w:rFonts w:ascii="Times New Roman" w:hAnsi="Times New Roman"/>
                <w:sz w:val="20"/>
              </w:rPr>
              <w:t xml:space="preserve"> </w:t>
            </w:r>
            <w:r>
              <w:rPr>
                <w:rFonts w:ascii="Times New Roman" w:hAnsi="Times New Roman"/>
                <w:sz w:val="20"/>
              </w:rPr>
              <w:t xml:space="preserve">= .075</w:t>
            </w:r>
          </w:p>
        </w:tc>
      </w:tr>
      <w:tr>
        <w:tc>
          <w:tcPr/>
          <w:p>
            <w:pPr>
              <w:pStyle w:val="Compact"/>
            </w:pPr>
            <w:r>
              <w:rPr>
                <w:rFonts w:ascii="Times New Roman" w:hAnsi="Times New Roman"/>
                <w:sz w:val="20"/>
              </w:rPr>
              <w:t xml:space="preserve">GVIF^(1/(2df)): stigma index; age; education; sex at birth; gender minority status; sexual orientation group; relationship status; region; industry</w:t>
            </w:r>
          </w:p>
        </w:tc>
        <w:tc>
          <w:tcPr/>
          <w:p>
            <w:pPr>
              <w:pStyle w:val="Compact"/>
            </w:pPr>
            <w:r>
              <w:rPr>
                <w:rFonts w:ascii="Times New Roman" w:hAnsi="Times New Roman"/>
                <w:sz w:val="20"/>
              </w:rPr>
              <w:t xml:space="preserve">1.064; 1.081; 1.066; 1.724; 1.112; 1.239; 1.066; 1.057; 1.042</w:t>
            </w:r>
          </w:p>
        </w:tc>
      </w:tr>
      <w:tr>
        <w:tc>
          <w:tcPr/>
          <w:p>
            <w:pPr>
              <w:pStyle w:val="Compact"/>
            </w:pPr>
            <w:r>
              <w:rPr>
                <w:rFonts w:ascii="Times New Roman" w:hAnsi="Times New Roman"/>
                <w:sz w:val="20"/>
              </w:rPr>
              <w:t xml:space="preserve">Observations with Cook’s distance &gt; 4/</w:t>
            </w:r>
            <w:r>
              <w:rPr>
                <w:rFonts w:ascii="Times New Roman" w:hAnsi="Times New Roman"/>
                <w:i/>
                <w:iCs/>
                <w:sz w:val="20"/>
              </w:rPr>
              <w:t xml:space="preserve">n</w:t>
            </w:r>
          </w:p>
        </w:tc>
        <w:tc>
          <w:tcPr/>
          <w:p>
            <w:pPr>
              <w:pStyle w:val="Compact"/>
            </w:pPr>
            <w:r>
              <w:rPr>
                <w:rFonts w:ascii="Times New Roman" w:hAnsi="Times New Roman"/>
                <w:sz w:val="20"/>
              </w:rPr>
              <w:t xml:space="preserve">19</w:t>
            </w:r>
          </w:p>
        </w:tc>
      </w:tr>
      <w:tr>
        <w:tc>
          <w:tcPr/>
          <w:p>
            <w:pPr>
              <w:pStyle w:val="Compact"/>
            </w:pPr>
            <w:r>
              <w:rPr>
                <w:rFonts w:ascii="Times New Roman" w:hAnsi="Times New Roman"/>
                <w:sz w:val="20"/>
              </w:rPr>
              <w:t xml:space="preserve">Observations with leverage &gt; 2</w:t>
            </w:r>
            <w:r>
              <w:rPr>
                <w:rFonts w:ascii="Times New Roman" w:hAnsi="Times New Roman"/>
                <w:i/>
                <w:iCs/>
                <w:sz w:val="20"/>
              </w:rPr>
              <w:t xml:space="preserve">k</w:t>
            </w:r>
            <w:r>
              <w:rPr>
                <w:rFonts w:ascii="Times New Roman" w:hAnsi="Times New Roman"/>
                <w:sz w:val="20"/>
              </w:rPr>
              <w:t xml:space="preserve">/</w:t>
            </w:r>
            <w:r>
              <w:rPr>
                <w:rFonts w:ascii="Times New Roman" w:hAnsi="Times New Roman"/>
                <w:i/>
                <w:iCs/>
                <w:sz w:val="20"/>
              </w:rPr>
              <w:t xml:space="preserve">n</w:t>
            </w:r>
          </w:p>
        </w:tc>
        <w:tc>
          <w:tcPr/>
          <w:p>
            <w:pPr>
              <w:pStyle w:val="Compact"/>
            </w:pPr>
            <w:r>
              <w:rPr>
                <w:rFonts w:ascii="Times New Roman" w:hAnsi="Times New Roman"/>
                <w:sz w:val="20"/>
              </w:rPr>
              <w:t xml:space="preserve">15</w:t>
            </w:r>
          </w:p>
        </w:tc>
      </w:tr>
      <w:tr>
        <w:tc>
          <w:tcPr/>
          <w:p>
            <w:pPr>
              <w:pStyle w:val="Compact"/>
            </w:pPr>
            <w:r>
              <w:rPr>
                <w:rFonts w:ascii="Times New Roman" w:hAnsi="Times New Roman"/>
                <w:sz w:val="20"/>
              </w:rPr>
              <w:t xml:space="preserve">Largest leverage</w:t>
            </w:r>
          </w:p>
        </w:tc>
        <w:tc>
          <w:tcPr/>
          <w:p>
            <w:pPr>
              <w:pStyle w:val="Compact"/>
            </w:pPr>
            <w:r>
              <w:rPr>
                <w:rFonts w:ascii="Times New Roman" w:hAnsi="Times New Roman"/>
                <w:sz w:val="20"/>
              </w:rPr>
              <w:t xml:space="preserve">0.29</w:t>
            </w:r>
          </w:p>
        </w:tc>
      </w:tr>
    </w:tbl>
    <w:p>
      <w:pPr>
        <w:pStyle w:val="BodyText"/>
      </w:pPr>
      <w:r>
        <w:rPr>
          <w:i/>
          <w:iCs/>
        </w:rPr>
        <w:t xml:space="preserve">Note.</w:t>
      </w:r>
      <w:r>
        <w:t xml:space="preserve"> </w:t>
      </w:r>
      <w:r>
        <w:t xml:space="preserve">The diagnostics are descriptive. HC3 standard errors were fixed before estimation regardless of the heteroskedasticity test.</w:t>
      </w:r>
    </w:p>
    <w:p>
      <w:pPr>
        <w:pStyle w:val="BodyText"/>
      </w:pPr>
      <w:r>
        <w:rPr>
          <w:b/>
          <w:bCs/>
        </w:rPr>
        <w:t xml:space="preserve">Table S3</w:t>
      </w:r>
      <w:r>
        <w:t xml:space="preserve"> </w:t>
      </w:r>
      <w:r>
        <w:rPr>
          <w:i/>
          <w:iCs/>
        </w:rPr>
        <w:t xml:space="preserve">Sensitivity to unmeasured confounding (Cinelli &amp; Hazlett, 2020)</w:t>
      </w:r>
    </w:p>
    <w:tbl>
      <w:tblPr>
        <w:tblStyle w:val="Table"/>
        <w:tblW w:type="pct" w:w="5000"/>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3960"/>
        <w:gridCol w:w="3960"/>
      </w:tblGrid>
      <w:tr>
        <w:trPr>
          <w:tblHeader w:val="on"/>
        </w:trPr>
        <w:tc>
          <w:tcPr>
            <w:tcBorders>
              <w:bottom w:val="single" w:sz="6" w:space="0" w:color="000000"/>
            </w:tcBorders>
          </w:tcPr>
          <w:p>
            <w:pPr>
              <w:pStyle w:val="Compact"/>
            </w:pPr>
            <w:r>
              <w:rPr>
                <w:rFonts w:ascii="Times New Roman" w:hAnsi="Times New Roman"/>
                <w:sz w:val="20"/>
              </w:rPr>
              <w:t xml:space="preserve">Quantity</w:t>
            </w:r>
          </w:p>
        </w:tc>
        <w:tc>
          <w:tcPr>
            <w:tcBorders>
              <w:bottom w:val="single" w:sz="6" w:space="0" w:color="000000"/>
            </w:tcBorders>
          </w:tcPr>
          <w:p>
            <w:pPr>
              <w:pStyle w:val="Compact"/>
            </w:pPr>
            <w:r>
              <w:rPr>
                <w:rFonts w:ascii="Times New Roman" w:hAnsi="Times New Roman"/>
                <w:sz w:val="20"/>
              </w:rPr>
              <w:t xml:space="preserve">Value</w:t>
            </w:r>
          </w:p>
        </w:tc>
      </w:tr>
      <w:tr>
        <w:tc>
          <w:tcPr/>
          <w:p>
            <w:pPr>
              <w:pStyle w:val="Compact"/>
            </w:pPr>
            <w:r>
              <w:rPr>
                <w:rFonts w:ascii="Times New Roman" w:hAnsi="Times New Roman"/>
                <w:sz w:val="20"/>
              </w:rPr>
              <w:t xml:space="preserve">Estimate (classical</w:t>
            </w:r>
            <w:r>
              <w:rPr>
                <w:rFonts w:ascii="Times New Roman" w:hAnsi="Times New Roman"/>
                <w:sz w:val="20"/>
              </w:rPr>
              <w:t xml:space="preserve"> </w:t>
            </w:r>
            <w:r>
              <w:rPr>
                <w:rFonts w:ascii="Times New Roman" w:hAnsi="Times New Roman"/>
                <w:i/>
                <w:iCs/>
                <w:sz w:val="20"/>
              </w:rPr>
              <w:t xml:space="preserve">SE</w:t>
            </w:r>
            <w:r>
              <w:rPr>
                <w:rFonts w:ascii="Times New Roman" w:hAnsi="Times New Roman"/>
                <w:sz w:val="20"/>
              </w:rPr>
              <w:t xml:space="preserve">)</w:t>
            </w:r>
          </w:p>
        </w:tc>
        <w:tc>
          <w:tcPr/>
          <w:p>
            <w:pPr>
              <w:pStyle w:val="Compact"/>
            </w:pPr>
            <w:r>
              <w:rPr>
                <w:rFonts w:ascii="Times New Roman" w:hAnsi="Times New Roman"/>
                <w:sz w:val="20"/>
              </w:rPr>
              <w:t xml:space="preserve">1.85 (0.47),</w:t>
            </w:r>
            <w:r>
              <w:rPr>
                <w:rFonts w:ascii="Times New Roman" w:hAnsi="Times New Roman"/>
                <w:sz w:val="20"/>
              </w:rPr>
              <w:t xml:space="preserve"> </w:t>
            </w:r>
            <w:r>
              <w:rPr>
                <w:rFonts w:ascii="Times New Roman" w:hAnsi="Times New Roman"/>
                <w:i/>
                <w:iCs/>
                <w:sz w:val="20"/>
              </w:rPr>
              <w:t xml:space="preserve">t</w:t>
            </w:r>
            <w:r>
              <w:rPr>
                <w:rFonts w:ascii="Times New Roman" w:hAnsi="Times New Roman"/>
                <w:sz w:val="20"/>
              </w:rPr>
              <w:t xml:space="preserve">(209) = 3.93</w:t>
            </w:r>
          </w:p>
        </w:tc>
      </w:tr>
      <w:tr>
        <w:tc>
          <w:tcPr/>
          <w:p>
            <w:pPr>
              <w:pStyle w:val="Compact"/>
            </w:pPr>
            <w:r>
              <w:rPr>
                <w:rFonts w:ascii="Times New Roman" w:hAnsi="Times New Roman"/>
                <w:sz w:val="20"/>
              </w:rPr>
              <w:t xml:space="preserve">Partial</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² of the stigma index with PHQ-4</w:t>
            </w:r>
          </w:p>
        </w:tc>
        <w:tc>
          <w:tcPr/>
          <w:p>
            <w:pPr>
              <w:pStyle w:val="Compact"/>
            </w:pPr>
            <w:r>
              <w:rPr>
                <w:rFonts w:ascii="Times New Roman" w:hAnsi="Times New Roman"/>
                <w:sz w:val="20"/>
              </w:rPr>
              <w:t xml:space="preserve">6.9%</w:t>
            </w:r>
          </w:p>
        </w:tc>
      </w:tr>
      <w:tr>
        <w:tc>
          <w:tcPr/>
          <w:p>
            <w:pPr>
              <w:pStyle w:val="Compact"/>
            </w:pPr>
            <w:r>
              <w:rPr>
                <w:rFonts w:ascii="Times New Roman" w:hAnsi="Times New Roman"/>
                <w:sz w:val="20"/>
              </w:rPr>
              <w:t xml:space="preserve">Robustness value,</w:t>
            </w:r>
            <w:r>
              <w:rPr>
                <w:rFonts w:ascii="Times New Roman" w:hAnsi="Times New Roman"/>
                <w:sz w:val="20"/>
              </w:rPr>
              <w:t xml:space="preserve"> </w:t>
            </w:r>
            <w:r>
              <w:rPr>
                <w:rFonts w:ascii="Times New Roman" w:hAnsi="Times New Roman"/>
                <w:i/>
                <w:iCs/>
                <w:sz w:val="20"/>
              </w:rPr>
              <w:t xml:space="preserve">q</w:t>
            </w:r>
            <w:r>
              <w:rPr>
                <w:rFonts w:ascii="Times New Roman" w:hAnsi="Times New Roman"/>
                <w:sz w:val="20"/>
              </w:rPr>
              <w:t xml:space="preserve"> </w:t>
            </w:r>
            <w:r>
              <w:rPr>
                <w:rFonts w:ascii="Times New Roman" w:hAnsi="Times New Roman"/>
                <w:sz w:val="20"/>
              </w:rPr>
              <w:t xml:space="preserve">= 1</w:t>
            </w:r>
          </w:p>
        </w:tc>
        <w:tc>
          <w:tcPr/>
          <w:p>
            <w:pPr>
              <w:pStyle w:val="Compact"/>
            </w:pPr>
            <w:r>
              <w:rPr>
                <w:rFonts w:ascii="Times New Roman" w:hAnsi="Times New Roman"/>
                <w:sz w:val="20"/>
              </w:rPr>
              <w:t xml:space="preserve">23.7%</w:t>
            </w:r>
          </w:p>
        </w:tc>
      </w:tr>
      <w:tr>
        <w:tc>
          <w:tcPr/>
          <w:p>
            <w:pPr>
              <w:pStyle w:val="Compact"/>
            </w:pPr>
            <w:r>
              <w:rPr>
                <w:rFonts w:ascii="Times New Roman" w:hAnsi="Times New Roman"/>
                <w:sz w:val="20"/>
              </w:rPr>
              <w:t xml:space="preserve">Robustness value,</w:t>
            </w:r>
            <w:r>
              <w:rPr>
                <w:rFonts w:ascii="Times New Roman" w:hAnsi="Times New Roman"/>
                <w:sz w:val="20"/>
              </w:rPr>
              <w:t xml:space="preserve"> </w:t>
            </w:r>
            <w:r>
              <w:rPr>
                <w:rFonts w:ascii="Times New Roman" w:hAnsi="Times New Roman"/>
                <w:i/>
                <w:iCs/>
                <w:sz w:val="20"/>
              </w:rPr>
              <w:t xml:space="preserve">q</w:t>
            </w:r>
            <w:r>
              <w:rPr>
                <w:rFonts w:ascii="Times New Roman" w:hAnsi="Times New Roman"/>
                <w:sz w:val="20"/>
              </w:rPr>
              <w:t xml:space="preserve"> </w:t>
            </w:r>
            <w:r>
              <w:rPr>
                <w:rFonts w:ascii="Times New Roman" w:hAnsi="Times New Roman"/>
                <w:sz w:val="20"/>
              </w:rPr>
              <w:t xml:space="preserve">= 1, α = .05</w:t>
            </w:r>
          </w:p>
        </w:tc>
        <w:tc>
          <w:tcPr/>
          <w:p>
            <w:pPr>
              <w:pStyle w:val="Compact"/>
            </w:pPr>
            <w:r>
              <w:rPr>
                <w:rFonts w:ascii="Times New Roman" w:hAnsi="Times New Roman"/>
                <w:sz w:val="20"/>
              </w:rPr>
              <w:t xml:space="preserve">12.6%</w:t>
            </w:r>
          </w:p>
        </w:tc>
      </w:tr>
      <w:tr>
        <w:tc>
          <w:tcPr/>
          <w:p>
            <w:pPr>
              <w:pStyle w:val="Compact"/>
            </w:pPr>
            <w:r>
              <w:rPr>
                <w:rFonts w:ascii="Times New Roman" w:hAnsi="Times New Roman"/>
                <w:sz w:val="20"/>
              </w:rPr>
              <w:t xml:space="preserve">Benchmark: education (group), partial</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² with</w:t>
            </w:r>
            <w:r>
              <w:rPr>
                <w:rFonts w:ascii="Times New Roman" w:hAnsi="Times New Roman"/>
                <w:sz w:val="20"/>
              </w:rPr>
              <w:t xml:space="preserve"> </w:t>
            </w:r>
            <w:r>
              <w:rPr>
                <w:rFonts w:ascii="Times New Roman" w:hAnsi="Times New Roman"/>
                <w:i/>
                <w:iCs/>
                <w:sz w:val="20"/>
              </w:rPr>
              <w:t xml:space="preserve">S</w:t>
            </w:r>
            <w:r>
              <w:rPr>
                <w:rFonts w:ascii="Times New Roman" w:hAnsi="Times New Roman"/>
                <w:sz w:val="20"/>
              </w:rPr>
              <w:t xml:space="preserve">; with PHQ-4</w:t>
            </w:r>
          </w:p>
        </w:tc>
        <w:tc>
          <w:tcPr/>
          <w:p>
            <w:pPr>
              <w:pStyle w:val="Compact"/>
            </w:pPr>
            <w:r>
              <w:rPr>
                <w:rFonts w:ascii="Times New Roman" w:hAnsi="Times New Roman"/>
                <w:sz w:val="20"/>
              </w:rPr>
              <w:t xml:space="preserve">0.98%; 2.92%</w:t>
            </w:r>
          </w:p>
        </w:tc>
      </w:tr>
      <w:tr>
        <w:tc>
          <w:tcPr/>
          <w:p>
            <w:pPr>
              <w:pStyle w:val="Compact"/>
            </w:pPr>
            <w:r>
              <w:rPr>
                <w:rFonts w:ascii="Times New Roman" w:hAnsi="Times New Roman"/>
                <w:sz w:val="20"/>
              </w:rPr>
              <w:t xml:space="preserve">Confounder 1 × education: adjusted estimate [95% CI]</w:t>
            </w:r>
          </w:p>
        </w:tc>
        <w:tc>
          <w:tcPr/>
          <w:p>
            <w:pPr>
              <w:pStyle w:val="Compact"/>
            </w:pPr>
            <w:r>
              <w:rPr>
                <w:rFonts w:ascii="Times New Roman" w:hAnsi="Times New Roman"/>
                <w:sz w:val="20"/>
              </w:rPr>
              <w:t xml:space="preserve">1.73 [0.81, 2.65]</w:t>
            </w:r>
          </w:p>
        </w:tc>
      </w:tr>
      <w:tr>
        <w:tc>
          <w:tcPr/>
          <w:p>
            <w:pPr>
              <w:pStyle w:val="Compact"/>
            </w:pPr>
            <w:r>
              <w:rPr>
                <w:rFonts w:ascii="Times New Roman" w:hAnsi="Times New Roman"/>
                <w:sz w:val="20"/>
              </w:rPr>
              <w:t xml:space="preserve">Confounder 2 × education</w:t>
            </w:r>
          </w:p>
        </w:tc>
        <w:tc>
          <w:tcPr/>
          <w:p>
            <w:pPr>
              <w:pStyle w:val="Compact"/>
            </w:pPr>
            <w:r>
              <w:rPr>
                <w:rFonts w:ascii="Times New Roman" w:hAnsi="Times New Roman"/>
                <w:sz w:val="20"/>
              </w:rPr>
              <w:t xml:space="preserve">1.61 [0.70, 2.52]</w:t>
            </w:r>
          </w:p>
        </w:tc>
      </w:tr>
      <w:tr>
        <w:tc>
          <w:tcPr/>
          <w:p>
            <w:pPr>
              <w:pStyle w:val="Compact"/>
            </w:pPr>
            <w:r>
              <w:rPr>
                <w:rFonts w:ascii="Times New Roman" w:hAnsi="Times New Roman"/>
                <w:sz w:val="20"/>
              </w:rPr>
              <w:t xml:space="preserve">Confounder 3 × education</w:t>
            </w:r>
          </w:p>
        </w:tc>
        <w:tc>
          <w:tcPr/>
          <w:p>
            <w:pPr>
              <w:pStyle w:val="Compact"/>
            </w:pPr>
            <w:r>
              <w:rPr>
                <w:rFonts w:ascii="Times New Roman" w:hAnsi="Times New Roman"/>
                <w:sz w:val="20"/>
              </w:rPr>
              <w:t xml:space="preserve">1.49 [0.59, 2.38]</w:t>
            </w:r>
          </w:p>
        </w:tc>
      </w:tr>
      <w:tr>
        <w:tc>
          <w:tcPr/>
          <w:p>
            <w:pPr>
              <w:pStyle w:val="Compact"/>
            </w:pPr>
            <w:r>
              <w:rPr>
                <w:rFonts w:ascii="Times New Roman" w:hAnsi="Times New Roman"/>
                <w:sz w:val="20"/>
              </w:rPr>
              <w:t xml:space="preserve">Benchmark: sex assigned at birth, partial</w:t>
            </w:r>
            <w:r>
              <w:rPr>
                <w:rFonts w:ascii="Times New Roman" w:hAnsi="Times New Roman"/>
                <w:sz w:val="20"/>
              </w:rPr>
              <w:t xml:space="preserve"> </w:t>
            </w:r>
            <w:r>
              <w:rPr>
                <w:rFonts w:ascii="Times New Roman" w:hAnsi="Times New Roman"/>
                <w:i/>
                <w:iCs/>
                <w:sz w:val="20"/>
              </w:rPr>
              <w:t xml:space="preserve">R</w:t>
            </w:r>
            <w:r>
              <w:rPr>
                <w:rFonts w:ascii="Times New Roman" w:hAnsi="Times New Roman"/>
                <w:sz w:val="20"/>
              </w:rPr>
              <w:t xml:space="preserve">² with</w:t>
            </w:r>
            <w:r>
              <w:rPr>
                <w:rFonts w:ascii="Times New Roman" w:hAnsi="Times New Roman"/>
                <w:sz w:val="20"/>
              </w:rPr>
              <w:t xml:space="preserve"> </w:t>
            </w:r>
            <w:r>
              <w:rPr>
                <w:rFonts w:ascii="Times New Roman" w:hAnsi="Times New Roman"/>
                <w:i/>
                <w:iCs/>
                <w:sz w:val="20"/>
              </w:rPr>
              <w:t xml:space="preserve">S</w:t>
            </w:r>
            <w:r>
              <w:rPr>
                <w:rFonts w:ascii="Times New Roman" w:hAnsi="Times New Roman"/>
                <w:sz w:val="20"/>
              </w:rPr>
              <w:t xml:space="preserve">; with PHQ-4</w:t>
            </w:r>
          </w:p>
        </w:tc>
        <w:tc>
          <w:tcPr/>
          <w:p>
            <w:pPr>
              <w:pStyle w:val="Compact"/>
            </w:pPr>
            <w:r>
              <w:rPr>
                <w:rFonts w:ascii="Times New Roman" w:hAnsi="Times New Roman"/>
                <w:sz w:val="20"/>
              </w:rPr>
              <w:t xml:space="preserve">0.17%; 0.10%</w:t>
            </w:r>
          </w:p>
        </w:tc>
      </w:tr>
      <w:tr>
        <w:tc>
          <w:tcPr/>
          <w:p>
            <w:pPr>
              <w:pStyle w:val="Compact"/>
            </w:pPr>
            <w:r>
              <w:rPr>
                <w:rFonts w:ascii="Times New Roman" w:hAnsi="Times New Roman"/>
                <w:sz w:val="20"/>
              </w:rPr>
              <w:t xml:space="preserve">Confounder 1, 2, 3 × sex assigned at birth</w:t>
            </w:r>
          </w:p>
        </w:tc>
        <w:tc>
          <w:tcPr/>
          <w:p>
            <w:pPr>
              <w:pStyle w:val="Compact"/>
            </w:pPr>
            <w:r>
              <w:rPr>
                <w:rFonts w:ascii="Times New Roman" w:hAnsi="Times New Roman"/>
                <w:sz w:val="20"/>
              </w:rPr>
              <w:t xml:space="preserve">1.84 [0.91, 2.77]; 1.83 [0.90, 2.76]; 1.82 [0.89, 2.75]</w:t>
            </w:r>
          </w:p>
        </w:tc>
      </w:tr>
    </w:tbl>
    <w:p>
      <w:pPr>
        <w:pStyle w:val="BodyText"/>
      </w:pPr>
      <w:r>
        <w:rPr>
          <w:i/>
          <w:iCs/>
        </w:rPr>
        <w:t xml:space="preserve">Note.</w:t>
      </w:r>
      <w:r>
        <w:t xml:space="preserve"> </w:t>
      </w:r>
      <w:r>
        <w:t xml:space="preserve">The robustness value is the share of residual variance of both the stigma index and PHQ-4 scores that an omitted confounder would need to explain to reduce the estimate to zero (</w:t>
      </w:r>
      <w:r>
        <w:rPr>
          <w:i/>
          <w:iCs/>
        </w:rPr>
        <w:t xml:space="preserve">q</w:t>
      </w:r>
      <w:r>
        <w:t xml:space="preserve"> </w:t>
      </w:r>
      <w:r>
        <w:t xml:space="preserve">= 1), or to make the 95% interval include zero (α = .05). Values use classical standard errors and are indicators rather than HC3-based tests.</w:t>
      </w:r>
    </w:p>
    <w:p>
      <w:pPr>
        <w:pStyle w:val="BodyText"/>
      </w:pPr>
      <w:r>
        <w:rPr>
          <w:b/>
          <w:bCs/>
        </w:rPr>
        <w:t xml:space="preserve">Table S4</w:t>
      </w:r>
      <w:r>
        <w:t xml:space="preserve"> </w:t>
      </w:r>
      <w:r>
        <w:rPr>
          <w:i/>
          <w:iCs/>
        </w:rPr>
        <w:t xml:space="preserve">Individual situations and levels of exposure (PHQ-4 scores, exploratory)</w:t>
      </w:r>
    </w:p>
    <w:tbl>
      <w:tblPr>
        <w:tblStyle w:val="Table"/>
        <w:tblW w:type="pct" w:w="5000"/>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pPr>
            <w:r>
              <w:rPr>
                <w:rFonts w:ascii="Times New Roman" w:hAnsi="Times New Roman"/>
                <w:sz w:val="20"/>
              </w:rPr>
              <w:t xml:space="preserve">Analysis</w:t>
            </w:r>
          </w:p>
        </w:tc>
        <w:tc>
          <w:tcPr>
            <w:tcBorders>
              <w:bottom w:val="single" w:sz="6" w:space="0" w:color="000000"/>
            </w:tcBorders>
          </w:tcPr>
          <w:p>
            <w:pPr>
              <w:pStyle w:val="Compact"/>
            </w:pPr>
            <w:r>
              <w:rPr>
                <w:rFonts w:ascii="Times New Roman" w:hAnsi="Times New Roman"/>
                <w:sz w:val="20"/>
              </w:rPr>
              <w:t xml:space="preserve">Term</w:t>
            </w:r>
          </w:p>
        </w:tc>
        <w:tc>
          <w:tcPr>
            <w:tcBorders>
              <w:bottom w:val="single" w:sz="6" w:space="0" w:color="000000"/>
            </w:tcBorders>
          </w:tcPr>
          <w:p>
            <w:pPr>
              <w:pStyle w:val="Compact"/>
            </w:pPr>
            <w:r>
              <w:rPr>
                <w:rFonts w:ascii="Times New Roman" w:hAnsi="Times New Roman"/>
                <w:i/>
                <w:iCs/>
                <w:sz w:val="20"/>
              </w:rPr>
              <w:t xml:space="preserve">n</w:t>
            </w:r>
          </w:p>
        </w:tc>
        <w:tc>
          <w:tcPr>
            <w:tcBorders>
              <w:bottom w:val="single" w:sz="6" w:space="0" w:color="000000"/>
            </w:tcBorders>
          </w:tcPr>
          <w:p>
            <w:pPr>
              <w:pStyle w:val="Compact"/>
            </w:pPr>
            <w:r>
              <w:rPr>
                <w:rFonts w:ascii="Times New Roman" w:hAnsi="Times New Roman"/>
                <w:sz w:val="20"/>
              </w:rPr>
              <w:t xml:space="preserve">Coefficient</w:t>
            </w:r>
          </w:p>
        </w:tc>
        <w:tc>
          <w:tcPr>
            <w:tcBorders>
              <w:bottom w:val="single" w:sz="6" w:space="0" w:color="000000"/>
            </w:tcBorders>
          </w:tcPr>
          <w:p>
            <w:pPr>
              <w:pStyle w:val="Compact"/>
            </w:pPr>
            <w:r>
              <w:rPr>
                <w:rFonts w:ascii="Times New Roman" w:hAnsi="Times New Roman"/>
                <w:sz w:val="20"/>
              </w:rPr>
              <w:t xml:space="preserve">95% CI</w:t>
            </w:r>
          </w:p>
        </w:tc>
        <w:tc>
          <w:tcPr>
            <w:tcBorders>
              <w:bottom w:val="single" w:sz="6" w:space="0" w:color="000000"/>
            </w:tcBorders>
          </w:tcPr>
          <w:p>
            <w:pPr>
              <w:pStyle w:val="Compact"/>
            </w:pPr>
            <w:r>
              <w:rPr>
                <w:rFonts w:ascii="Times New Roman" w:hAnsi="Times New Roman"/>
                <w:i/>
                <w:iCs/>
                <w:sz w:val="20"/>
              </w:rPr>
              <w:t xml:space="preserve">p</w:t>
            </w:r>
          </w:p>
        </w:tc>
        <w:tc>
          <w:tcPr>
            <w:tcBorders>
              <w:bottom w:val="single" w:sz="6" w:space="0" w:color="000000"/>
            </w:tcBorders>
          </w:tcPr>
          <w:p>
            <w:pPr>
              <w:pStyle w:val="Compact"/>
            </w:pPr>
            <w:r>
              <w:rPr>
                <w:rFonts w:ascii="Times New Roman" w:hAnsi="Times New Roman"/>
                <w:sz w:val="20"/>
              </w:rPr>
              <w:t xml:space="preserve">BH</w:t>
            </w:r>
            <w:r>
              <w:rPr>
                <w:rFonts w:ascii="Times New Roman" w:hAnsi="Times New Roman"/>
                <w:sz w:val="20"/>
              </w:rPr>
              <w:t xml:space="preserve"> </w:t>
            </w:r>
            <w:r>
              <w:rPr>
                <w:rFonts w:ascii="Times New Roman" w:hAnsi="Times New Roman"/>
                <w:i/>
                <w:iCs/>
                <w:sz w:val="20"/>
              </w:rPr>
              <w:t xml:space="preserve">p</w:t>
            </w:r>
          </w:p>
        </w:tc>
      </w:tr>
      <w:tr>
        <w:tc>
          <w:tcPr/>
          <w:p>
            <w:pPr>
              <w:pStyle w:val="Compact"/>
            </w:pPr>
            <w:r>
              <w:rPr>
                <w:rFonts w:ascii="Times New Roman" w:hAnsi="Times New Roman"/>
                <w:b/>
                <w:bCs/>
                <w:sz w:val="20"/>
              </w:rPr>
              <w:t xml:space="preserve">Situations</w:t>
            </w:r>
            <w:r>
              <w:rPr>
                <w:rFonts w:ascii="Times New Roman" w:hAnsi="Times New Roman"/>
                <w:sz w:val="20"/>
              </w:rPr>
              <w:t xml:space="preserve"> </w:t>
            </w:r>
            <w:r>
              <w:rPr>
                <w:rFonts w:ascii="Times New Roman" w:hAnsi="Times New Roman"/>
                <w:sz w:val="20"/>
              </w:rPr>
              <w:t xml:space="preserve">(experienced at least once)</w:t>
            </w:r>
          </w:p>
        </w:tc>
        <w:tc>
          <w:tcPr/>
          <w:p>
            <w:pPr>
              <w:pStyle w:val="Compact"/>
            </w:pPr>
            <w:r>
              <w:rPr>
                <w:rFonts w:ascii="Times New Roman" w:hAnsi="Times New Roman"/>
                <w:sz w:val="20"/>
              </w:rPr>
              <w:t xml:space="preserve">1. Offensive jokes or comments</w:t>
            </w:r>
          </w:p>
        </w:tc>
        <w:tc>
          <w:tcPr/>
          <w:p>
            <w:pPr>
              <w:pStyle w:val="Compact"/>
            </w:pPr>
            <w:r>
              <w:rPr>
                <w:rFonts w:ascii="Times New Roman" w:hAnsi="Times New Roman"/>
                <w:sz w:val="20"/>
              </w:rPr>
              <w:t xml:space="preserve">231</w:t>
            </w:r>
          </w:p>
        </w:tc>
        <w:tc>
          <w:tcPr/>
          <w:p>
            <w:pPr>
              <w:pStyle w:val="Compact"/>
            </w:pPr>
            <w:r>
              <w:rPr>
                <w:rFonts w:ascii="Times New Roman" w:hAnsi="Times New Roman"/>
                <w:sz w:val="20"/>
              </w:rPr>
              <w:t xml:space="preserve">1.86</w:t>
            </w:r>
          </w:p>
        </w:tc>
        <w:tc>
          <w:tcPr/>
          <w:p>
            <w:pPr>
              <w:pStyle w:val="Compact"/>
            </w:pPr>
            <w:r>
              <w:rPr>
                <w:rFonts w:ascii="Times New Roman" w:hAnsi="Times New Roman"/>
                <w:sz w:val="20"/>
              </w:rPr>
              <w:t xml:space="preserve">[0.81, 2.91]</w:t>
            </w:r>
          </w:p>
        </w:tc>
        <w:tc>
          <w:tcPr/>
          <w:p>
            <w:pPr>
              <w:pStyle w:val="Compact"/>
            </w:pPr>
            <w:r>
              <w:rPr>
                <w:rFonts w:ascii="Times New Roman" w:hAnsi="Times New Roman"/>
                <w:sz w:val="20"/>
              </w:rPr>
              <w:t xml:space="preserve">&lt; .001</w:t>
            </w:r>
          </w:p>
        </w:tc>
        <w:tc>
          <w:tcPr/>
          <w:p>
            <w:pPr>
              <w:pStyle w:val="Compact"/>
            </w:pPr>
            <w:r>
              <w:rPr>
                <w:rFonts w:ascii="Times New Roman" w:hAnsi="Times New Roman"/>
                <w:sz w:val="20"/>
              </w:rPr>
              <w:t xml:space="preserve">.002</w:t>
            </w:r>
          </w:p>
        </w:tc>
      </w:tr>
      <w:tr>
        <w:tc>
          <w:tcPr/>
          <w:p>
            <w:pPr>
              <w:pStyle w:val="Compact"/>
            </w:pPr>
          </w:p>
        </w:tc>
        <w:tc>
          <w:tcPr/>
          <w:p>
            <w:pPr>
              <w:pStyle w:val="Compact"/>
            </w:pPr>
            <w:r>
              <w:rPr>
                <w:rFonts w:ascii="Times New Roman" w:hAnsi="Times New Roman"/>
                <w:sz w:val="20"/>
              </w:rPr>
              <w:t xml:space="preserve">2. Unwanted personal questions</w:t>
            </w:r>
          </w:p>
        </w:tc>
        <w:tc>
          <w:tcPr/>
          <w:p>
            <w:pPr>
              <w:pStyle w:val="Compact"/>
            </w:pPr>
            <w:r>
              <w:rPr>
                <w:rFonts w:ascii="Times New Roman" w:hAnsi="Times New Roman"/>
                <w:sz w:val="20"/>
              </w:rPr>
              <w:t xml:space="preserve">227</w:t>
            </w:r>
          </w:p>
        </w:tc>
        <w:tc>
          <w:tcPr/>
          <w:p>
            <w:pPr>
              <w:pStyle w:val="Compact"/>
            </w:pPr>
            <w:r>
              <w:rPr>
                <w:rFonts w:ascii="Times New Roman" w:hAnsi="Times New Roman"/>
                <w:sz w:val="20"/>
              </w:rPr>
              <w:t xml:space="preserve">1.87</w:t>
            </w:r>
          </w:p>
        </w:tc>
        <w:tc>
          <w:tcPr/>
          <w:p>
            <w:pPr>
              <w:pStyle w:val="Compact"/>
            </w:pPr>
            <w:r>
              <w:rPr>
                <w:rFonts w:ascii="Times New Roman" w:hAnsi="Times New Roman"/>
                <w:sz w:val="20"/>
              </w:rPr>
              <w:t xml:space="preserve">[0.84, 2.89]</w:t>
            </w:r>
          </w:p>
        </w:tc>
        <w:tc>
          <w:tcPr/>
          <w:p>
            <w:pPr>
              <w:pStyle w:val="Compact"/>
            </w:pPr>
            <w:r>
              <w:rPr>
                <w:rFonts w:ascii="Times New Roman" w:hAnsi="Times New Roman"/>
                <w:sz w:val="20"/>
              </w:rPr>
              <w:t xml:space="preserve">&lt; .001</w:t>
            </w:r>
          </w:p>
        </w:tc>
        <w:tc>
          <w:tcPr/>
          <w:p>
            <w:pPr>
              <w:pStyle w:val="Compact"/>
            </w:pPr>
            <w:r>
              <w:rPr>
                <w:rFonts w:ascii="Times New Roman" w:hAnsi="Times New Roman"/>
                <w:sz w:val="20"/>
              </w:rPr>
              <w:t xml:space="preserve">.002</w:t>
            </w:r>
          </w:p>
        </w:tc>
      </w:tr>
      <w:tr>
        <w:tc>
          <w:tcPr/>
          <w:p>
            <w:pPr>
              <w:pStyle w:val="Compact"/>
            </w:pPr>
          </w:p>
        </w:tc>
        <w:tc>
          <w:tcPr/>
          <w:p>
            <w:pPr>
              <w:pStyle w:val="Compact"/>
            </w:pPr>
            <w:r>
              <w:rPr>
                <w:rFonts w:ascii="Times New Roman" w:hAnsi="Times New Roman"/>
                <w:sz w:val="20"/>
              </w:rPr>
              <w:t xml:space="preserve">3. Disclosure or threatened disclosure</w:t>
            </w:r>
          </w:p>
        </w:tc>
        <w:tc>
          <w:tcPr/>
          <w:p>
            <w:pPr>
              <w:pStyle w:val="Compact"/>
            </w:pPr>
            <w:r>
              <w:rPr>
                <w:rFonts w:ascii="Times New Roman" w:hAnsi="Times New Roman"/>
                <w:sz w:val="20"/>
              </w:rPr>
              <w:t xml:space="preserve">220</w:t>
            </w:r>
          </w:p>
        </w:tc>
        <w:tc>
          <w:tcPr/>
          <w:p>
            <w:pPr>
              <w:pStyle w:val="Compact"/>
            </w:pPr>
            <w:r>
              <w:rPr>
                <w:rFonts w:ascii="Times New Roman" w:hAnsi="Times New Roman"/>
                <w:sz w:val="20"/>
              </w:rPr>
              <w:t xml:space="preserve">0.59</w:t>
            </w:r>
          </w:p>
        </w:tc>
        <w:tc>
          <w:tcPr/>
          <w:p>
            <w:pPr>
              <w:pStyle w:val="Compact"/>
            </w:pPr>
            <w:r>
              <w:rPr>
                <w:rFonts w:ascii="Times New Roman" w:hAnsi="Times New Roman"/>
                <w:sz w:val="20"/>
              </w:rPr>
              <w:t xml:space="preserve">[−0.65, 1.83]</w:t>
            </w:r>
          </w:p>
        </w:tc>
        <w:tc>
          <w:tcPr/>
          <w:p>
            <w:pPr>
              <w:pStyle w:val="Compact"/>
            </w:pPr>
            <w:r>
              <w:rPr>
                <w:rFonts w:ascii="Times New Roman" w:hAnsi="Times New Roman"/>
                <w:sz w:val="20"/>
              </w:rPr>
              <w:t xml:space="preserve">.351</w:t>
            </w:r>
          </w:p>
        </w:tc>
        <w:tc>
          <w:tcPr/>
          <w:p>
            <w:pPr>
              <w:pStyle w:val="Compact"/>
            </w:pPr>
            <w:r>
              <w:rPr>
                <w:rFonts w:ascii="Times New Roman" w:hAnsi="Times New Roman"/>
                <w:sz w:val="20"/>
              </w:rPr>
              <w:t xml:space="preserve">.491</w:t>
            </w:r>
          </w:p>
        </w:tc>
      </w:tr>
      <w:tr>
        <w:tc>
          <w:tcPr/>
          <w:p>
            <w:pPr>
              <w:pStyle w:val="Compact"/>
            </w:pPr>
          </w:p>
        </w:tc>
        <w:tc>
          <w:tcPr/>
          <w:p>
            <w:pPr>
              <w:pStyle w:val="Compact"/>
            </w:pPr>
            <w:r>
              <w:rPr>
                <w:rFonts w:ascii="Times New Roman" w:hAnsi="Times New Roman"/>
                <w:sz w:val="20"/>
              </w:rPr>
              <w:t xml:space="preserve">4. Exclusion from training or career development</w:t>
            </w:r>
          </w:p>
        </w:tc>
        <w:tc>
          <w:tcPr/>
          <w:p>
            <w:pPr>
              <w:pStyle w:val="Compact"/>
            </w:pPr>
          </w:p>
        </w:tc>
        <w:tc>
          <w:tcPr/>
          <w:p>
            <w:pPr>
              <w:pStyle w:val="Compact"/>
            </w:pPr>
            <w:r>
              <w:rPr>
                <w:rFonts w:ascii="Times New Roman" w:hAnsi="Times New Roman"/>
                <w:sz w:val="20"/>
              </w:rPr>
              <w:t xml:space="preserve">not estimated</w:t>
            </w:r>
          </w:p>
        </w:tc>
        <w:tc>
          <w:tcPr/>
          <w:p>
            <w:pPr>
              <w:pStyle w:val="Compact"/>
            </w:pPr>
          </w:p>
        </w:tc>
        <w:tc>
          <w:tcPr/>
          <w:p>
            <w:pPr>
              <w:pStyle w:val="Compact"/>
            </w:pPr>
          </w:p>
        </w:tc>
        <w:tc>
          <w:tcPr/>
          <w:p>
            <w:pPr>
              <w:pStyle w:val="Compact"/>
            </w:pPr>
          </w:p>
        </w:tc>
      </w:tr>
      <w:tr>
        <w:tc>
          <w:tcPr/>
          <w:p>
            <w:pPr>
              <w:pStyle w:val="Compact"/>
            </w:pPr>
          </w:p>
        </w:tc>
        <w:tc>
          <w:tcPr/>
          <w:p>
            <w:pPr>
              <w:pStyle w:val="Compact"/>
            </w:pPr>
            <w:r>
              <w:rPr>
                <w:rFonts w:ascii="Times New Roman" w:hAnsi="Times New Roman"/>
                <w:sz w:val="20"/>
              </w:rPr>
              <w:t xml:space="preserve">5. Unfair evaluation, pay, or promotion</w:t>
            </w:r>
          </w:p>
        </w:tc>
        <w:tc>
          <w:tcPr/>
          <w:p>
            <w:pPr>
              <w:pStyle w:val="Compact"/>
            </w:pPr>
            <w:r>
              <w:rPr>
                <w:rFonts w:ascii="Times New Roman" w:hAnsi="Times New Roman"/>
                <w:sz w:val="20"/>
              </w:rPr>
              <w:t xml:space="preserve">204</w:t>
            </w:r>
          </w:p>
        </w:tc>
        <w:tc>
          <w:tcPr/>
          <w:p>
            <w:pPr>
              <w:pStyle w:val="Compact"/>
            </w:pPr>
            <w:r>
              <w:rPr>
                <w:rFonts w:ascii="Times New Roman" w:hAnsi="Times New Roman"/>
                <w:sz w:val="20"/>
              </w:rPr>
              <w:t xml:space="preserve">0.54</w:t>
            </w:r>
          </w:p>
        </w:tc>
        <w:tc>
          <w:tcPr/>
          <w:p>
            <w:pPr>
              <w:pStyle w:val="Compact"/>
            </w:pPr>
            <w:r>
              <w:rPr>
                <w:rFonts w:ascii="Times New Roman" w:hAnsi="Times New Roman"/>
                <w:sz w:val="20"/>
              </w:rPr>
              <w:t xml:space="preserve">[−1.40, 2.48]</w:t>
            </w:r>
          </w:p>
        </w:tc>
        <w:tc>
          <w:tcPr/>
          <w:p>
            <w:pPr>
              <w:pStyle w:val="Compact"/>
            </w:pPr>
            <w:r>
              <w:rPr>
                <w:rFonts w:ascii="Times New Roman" w:hAnsi="Times New Roman"/>
                <w:sz w:val="20"/>
              </w:rPr>
              <w:t xml:space="preserve">.585</w:t>
            </w:r>
          </w:p>
        </w:tc>
        <w:tc>
          <w:tcPr/>
          <w:p>
            <w:pPr>
              <w:pStyle w:val="Compact"/>
            </w:pPr>
            <w:r>
              <w:rPr>
                <w:rFonts w:ascii="Times New Roman" w:hAnsi="Times New Roman"/>
                <w:sz w:val="20"/>
              </w:rPr>
              <w:t xml:space="preserve">.585</w:t>
            </w:r>
          </w:p>
        </w:tc>
      </w:tr>
      <w:tr>
        <w:tc>
          <w:tcPr/>
          <w:p>
            <w:pPr>
              <w:pStyle w:val="Compact"/>
            </w:pPr>
          </w:p>
        </w:tc>
        <w:tc>
          <w:tcPr/>
          <w:p>
            <w:pPr>
              <w:pStyle w:val="Compact"/>
            </w:pPr>
            <w:r>
              <w:rPr>
                <w:rFonts w:ascii="Times New Roman" w:hAnsi="Times New Roman"/>
                <w:sz w:val="20"/>
              </w:rPr>
              <w:t xml:space="preserve">6. Unfavorable work assignments</w:t>
            </w:r>
          </w:p>
        </w:tc>
        <w:tc>
          <w:tcPr/>
          <w:p>
            <w:pPr>
              <w:pStyle w:val="Compact"/>
            </w:pPr>
            <w:r>
              <w:rPr>
                <w:rFonts w:ascii="Times New Roman" w:hAnsi="Times New Roman"/>
                <w:sz w:val="20"/>
              </w:rPr>
              <w:t xml:space="preserve">223</w:t>
            </w:r>
          </w:p>
        </w:tc>
        <w:tc>
          <w:tcPr/>
          <w:p>
            <w:pPr>
              <w:pStyle w:val="Compact"/>
            </w:pPr>
            <w:r>
              <w:rPr>
                <w:rFonts w:ascii="Times New Roman" w:hAnsi="Times New Roman"/>
                <w:sz w:val="20"/>
              </w:rPr>
              <w:t xml:space="preserve">1.35</w:t>
            </w:r>
          </w:p>
        </w:tc>
        <w:tc>
          <w:tcPr/>
          <w:p>
            <w:pPr>
              <w:pStyle w:val="Compact"/>
            </w:pPr>
            <w:r>
              <w:rPr>
                <w:rFonts w:ascii="Times New Roman" w:hAnsi="Times New Roman"/>
                <w:sz w:val="20"/>
              </w:rPr>
              <w:t xml:space="preserve">[−0.31, 3.01]</w:t>
            </w:r>
          </w:p>
        </w:tc>
        <w:tc>
          <w:tcPr/>
          <w:p>
            <w:pPr>
              <w:pStyle w:val="Compact"/>
            </w:pPr>
            <w:r>
              <w:rPr>
                <w:rFonts w:ascii="Times New Roman" w:hAnsi="Times New Roman"/>
                <w:sz w:val="20"/>
              </w:rPr>
              <w:t xml:space="preserve">.111</w:t>
            </w:r>
          </w:p>
        </w:tc>
        <w:tc>
          <w:tcPr/>
          <w:p>
            <w:pPr>
              <w:pStyle w:val="Compact"/>
            </w:pPr>
            <w:r>
              <w:rPr>
                <w:rFonts w:ascii="Times New Roman" w:hAnsi="Times New Roman"/>
                <w:sz w:val="20"/>
              </w:rPr>
              <w:t xml:space="preserve">.194</w:t>
            </w:r>
          </w:p>
        </w:tc>
      </w:tr>
      <w:tr>
        <w:tc>
          <w:tcPr/>
          <w:p>
            <w:pPr>
              <w:pStyle w:val="Compact"/>
            </w:pPr>
          </w:p>
        </w:tc>
        <w:tc>
          <w:tcPr/>
          <w:p>
            <w:pPr>
              <w:pStyle w:val="Compact"/>
            </w:pPr>
            <w:r>
              <w:rPr>
                <w:rFonts w:ascii="Times New Roman" w:hAnsi="Times New Roman"/>
                <w:sz w:val="20"/>
              </w:rPr>
              <w:t xml:space="preserve">7. Pressure to conform to gender stereotypes</w:t>
            </w:r>
          </w:p>
        </w:tc>
        <w:tc>
          <w:tcPr/>
          <w:p>
            <w:pPr>
              <w:pStyle w:val="Compact"/>
            </w:pPr>
            <w:r>
              <w:rPr>
                <w:rFonts w:ascii="Times New Roman" w:hAnsi="Times New Roman"/>
                <w:sz w:val="20"/>
              </w:rPr>
              <w:t xml:space="preserve">222</w:t>
            </w:r>
          </w:p>
        </w:tc>
        <w:tc>
          <w:tcPr/>
          <w:p>
            <w:pPr>
              <w:pStyle w:val="Compact"/>
            </w:pPr>
            <w:r>
              <w:rPr>
                <w:rFonts w:ascii="Times New Roman" w:hAnsi="Times New Roman"/>
                <w:sz w:val="20"/>
              </w:rPr>
              <w:t xml:space="preserve">1.23</w:t>
            </w:r>
          </w:p>
        </w:tc>
        <w:tc>
          <w:tcPr/>
          <w:p>
            <w:pPr>
              <w:pStyle w:val="Compact"/>
            </w:pPr>
            <w:r>
              <w:rPr>
                <w:rFonts w:ascii="Times New Roman" w:hAnsi="Times New Roman"/>
                <w:sz w:val="20"/>
              </w:rPr>
              <w:t xml:space="preserve">[−0.22, 2.68]</w:t>
            </w:r>
          </w:p>
        </w:tc>
        <w:tc>
          <w:tcPr/>
          <w:p>
            <w:pPr>
              <w:pStyle w:val="Compact"/>
            </w:pPr>
            <w:r>
              <w:rPr>
                <w:rFonts w:ascii="Times New Roman" w:hAnsi="Times New Roman"/>
                <w:sz w:val="20"/>
              </w:rPr>
              <w:t xml:space="preserve">.095</w:t>
            </w:r>
          </w:p>
        </w:tc>
        <w:tc>
          <w:tcPr/>
          <w:p>
            <w:pPr>
              <w:pStyle w:val="Compact"/>
            </w:pPr>
            <w:r>
              <w:rPr>
                <w:rFonts w:ascii="Times New Roman" w:hAnsi="Times New Roman"/>
                <w:sz w:val="20"/>
              </w:rPr>
              <w:t xml:space="preserve">.194</w:t>
            </w:r>
          </w:p>
        </w:tc>
      </w:tr>
      <w:tr>
        <w:tc>
          <w:tcPr/>
          <w:p>
            <w:pPr>
              <w:pStyle w:val="Compact"/>
            </w:pPr>
          </w:p>
        </w:tc>
        <w:tc>
          <w:tcPr/>
          <w:p>
            <w:pPr>
              <w:pStyle w:val="Compact"/>
            </w:pPr>
            <w:r>
              <w:rPr>
                <w:rFonts w:ascii="Times New Roman" w:hAnsi="Times New Roman"/>
                <w:sz w:val="20"/>
              </w:rPr>
              <w:t xml:space="preserve">8. Difficulty with name, pronouns, dress, or restrooms</w:t>
            </w:r>
          </w:p>
        </w:tc>
        <w:tc>
          <w:tcPr/>
          <w:p>
            <w:pPr>
              <w:pStyle w:val="Compact"/>
            </w:pPr>
            <w:r>
              <w:rPr>
                <w:rFonts w:ascii="Times New Roman" w:hAnsi="Times New Roman"/>
                <w:sz w:val="20"/>
              </w:rPr>
              <w:t xml:space="preserve">186</w:t>
            </w:r>
          </w:p>
        </w:tc>
        <w:tc>
          <w:tcPr/>
          <w:p>
            <w:pPr>
              <w:pStyle w:val="Compact"/>
            </w:pPr>
            <w:r>
              <w:rPr>
                <w:rFonts w:ascii="Times New Roman" w:hAnsi="Times New Roman"/>
                <w:sz w:val="20"/>
              </w:rPr>
              <w:t xml:space="preserve">0.69</w:t>
            </w:r>
          </w:p>
        </w:tc>
        <w:tc>
          <w:tcPr/>
          <w:p>
            <w:pPr>
              <w:pStyle w:val="Compact"/>
            </w:pPr>
            <w:r>
              <w:rPr>
                <w:rFonts w:ascii="Times New Roman" w:hAnsi="Times New Roman"/>
                <w:sz w:val="20"/>
              </w:rPr>
              <w:t xml:space="preserve">[−1.78, 3.15]</w:t>
            </w:r>
          </w:p>
        </w:tc>
        <w:tc>
          <w:tcPr/>
          <w:p>
            <w:pPr>
              <w:pStyle w:val="Compact"/>
            </w:pPr>
            <w:r>
              <w:rPr>
                <w:rFonts w:ascii="Times New Roman" w:hAnsi="Times New Roman"/>
                <w:sz w:val="20"/>
              </w:rPr>
              <w:t xml:space="preserve">.583</w:t>
            </w:r>
          </w:p>
        </w:tc>
        <w:tc>
          <w:tcPr/>
          <w:p>
            <w:pPr>
              <w:pStyle w:val="Compact"/>
            </w:pPr>
            <w:r>
              <w:rPr>
                <w:rFonts w:ascii="Times New Roman" w:hAnsi="Times New Roman"/>
                <w:sz w:val="20"/>
              </w:rPr>
              <w:t xml:space="preserve">.585</w:t>
            </w:r>
          </w:p>
        </w:tc>
      </w:tr>
      <w:tr>
        <w:tc>
          <w:tcPr/>
          <w:p>
            <w:pPr>
              <w:pStyle w:val="Compact"/>
            </w:pPr>
            <w:r>
              <w:rPr>
                <w:rFonts w:ascii="Times New Roman" w:hAnsi="Times New Roman"/>
                <w:b/>
                <w:bCs/>
                <w:sz w:val="20"/>
              </w:rPr>
              <w:t xml:space="preserve">Three levels</w:t>
            </w:r>
            <w:r>
              <w:rPr>
                <w:rFonts w:ascii="Times New Roman" w:hAnsi="Times New Roman"/>
                <w:sz w:val="20"/>
              </w:rPr>
              <w:t xml:space="preserve"> </w:t>
            </w:r>
            <w:r>
              <w:rPr>
                <w:rFonts w:ascii="Times New Roman" w:hAnsi="Times New Roman"/>
                <w:sz w:val="20"/>
              </w:rPr>
              <w:t xml:space="preserve">(ref. no exposure,</w:t>
            </w:r>
            <w:r>
              <w:rPr>
                <w:rFonts w:ascii="Times New Roman" w:hAnsi="Times New Roman"/>
                <w:sz w:val="20"/>
              </w:rPr>
              <w:t xml:space="preserve">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 101)</w:t>
            </w:r>
          </w:p>
        </w:tc>
        <w:tc>
          <w:tcPr/>
          <w:p>
            <w:pPr>
              <w:pStyle w:val="Compact"/>
            </w:pPr>
            <w:r>
              <w:rPr>
                <w:rFonts w:ascii="Times New Roman" w:hAnsi="Times New Roman"/>
                <w:sz w:val="20"/>
              </w:rPr>
              <w:t xml:space="preserve">Low exposure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 70)</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1.05</w:t>
            </w:r>
          </w:p>
        </w:tc>
        <w:tc>
          <w:tcPr/>
          <w:p>
            <w:pPr>
              <w:pStyle w:val="Compact"/>
            </w:pPr>
            <w:r>
              <w:rPr>
                <w:rFonts w:ascii="Times New Roman" w:hAnsi="Times New Roman"/>
                <w:sz w:val="20"/>
              </w:rPr>
              <w:t xml:space="preserve">[−0.08, 2.19]</w:t>
            </w:r>
          </w:p>
        </w:tc>
        <w:tc>
          <w:tcPr/>
          <w:p>
            <w:pPr>
              <w:pStyle w:val="Compact"/>
            </w:pPr>
            <w:r>
              <w:rPr>
                <w:rFonts w:ascii="Times New Roman" w:hAnsi="Times New Roman"/>
                <w:sz w:val="20"/>
              </w:rPr>
              <w:t xml:space="preserve">.070</w:t>
            </w:r>
          </w:p>
        </w:tc>
        <w:tc>
          <w:tcPr/>
          <w:p>
            <w:pPr>
              <w:pStyle w:val="Compact"/>
            </w:pPr>
          </w:p>
        </w:tc>
      </w:tr>
      <w:tr>
        <w:tc>
          <w:tcPr/>
          <w:p>
            <w:pPr>
              <w:pStyle w:val="Compact"/>
            </w:pPr>
          </w:p>
        </w:tc>
        <w:tc>
          <w:tcPr/>
          <w:p>
            <w:pPr>
              <w:pStyle w:val="Compact"/>
            </w:pPr>
            <w:r>
              <w:rPr>
                <w:rFonts w:ascii="Times New Roman" w:hAnsi="Times New Roman"/>
                <w:sz w:val="20"/>
              </w:rPr>
              <w:t xml:space="preserve">High exposure (</w:t>
            </w:r>
            <w:r>
              <w:rPr>
                <w:rFonts w:ascii="Times New Roman" w:hAnsi="Times New Roman"/>
                <w:i/>
                <w:iCs/>
                <w:sz w:val="20"/>
              </w:rPr>
              <w:t xml:space="preserve">n</w:t>
            </w:r>
            <w:r>
              <w:rPr>
                <w:rFonts w:ascii="Times New Roman" w:hAnsi="Times New Roman"/>
                <w:sz w:val="20"/>
              </w:rPr>
              <w:t xml:space="preserve"> </w:t>
            </w:r>
            <w:r>
              <w:rPr>
                <w:rFonts w:ascii="Times New Roman" w:hAnsi="Times New Roman"/>
                <w:sz w:val="20"/>
              </w:rPr>
              <w:t xml:space="preserve">= 64)</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2.32</w:t>
            </w:r>
          </w:p>
        </w:tc>
        <w:tc>
          <w:tcPr/>
          <w:p>
            <w:pPr>
              <w:pStyle w:val="Compact"/>
            </w:pPr>
            <w:r>
              <w:rPr>
                <w:rFonts w:ascii="Times New Roman" w:hAnsi="Times New Roman"/>
                <w:sz w:val="20"/>
              </w:rPr>
              <w:t xml:space="preserve">[1.08, 3.56]</w:t>
            </w:r>
          </w:p>
        </w:tc>
        <w:tc>
          <w:tcPr/>
          <w:p>
            <w:pPr>
              <w:pStyle w:val="Compact"/>
            </w:pPr>
            <w:r>
              <w:rPr>
                <w:rFonts w:ascii="Times New Roman" w:hAnsi="Times New Roman"/>
                <w:sz w:val="20"/>
              </w:rPr>
              <w:t xml:space="preserve">&lt; .001</w:t>
            </w:r>
          </w:p>
        </w:tc>
        <w:tc>
          <w:tcPr/>
          <w:p>
            <w:pPr>
              <w:pStyle w:val="Compact"/>
            </w:pPr>
          </w:p>
        </w:tc>
      </w:tr>
    </w:tbl>
    <w:p>
      <w:pPr>
        <w:pStyle w:val="BodyText"/>
      </w:pPr>
      <w:r>
        <w:rPr>
          <w:i/>
          <w:iCs/>
        </w:rPr>
        <w:t xml:space="preserve">Note.</w:t>
      </w:r>
      <w:r>
        <w:t xml:space="preserve"> </w:t>
      </w:r>
      <w:r>
        <w:t xml:space="preserve">Each situation is entered in a separate model as an indicator of having experienced it at least once. All models adjust for pre-exposure characteristics and use HC3 standard errors. BH</w:t>
      </w:r>
      <w:r>
        <w:t xml:space="preserve"> </w:t>
      </w:r>
      <w:r>
        <w:rPr>
          <w:i/>
          <w:iCs/>
        </w:rPr>
        <w:t xml:space="preserve">p</w:t>
      </w:r>
      <w:r>
        <w:t xml:space="preserve"> </w:t>
      </w:r>
      <w:r>
        <w:t xml:space="preserve">= Benjamini-Hochberg adjustment over the seven estimated situations. Situation 4 was not estimated because fewer than 10 respondents reported it. Low exposure = index above 0 and up to 0.43, the median among exposed respondents.</w:t>
      </w:r>
    </w:p>
    <w:p>
      <w:pPr>
        <w:pStyle w:val="BodyText"/>
      </w:pPr>
      <w:r>
        <w:rPr>
          <w:b/>
          <w:bCs/>
        </w:rPr>
        <w:t xml:space="preserve">Table S5</w:t>
      </w:r>
      <w:r>
        <w:t xml:space="preserve"> </w:t>
      </w:r>
      <w:r>
        <w:rPr>
          <w:i/>
          <w:iCs/>
        </w:rPr>
        <w:t xml:space="preserve">All 32 specifications of the specification curve</w:t>
      </w:r>
    </w:p>
    <w:tbl>
      <w:tblPr>
        <w:tblStyle w:val="Table"/>
        <w:tblW w:type="pct" w:w="5000"/>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tcBorders>
              <w:bottom w:val="single" w:sz="6" w:space="0" w:color="000000"/>
            </w:tcBorders>
          </w:tcPr>
          <w:p>
            <w:pPr>
              <w:pStyle w:val="Compact"/>
            </w:pPr>
            <w:r>
              <w:rPr>
                <w:rFonts w:ascii="Times New Roman" w:hAnsi="Times New Roman"/>
                <w:sz w:val="20"/>
              </w:rPr>
              <w:t xml:space="preserve">Index</w:t>
            </w:r>
          </w:p>
        </w:tc>
        <w:tc>
          <w:tcPr>
            <w:tcBorders>
              <w:bottom w:val="single" w:sz="6" w:space="0" w:color="000000"/>
            </w:tcBorders>
          </w:tcPr>
          <w:p>
            <w:pPr>
              <w:pStyle w:val="Compact"/>
            </w:pPr>
            <w:r>
              <w:rPr>
                <w:rFonts w:ascii="Times New Roman" w:hAnsi="Times New Roman"/>
                <w:sz w:val="20"/>
              </w:rPr>
              <w:t xml:space="preserve">Covariates</w:t>
            </w:r>
          </w:p>
        </w:tc>
        <w:tc>
          <w:tcPr>
            <w:tcBorders>
              <w:bottom w:val="single" w:sz="6" w:space="0" w:color="000000"/>
            </w:tcBorders>
          </w:tcPr>
          <w:p>
            <w:pPr>
              <w:pStyle w:val="Compact"/>
            </w:pPr>
            <w:r>
              <w:rPr>
                <w:rFonts w:ascii="Times New Roman" w:hAnsi="Times New Roman"/>
                <w:sz w:val="20"/>
              </w:rPr>
              <w:t xml:space="preserve">LGBT definition</w:t>
            </w:r>
          </w:p>
        </w:tc>
        <w:tc>
          <w:tcPr>
            <w:tcBorders>
              <w:bottom w:val="single" w:sz="6" w:space="0" w:color="000000"/>
            </w:tcBorders>
          </w:tcPr>
          <w:p>
            <w:pPr>
              <w:pStyle w:val="Compact"/>
            </w:pPr>
            <w:r>
              <w:rPr>
                <w:rFonts w:ascii="Times New Roman" w:hAnsi="Times New Roman"/>
                <w:sz w:val="20"/>
              </w:rPr>
              <w:t xml:space="preserve">Transgender and nonbinary</w:t>
            </w:r>
          </w:p>
        </w:tc>
        <w:tc>
          <w:tcPr>
            <w:tcBorders>
              <w:bottom w:val="single" w:sz="6" w:space="0" w:color="000000"/>
            </w:tcBorders>
          </w:tcPr>
          <w:p>
            <w:pPr>
              <w:pStyle w:val="Compact"/>
            </w:pPr>
            <w:r>
              <w:rPr>
                <w:rFonts w:ascii="Times New Roman" w:hAnsi="Times New Roman"/>
                <w:i/>
                <w:iCs/>
                <w:sz w:val="20"/>
              </w:rPr>
              <w:t xml:space="preserve">n</w:t>
            </w:r>
          </w:p>
        </w:tc>
        <w:tc>
          <w:tcPr>
            <w:tcBorders>
              <w:bottom w:val="single" w:sz="6" w:space="0" w:color="000000"/>
            </w:tcBorders>
          </w:tcPr>
          <w:p>
            <w:pPr>
              <w:pStyle w:val="Compact"/>
            </w:pPr>
            <w:r>
              <w:rPr>
                <w:rFonts w:ascii="Times New Roman" w:hAnsi="Times New Roman"/>
                <w:sz w:val="20"/>
              </w:rPr>
              <w:t xml:space="preserve">Estimate [95% CI]</w:t>
            </w:r>
          </w:p>
        </w:tc>
        <w:tc>
          <w:tcPr>
            <w:tcBorders>
              <w:bottom w:val="single" w:sz="6" w:space="0" w:color="000000"/>
            </w:tcBorders>
          </w:tcPr>
          <w:p>
            <w:pPr>
              <w:pStyle w:val="Compact"/>
            </w:pPr>
            <w:r>
              <w:rPr>
                <w:rFonts w:ascii="Times New Roman" w:hAnsi="Times New Roman"/>
                <w:sz w:val="20"/>
              </w:rPr>
              <w:t xml:space="preserve">Per</w:t>
            </w:r>
            <w:r>
              <w:rPr>
                <w:rFonts w:ascii="Times New Roman" w:hAnsi="Times New Roman"/>
                <w:sz w:val="20"/>
              </w:rPr>
              <w:t xml:space="preserve"> </w:t>
            </w:r>
            <w:r>
              <w:rPr>
                <w:rFonts w:ascii="Times New Roman" w:hAnsi="Times New Roman"/>
                <w:i/>
                <w:iCs/>
                <w:sz w:val="20"/>
              </w:rPr>
              <w:t xml:space="preserve">SD</w:t>
            </w:r>
            <w:r>
              <w:rPr>
                <w:rFonts w:ascii="Times New Roman" w:hAnsi="Times New Roman"/>
                <w:sz w:val="20"/>
              </w:rPr>
              <w:t xml:space="preserve"> </w:t>
            </w:r>
            <w:r>
              <w:rPr>
                <w:rFonts w:ascii="Times New Roman" w:hAnsi="Times New Roman"/>
                <w:sz w:val="20"/>
              </w:rPr>
              <w:t xml:space="preserve">of index [95% CI]</w:t>
            </w:r>
          </w:p>
        </w:tc>
      </w:tr>
      <w:tr>
        <w:tc>
          <w:tcPr/>
          <w:p>
            <w:pPr>
              <w:pStyle w:val="Compact"/>
            </w:pPr>
            <w:r>
              <w:rPr>
                <w:rFonts w:ascii="Times New Roman" w:hAnsi="Times New Roman"/>
                <w:sz w:val="20"/>
              </w:rPr>
              <w:t xml:space="preserve">8-situation mean</w:t>
            </w:r>
          </w:p>
        </w:tc>
        <w:tc>
          <w:tcPr/>
          <w:p>
            <w:pPr>
              <w:pStyle w:val="Compact"/>
            </w:pPr>
            <w:r>
              <w:rPr>
                <w:rFonts w:ascii="Times New Roman" w:hAnsi="Times New Roman"/>
                <w:sz w:val="20"/>
              </w:rPr>
              <w:t xml:space="preserve">Xᴰ</w:t>
            </w:r>
          </w:p>
        </w:tc>
        <w:tc>
          <w:tcPr/>
          <w:p>
            <w:pPr>
              <w:pStyle w:val="Compact"/>
            </w:pPr>
            <w:r>
              <w:rPr>
                <w:rFonts w:ascii="Times New Roman" w:hAnsi="Times New Roman"/>
                <w:sz w:val="20"/>
              </w:rPr>
              <w:t xml:space="preserve">Self-identification</w:t>
            </w:r>
          </w:p>
        </w:tc>
        <w:tc>
          <w:tcPr/>
          <w:p>
            <w:pPr>
              <w:pStyle w:val="Compact"/>
            </w:pPr>
            <w:r>
              <w:rPr>
                <w:rFonts w:ascii="Times New Roman" w:hAnsi="Times New Roman"/>
                <w:sz w:val="20"/>
              </w:rPr>
              <w:t xml:space="preserve">Included</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1.85 [0.71, 2.99]</w:t>
            </w:r>
          </w:p>
        </w:tc>
        <w:tc>
          <w:tcPr/>
          <w:p>
            <w:pPr>
              <w:pStyle w:val="Compact"/>
            </w:pPr>
            <w:r>
              <w:rPr>
                <w:rFonts w:ascii="Times New Roman" w:hAnsi="Times New Roman"/>
                <w:sz w:val="20"/>
              </w:rPr>
              <w:t xml:space="preserve">0.86 [0.33, 1.40]</w:t>
            </w:r>
          </w:p>
        </w:tc>
      </w:tr>
      <w:tr>
        <w:tc>
          <w:tcPr/>
          <w:p>
            <w:pPr>
              <w:pStyle w:val="Compact"/>
            </w:pPr>
            <w:r>
              <w:rPr>
                <w:rFonts w:ascii="Times New Roman" w:hAnsi="Times New Roman"/>
                <w:sz w:val="20"/>
              </w:rPr>
              <w:t xml:space="preserve">8-situation mean</w:t>
            </w:r>
          </w:p>
        </w:tc>
        <w:tc>
          <w:tcPr/>
          <w:p>
            <w:pPr>
              <w:pStyle w:val="Compact"/>
            </w:pPr>
            <w:r>
              <w:rPr>
                <w:rFonts w:ascii="Times New Roman" w:hAnsi="Times New Roman"/>
                <w:sz w:val="20"/>
              </w:rPr>
              <w:t xml:space="preserve">Xᴰ</w:t>
            </w:r>
          </w:p>
        </w:tc>
        <w:tc>
          <w:tcPr/>
          <w:p>
            <w:pPr>
              <w:pStyle w:val="Compact"/>
            </w:pPr>
            <w:r>
              <w:rPr>
                <w:rFonts w:ascii="Times New Roman" w:hAnsi="Times New Roman"/>
                <w:sz w:val="20"/>
              </w:rPr>
              <w:t xml:space="preserve">Self-identification</w:t>
            </w:r>
          </w:p>
        </w:tc>
        <w:tc>
          <w:tcPr/>
          <w:p>
            <w:pPr>
              <w:pStyle w:val="Compact"/>
            </w:pPr>
            <w:r>
              <w:rPr>
                <w:rFonts w:ascii="Times New Roman" w:hAnsi="Times New Roman"/>
                <w:sz w:val="20"/>
              </w:rPr>
              <w:t xml:space="preserve">Excluded</w:t>
            </w:r>
          </w:p>
        </w:tc>
        <w:tc>
          <w:tcPr/>
          <w:p>
            <w:pPr>
              <w:pStyle w:val="Compact"/>
            </w:pPr>
            <w:r>
              <w:rPr>
                <w:rFonts w:ascii="Times New Roman" w:hAnsi="Times New Roman"/>
                <w:sz w:val="20"/>
              </w:rPr>
              <w:t xml:space="preserve">225</w:t>
            </w:r>
          </w:p>
        </w:tc>
        <w:tc>
          <w:tcPr/>
          <w:p>
            <w:pPr>
              <w:pStyle w:val="Compact"/>
            </w:pPr>
            <w:r>
              <w:rPr>
                <w:rFonts w:ascii="Times New Roman" w:hAnsi="Times New Roman"/>
                <w:sz w:val="20"/>
              </w:rPr>
              <w:t xml:space="preserve">2.01 [0.79, 3.23]</w:t>
            </w:r>
          </w:p>
        </w:tc>
        <w:tc>
          <w:tcPr/>
          <w:p>
            <w:pPr>
              <w:pStyle w:val="Compact"/>
            </w:pPr>
            <w:r>
              <w:rPr>
                <w:rFonts w:ascii="Times New Roman" w:hAnsi="Times New Roman"/>
                <w:sz w:val="20"/>
              </w:rPr>
              <w:t xml:space="preserve">0.89 [0.35, 1.44]</w:t>
            </w:r>
          </w:p>
        </w:tc>
      </w:tr>
      <w:tr>
        <w:tc>
          <w:tcPr/>
          <w:p>
            <w:pPr>
              <w:pStyle w:val="Compact"/>
            </w:pPr>
            <w:r>
              <w:rPr>
                <w:rFonts w:ascii="Times New Roman" w:hAnsi="Times New Roman"/>
                <w:sz w:val="20"/>
              </w:rPr>
              <w:t xml:space="preserve">8-situation mean</w:t>
            </w:r>
          </w:p>
        </w:tc>
        <w:tc>
          <w:tcPr/>
          <w:p>
            <w:pPr>
              <w:pStyle w:val="Compact"/>
            </w:pPr>
            <w:r>
              <w:rPr>
                <w:rFonts w:ascii="Times New Roman" w:hAnsi="Times New Roman"/>
                <w:sz w:val="20"/>
              </w:rPr>
              <w:t xml:space="preserve">Xᴰ</w:t>
            </w:r>
          </w:p>
        </w:tc>
        <w:tc>
          <w:tcPr/>
          <w:p>
            <w:pPr>
              <w:pStyle w:val="Compact"/>
            </w:pPr>
            <w:r>
              <w:rPr>
                <w:rFonts w:ascii="Times New Roman" w:hAnsi="Times New Roman"/>
                <w:sz w:val="20"/>
              </w:rPr>
              <w:t xml:space="preserve">Self-identification + SOGI</w:t>
            </w:r>
          </w:p>
        </w:tc>
        <w:tc>
          <w:tcPr/>
          <w:p>
            <w:pPr>
              <w:pStyle w:val="Compact"/>
            </w:pPr>
            <w:r>
              <w:rPr>
                <w:rFonts w:ascii="Times New Roman" w:hAnsi="Times New Roman"/>
                <w:sz w:val="20"/>
              </w:rPr>
              <w:t xml:space="preserve">Included</w:t>
            </w:r>
          </w:p>
        </w:tc>
        <w:tc>
          <w:tcPr/>
          <w:p>
            <w:pPr>
              <w:pStyle w:val="Compact"/>
            </w:pPr>
            <w:r>
              <w:rPr>
                <w:rFonts w:ascii="Times New Roman" w:hAnsi="Times New Roman"/>
                <w:sz w:val="20"/>
              </w:rPr>
              <w:t xml:space="preserve">226</w:t>
            </w:r>
          </w:p>
        </w:tc>
        <w:tc>
          <w:tcPr/>
          <w:p>
            <w:pPr>
              <w:pStyle w:val="Compact"/>
            </w:pPr>
            <w:r>
              <w:rPr>
                <w:rFonts w:ascii="Times New Roman" w:hAnsi="Times New Roman"/>
                <w:sz w:val="20"/>
              </w:rPr>
              <w:t xml:space="preserve">1.96 [0.84, 3.08]</w:t>
            </w:r>
          </w:p>
        </w:tc>
        <w:tc>
          <w:tcPr/>
          <w:p>
            <w:pPr>
              <w:pStyle w:val="Compact"/>
            </w:pPr>
            <w:r>
              <w:rPr>
                <w:rFonts w:ascii="Times New Roman" w:hAnsi="Times New Roman"/>
                <w:sz w:val="20"/>
              </w:rPr>
              <w:t xml:space="preserve">0.92 [0.39, 1.45]</w:t>
            </w:r>
          </w:p>
        </w:tc>
      </w:tr>
      <w:tr>
        <w:tc>
          <w:tcPr/>
          <w:p>
            <w:pPr>
              <w:pStyle w:val="Compact"/>
            </w:pPr>
            <w:r>
              <w:rPr>
                <w:rFonts w:ascii="Times New Roman" w:hAnsi="Times New Roman"/>
                <w:sz w:val="20"/>
              </w:rPr>
              <w:t xml:space="preserve">8-situation mean</w:t>
            </w:r>
          </w:p>
        </w:tc>
        <w:tc>
          <w:tcPr/>
          <w:p>
            <w:pPr>
              <w:pStyle w:val="Compact"/>
            </w:pPr>
            <w:r>
              <w:rPr>
                <w:rFonts w:ascii="Times New Roman" w:hAnsi="Times New Roman"/>
                <w:sz w:val="20"/>
              </w:rPr>
              <w:t xml:space="preserve">Xᴰ</w:t>
            </w:r>
          </w:p>
        </w:tc>
        <w:tc>
          <w:tcPr/>
          <w:p>
            <w:pPr>
              <w:pStyle w:val="Compact"/>
            </w:pPr>
            <w:r>
              <w:rPr>
                <w:rFonts w:ascii="Times New Roman" w:hAnsi="Times New Roman"/>
                <w:sz w:val="20"/>
              </w:rPr>
              <w:t xml:space="preserve">Self-identification + SOGI</w:t>
            </w:r>
          </w:p>
        </w:tc>
        <w:tc>
          <w:tcPr/>
          <w:p>
            <w:pPr>
              <w:pStyle w:val="Compact"/>
            </w:pPr>
            <w:r>
              <w:rPr>
                <w:rFonts w:ascii="Times New Roman" w:hAnsi="Times New Roman"/>
                <w:sz w:val="20"/>
              </w:rPr>
              <w:t xml:space="preserve">Excluded</w:t>
            </w:r>
          </w:p>
        </w:tc>
        <w:tc>
          <w:tcPr/>
          <w:p>
            <w:pPr>
              <w:pStyle w:val="Compact"/>
            </w:pPr>
            <w:r>
              <w:rPr>
                <w:rFonts w:ascii="Times New Roman" w:hAnsi="Times New Roman"/>
                <w:sz w:val="20"/>
              </w:rPr>
              <w:t xml:space="preserve">216</w:t>
            </w:r>
          </w:p>
        </w:tc>
        <w:tc>
          <w:tcPr/>
          <w:p>
            <w:pPr>
              <w:pStyle w:val="Compact"/>
            </w:pPr>
            <w:r>
              <w:rPr>
                <w:rFonts w:ascii="Times New Roman" w:hAnsi="Times New Roman"/>
                <w:sz w:val="20"/>
              </w:rPr>
              <w:t xml:space="preserve">2.07 [0.88, 3.27]</w:t>
            </w:r>
          </w:p>
        </w:tc>
        <w:tc>
          <w:tcPr/>
          <w:p>
            <w:pPr>
              <w:pStyle w:val="Compact"/>
            </w:pPr>
            <w:r>
              <w:rPr>
                <w:rFonts w:ascii="Times New Roman" w:hAnsi="Times New Roman"/>
                <w:sz w:val="20"/>
              </w:rPr>
              <w:t xml:space="preserve">0.94 [0.40, 1.47]</w:t>
            </w:r>
          </w:p>
        </w:tc>
      </w:tr>
      <w:tr>
        <w:tc>
          <w:tcPr/>
          <w:p>
            <w:pPr>
              <w:pStyle w:val="Compact"/>
            </w:pPr>
            <w:r>
              <w:rPr>
                <w:rFonts w:ascii="Times New Roman" w:hAnsi="Times New Roman"/>
                <w:sz w:val="20"/>
              </w:rPr>
              <w:t xml:space="preserve">8-situation mean</w:t>
            </w:r>
          </w:p>
        </w:tc>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Self-identification</w:t>
            </w:r>
          </w:p>
        </w:tc>
        <w:tc>
          <w:tcPr/>
          <w:p>
            <w:pPr>
              <w:pStyle w:val="Compact"/>
            </w:pPr>
            <w:r>
              <w:rPr>
                <w:rFonts w:ascii="Times New Roman" w:hAnsi="Times New Roman"/>
                <w:sz w:val="20"/>
              </w:rPr>
              <w:t xml:space="preserve">Included</w:t>
            </w:r>
          </w:p>
        </w:tc>
        <w:tc>
          <w:tcPr/>
          <w:p>
            <w:pPr>
              <w:pStyle w:val="Compact"/>
            </w:pPr>
            <w:r>
              <w:rPr>
                <w:rFonts w:ascii="Times New Roman" w:hAnsi="Times New Roman"/>
                <w:sz w:val="20"/>
              </w:rPr>
              <w:t xml:space="preserve">206</w:t>
            </w:r>
          </w:p>
        </w:tc>
        <w:tc>
          <w:tcPr/>
          <w:p>
            <w:pPr>
              <w:pStyle w:val="Compact"/>
            </w:pPr>
            <w:r>
              <w:rPr>
                <w:rFonts w:ascii="Times New Roman" w:hAnsi="Times New Roman"/>
                <w:sz w:val="20"/>
              </w:rPr>
              <w:t xml:space="preserve">1.95 [0.52, 3.37]</w:t>
            </w:r>
          </w:p>
        </w:tc>
        <w:tc>
          <w:tcPr/>
          <w:p>
            <w:pPr>
              <w:pStyle w:val="Compact"/>
            </w:pPr>
            <w:r>
              <w:rPr>
                <w:rFonts w:ascii="Times New Roman" w:hAnsi="Times New Roman"/>
                <w:sz w:val="20"/>
              </w:rPr>
              <w:t xml:space="preserve">0.92 [0.25, 1.60]</w:t>
            </w:r>
          </w:p>
        </w:tc>
      </w:tr>
      <w:tr>
        <w:tc>
          <w:tcPr/>
          <w:p>
            <w:pPr>
              <w:pStyle w:val="Compact"/>
            </w:pPr>
            <w:r>
              <w:rPr>
                <w:rFonts w:ascii="Times New Roman" w:hAnsi="Times New Roman"/>
                <w:sz w:val="20"/>
              </w:rPr>
              <w:t xml:space="preserve">8-situation mean</w:t>
            </w:r>
          </w:p>
        </w:tc>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Self-identification</w:t>
            </w:r>
          </w:p>
        </w:tc>
        <w:tc>
          <w:tcPr/>
          <w:p>
            <w:pPr>
              <w:pStyle w:val="Compact"/>
            </w:pPr>
            <w:r>
              <w:rPr>
                <w:rFonts w:ascii="Times New Roman" w:hAnsi="Times New Roman"/>
                <w:sz w:val="20"/>
              </w:rPr>
              <w:t xml:space="preserve">Excluded</w:t>
            </w:r>
          </w:p>
        </w:tc>
        <w:tc>
          <w:tcPr/>
          <w:p>
            <w:pPr>
              <w:pStyle w:val="Compact"/>
            </w:pPr>
            <w:r>
              <w:rPr>
                <w:rFonts w:ascii="Times New Roman" w:hAnsi="Times New Roman"/>
                <w:sz w:val="20"/>
              </w:rPr>
              <w:t xml:space="preserve">196</w:t>
            </w:r>
          </w:p>
        </w:tc>
        <w:tc>
          <w:tcPr/>
          <w:p>
            <w:pPr>
              <w:pStyle w:val="Compact"/>
            </w:pPr>
            <w:r>
              <w:rPr>
                <w:rFonts w:ascii="Times New Roman" w:hAnsi="Times New Roman"/>
                <w:sz w:val="20"/>
              </w:rPr>
              <w:t xml:space="preserve">2.22 [0.74, 3.70]</w:t>
            </w:r>
          </w:p>
        </w:tc>
        <w:tc>
          <w:tcPr/>
          <w:p>
            <w:pPr>
              <w:pStyle w:val="Compact"/>
            </w:pPr>
            <w:r>
              <w:rPr>
                <w:rFonts w:ascii="Times New Roman" w:hAnsi="Times New Roman"/>
                <w:sz w:val="20"/>
              </w:rPr>
              <w:t xml:space="preserve">1.00 [0.33, 1.66]</w:t>
            </w:r>
          </w:p>
        </w:tc>
      </w:tr>
      <w:tr>
        <w:tc>
          <w:tcPr/>
          <w:p>
            <w:pPr>
              <w:pStyle w:val="Compact"/>
            </w:pPr>
            <w:r>
              <w:rPr>
                <w:rFonts w:ascii="Times New Roman" w:hAnsi="Times New Roman"/>
                <w:sz w:val="20"/>
              </w:rPr>
              <w:t xml:space="preserve">8-situation mean</w:t>
            </w:r>
          </w:p>
        </w:tc>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Self-identification + SOGI</w:t>
            </w:r>
          </w:p>
        </w:tc>
        <w:tc>
          <w:tcPr/>
          <w:p>
            <w:pPr>
              <w:pStyle w:val="Compact"/>
            </w:pPr>
            <w:r>
              <w:rPr>
                <w:rFonts w:ascii="Times New Roman" w:hAnsi="Times New Roman"/>
                <w:sz w:val="20"/>
              </w:rPr>
              <w:t xml:space="preserve">Included</w:t>
            </w:r>
          </w:p>
        </w:tc>
        <w:tc>
          <w:tcPr/>
          <w:p>
            <w:pPr>
              <w:pStyle w:val="Compact"/>
            </w:pPr>
            <w:r>
              <w:rPr>
                <w:rFonts w:ascii="Times New Roman" w:hAnsi="Times New Roman"/>
                <w:sz w:val="20"/>
              </w:rPr>
              <w:t xml:space="preserve">198</w:t>
            </w:r>
          </w:p>
        </w:tc>
        <w:tc>
          <w:tcPr/>
          <w:p>
            <w:pPr>
              <w:pStyle w:val="Compact"/>
            </w:pPr>
            <w:r>
              <w:rPr>
                <w:rFonts w:ascii="Times New Roman" w:hAnsi="Times New Roman"/>
                <w:sz w:val="20"/>
              </w:rPr>
              <w:t xml:space="preserve">1.95 [0.53, 3.38]</w:t>
            </w:r>
          </w:p>
        </w:tc>
        <w:tc>
          <w:tcPr/>
          <w:p>
            <w:pPr>
              <w:pStyle w:val="Compact"/>
            </w:pPr>
            <w:r>
              <w:rPr>
                <w:rFonts w:ascii="Times New Roman" w:hAnsi="Times New Roman"/>
                <w:sz w:val="20"/>
              </w:rPr>
              <w:t xml:space="preserve">0.94 [0.25, 1.62]</w:t>
            </w:r>
          </w:p>
        </w:tc>
      </w:tr>
      <w:tr>
        <w:tc>
          <w:tcPr/>
          <w:p>
            <w:pPr>
              <w:pStyle w:val="Compact"/>
            </w:pPr>
            <w:r>
              <w:rPr>
                <w:rFonts w:ascii="Times New Roman" w:hAnsi="Times New Roman"/>
                <w:sz w:val="20"/>
              </w:rPr>
              <w:t xml:space="preserve">8-situation mean</w:t>
            </w:r>
          </w:p>
        </w:tc>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Self-identification + SOGI</w:t>
            </w:r>
          </w:p>
        </w:tc>
        <w:tc>
          <w:tcPr/>
          <w:p>
            <w:pPr>
              <w:pStyle w:val="Compact"/>
            </w:pPr>
            <w:r>
              <w:rPr>
                <w:rFonts w:ascii="Times New Roman" w:hAnsi="Times New Roman"/>
                <w:sz w:val="20"/>
              </w:rPr>
              <w:t xml:space="preserve">Excluded</w:t>
            </w:r>
          </w:p>
        </w:tc>
        <w:tc>
          <w:tcPr/>
          <w:p>
            <w:pPr>
              <w:pStyle w:val="Compact"/>
            </w:pPr>
            <w:r>
              <w:rPr>
                <w:rFonts w:ascii="Times New Roman" w:hAnsi="Times New Roman"/>
                <w:sz w:val="20"/>
              </w:rPr>
              <w:t xml:space="preserve">188</w:t>
            </w:r>
          </w:p>
        </w:tc>
        <w:tc>
          <w:tcPr/>
          <w:p>
            <w:pPr>
              <w:pStyle w:val="Compact"/>
            </w:pPr>
            <w:r>
              <w:rPr>
                <w:rFonts w:ascii="Times New Roman" w:hAnsi="Times New Roman"/>
                <w:sz w:val="20"/>
              </w:rPr>
              <w:t xml:space="preserve">2.18 [0.72, 3.63]</w:t>
            </w:r>
          </w:p>
        </w:tc>
        <w:tc>
          <w:tcPr/>
          <w:p>
            <w:pPr>
              <w:pStyle w:val="Compact"/>
            </w:pPr>
            <w:r>
              <w:rPr>
                <w:rFonts w:ascii="Times New Roman" w:hAnsi="Times New Roman"/>
                <w:sz w:val="20"/>
              </w:rPr>
              <w:t xml:space="preserve">0.99 [0.33, 1.65]</w:t>
            </w:r>
          </w:p>
        </w:tc>
      </w:tr>
      <w:tr>
        <w:tc>
          <w:tcPr/>
          <w:p>
            <w:pPr>
              <w:pStyle w:val="Compact"/>
            </w:pPr>
            <w:r>
              <w:rPr>
                <w:rFonts w:ascii="Times New Roman" w:hAnsi="Times New Roman"/>
                <w:sz w:val="20"/>
              </w:rPr>
              <w:t xml:space="preserve">7-situation mean</w:t>
            </w:r>
          </w:p>
        </w:tc>
        <w:tc>
          <w:tcPr/>
          <w:p>
            <w:pPr>
              <w:pStyle w:val="Compact"/>
            </w:pPr>
            <w:r>
              <w:rPr>
                <w:rFonts w:ascii="Times New Roman" w:hAnsi="Times New Roman"/>
                <w:sz w:val="20"/>
              </w:rPr>
              <w:t xml:space="preserve">Xᴰ</w:t>
            </w:r>
          </w:p>
        </w:tc>
        <w:tc>
          <w:tcPr/>
          <w:p>
            <w:pPr>
              <w:pStyle w:val="Compact"/>
            </w:pPr>
            <w:r>
              <w:rPr>
                <w:rFonts w:ascii="Times New Roman" w:hAnsi="Times New Roman"/>
                <w:sz w:val="20"/>
              </w:rPr>
              <w:t xml:space="preserve">Self-identification</w:t>
            </w:r>
          </w:p>
        </w:tc>
        <w:tc>
          <w:tcPr/>
          <w:p>
            <w:pPr>
              <w:pStyle w:val="Compact"/>
            </w:pPr>
            <w:r>
              <w:rPr>
                <w:rFonts w:ascii="Times New Roman" w:hAnsi="Times New Roman"/>
                <w:sz w:val="20"/>
              </w:rPr>
              <w:t xml:space="preserve">Included</w:t>
            </w:r>
          </w:p>
        </w:tc>
        <w:tc>
          <w:tcPr/>
          <w:p>
            <w:pPr>
              <w:pStyle w:val="Compact"/>
            </w:pPr>
            <w:r>
              <w:rPr>
                <w:rFonts w:ascii="Times New Roman" w:hAnsi="Times New Roman"/>
                <w:sz w:val="20"/>
              </w:rPr>
              <w:t xml:space="preserve">241</w:t>
            </w:r>
          </w:p>
        </w:tc>
        <w:tc>
          <w:tcPr/>
          <w:p>
            <w:pPr>
              <w:pStyle w:val="Compact"/>
            </w:pPr>
            <w:r>
              <w:rPr>
                <w:rFonts w:ascii="Times New Roman" w:hAnsi="Times New Roman"/>
                <w:sz w:val="20"/>
              </w:rPr>
              <w:t xml:space="preserve">1.84 [0.80, 2.88]</w:t>
            </w:r>
          </w:p>
        </w:tc>
        <w:tc>
          <w:tcPr/>
          <w:p>
            <w:pPr>
              <w:pStyle w:val="Compact"/>
            </w:pPr>
            <w:r>
              <w:rPr>
                <w:rFonts w:ascii="Times New Roman" w:hAnsi="Times New Roman"/>
                <w:sz w:val="20"/>
              </w:rPr>
              <w:t xml:space="preserve">0.89 [0.39, 1.40]</w:t>
            </w:r>
          </w:p>
        </w:tc>
      </w:tr>
      <w:tr>
        <w:tc>
          <w:tcPr/>
          <w:p>
            <w:pPr>
              <w:pStyle w:val="Compact"/>
            </w:pPr>
            <w:r>
              <w:rPr>
                <w:rFonts w:ascii="Times New Roman" w:hAnsi="Times New Roman"/>
                <w:sz w:val="20"/>
              </w:rPr>
              <w:t xml:space="preserve">7-situation mean</w:t>
            </w:r>
          </w:p>
        </w:tc>
        <w:tc>
          <w:tcPr/>
          <w:p>
            <w:pPr>
              <w:pStyle w:val="Compact"/>
            </w:pPr>
            <w:r>
              <w:rPr>
                <w:rFonts w:ascii="Times New Roman" w:hAnsi="Times New Roman"/>
                <w:sz w:val="20"/>
              </w:rPr>
              <w:t xml:space="preserve">Xᴰ</w:t>
            </w:r>
          </w:p>
        </w:tc>
        <w:tc>
          <w:tcPr/>
          <w:p>
            <w:pPr>
              <w:pStyle w:val="Compact"/>
            </w:pPr>
            <w:r>
              <w:rPr>
                <w:rFonts w:ascii="Times New Roman" w:hAnsi="Times New Roman"/>
                <w:sz w:val="20"/>
              </w:rPr>
              <w:t xml:space="preserve">Self-identification</w:t>
            </w:r>
          </w:p>
        </w:tc>
        <w:tc>
          <w:tcPr/>
          <w:p>
            <w:pPr>
              <w:pStyle w:val="Compact"/>
            </w:pPr>
            <w:r>
              <w:rPr>
                <w:rFonts w:ascii="Times New Roman" w:hAnsi="Times New Roman"/>
                <w:sz w:val="20"/>
              </w:rPr>
              <w:t xml:space="preserve">Excluded</w:t>
            </w:r>
          </w:p>
        </w:tc>
        <w:tc>
          <w:tcPr/>
          <w:p>
            <w:pPr>
              <w:pStyle w:val="Compact"/>
            </w:pPr>
            <w:r>
              <w:rPr>
                <w:rFonts w:ascii="Times New Roman" w:hAnsi="Times New Roman"/>
                <w:sz w:val="20"/>
              </w:rPr>
              <w:t xml:space="preserve">230</w:t>
            </w:r>
          </w:p>
        </w:tc>
        <w:tc>
          <w:tcPr/>
          <w:p>
            <w:pPr>
              <w:pStyle w:val="Compact"/>
            </w:pPr>
            <w:r>
              <w:rPr>
                <w:rFonts w:ascii="Times New Roman" w:hAnsi="Times New Roman"/>
                <w:sz w:val="20"/>
              </w:rPr>
              <w:t xml:space="preserve">1.93 [0.83, 3.04]</w:t>
            </w:r>
          </w:p>
        </w:tc>
        <w:tc>
          <w:tcPr/>
          <w:p>
            <w:pPr>
              <w:pStyle w:val="Compact"/>
            </w:pPr>
            <w:r>
              <w:rPr>
                <w:rFonts w:ascii="Times New Roman" w:hAnsi="Times New Roman"/>
                <w:sz w:val="20"/>
              </w:rPr>
              <w:t xml:space="preserve">0.91 [0.39, 1.43]</w:t>
            </w:r>
          </w:p>
        </w:tc>
      </w:tr>
      <w:tr>
        <w:tc>
          <w:tcPr/>
          <w:p>
            <w:pPr>
              <w:pStyle w:val="Compact"/>
            </w:pPr>
            <w:r>
              <w:rPr>
                <w:rFonts w:ascii="Times New Roman" w:hAnsi="Times New Roman"/>
                <w:sz w:val="20"/>
              </w:rPr>
              <w:t xml:space="preserve">7-situation mean</w:t>
            </w:r>
          </w:p>
        </w:tc>
        <w:tc>
          <w:tcPr/>
          <w:p>
            <w:pPr>
              <w:pStyle w:val="Compact"/>
            </w:pPr>
            <w:r>
              <w:rPr>
                <w:rFonts w:ascii="Times New Roman" w:hAnsi="Times New Roman"/>
                <w:sz w:val="20"/>
              </w:rPr>
              <w:t xml:space="preserve">Xᴰ</w:t>
            </w:r>
          </w:p>
        </w:tc>
        <w:tc>
          <w:tcPr/>
          <w:p>
            <w:pPr>
              <w:pStyle w:val="Compact"/>
            </w:pPr>
            <w:r>
              <w:rPr>
                <w:rFonts w:ascii="Times New Roman" w:hAnsi="Times New Roman"/>
                <w:sz w:val="20"/>
              </w:rPr>
              <w:t xml:space="preserve">Self-identification + SOGI</w:t>
            </w:r>
          </w:p>
        </w:tc>
        <w:tc>
          <w:tcPr/>
          <w:p>
            <w:pPr>
              <w:pStyle w:val="Compact"/>
            </w:pPr>
            <w:r>
              <w:rPr>
                <w:rFonts w:ascii="Times New Roman" w:hAnsi="Times New Roman"/>
                <w:sz w:val="20"/>
              </w:rPr>
              <w:t xml:space="preserve">Included</w:t>
            </w:r>
          </w:p>
        </w:tc>
        <w:tc>
          <w:tcPr/>
          <w:p>
            <w:pPr>
              <w:pStyle w:val="Compact"/>
            </w:pPr>
            <w:r>
              <w:rPr>
                <w:rFonts w:ascii="Times New Roman" w:hAnsi="Times New Roman"/>
                <w:sz w:val="20"/>
              </w:rPr>
              <w:t xml:space="preserve">232</w:t>
            </w:r>
          </w:p>
        </w:tc>
        <w:tc>
          <w:tcPr/>
          <w:p>
            <w:pPr>
              <w:pStyle w:val="Compact"/>
            </w:pPr>
            <w:r>
              <w:rPr>
                <w:rFonts w:ascii="Times New Roman" w:hAnsi="Times New Roman"/>
                <w:sz w:val="20"/>
              </w:rPr>
              <w:t xml:space="preserve">1.92 [0.90, 2.95]</w:t>
            </w:r>
          </w:p>
        </w:tc>
        <w:tc>
          <w:tcPr/>
          <w:p>
            <w:pPr>
              <w:pStyle w:val="Compact"/>
            </w:pPr>
            <w:r>
              <w:rPr>
                <w:rFonts w:ascii="Times New Roman" w:hAnsi="Times New Roman"/>
                <w:sz w:val="20"/>
              </w:rPr>
              <w:t xml:space="preserve">0.94 [0.44, 1.45]</w:t>
            </w:r>
          </w:p>
        </w:tc>
      </w:tr>
      <w:tr>
        <w:tc>
          <w:tcPr/>
          <w:p>
            <w:pPr>
              <w:pStyle w:val="Compact"/>
            </w:pPr>
            <w:r>
              <w:rPr>
                <w:rFonts w:ascii="Times New Roman" w:hAnsi="Times New Roman"/>
                <w:sz w:val="20"/>
              </w:rPr>
              <w:t xml:space="preserve">7-situation mean</w:t>
            </w:r>
          </w:p>
        </w:tc>
        <w:tc>
          <w:tcPr/>
          <w:p>
            <w:pPr>
              <w:pStyle w:val="Compact"/>
            </w:pPr>
            <w:r>
              <w:rPr>
                <w:rFonts w:ascii="Times New Roman" w:hAnsi="Times New Roman"/>
                <w:sz w:val="20"/>
              </w:rPr>
              <w:t xml:space="preserve">Xᴰ</w:t>
            </w:r>
          </w:p>
        </w:tc>
        <w:tc>
          <w:tcPr/>
          <w:p>
            <w:pPr>
              <w:pStyle w:val="Compact"/>
            </w:pPr>
            <w:r>
              <w:rPr>
                <w:rFonts w:ascii="Times New Roman" w:hAnsi="Times New Roman"/>
                <w:sz w:val="20"/>
              </w:rPr>
              <w:t xml:space="preserve">Self-identification + SOGI</w:t>
            </w:r>
          </w:p>
        </w:tc>
        <w:tc>
          <w:tcPr/>
          <w:p>
            <w:pPr>
              <w:pStyle w:val="Compact"/>
            </w:pPr>
            <w:r>
              <w:rPr>
                <w:rFonts w:ascii="Times New Roman" w:hAnsi="Times New Roman"/>
                <w:sz w:val="20"/>
              </w:rPr>
              <w:t xml:space="preserve">Excluded</w:t>
            </w:r>
          </w:p>
        </w:tc>
        <w:tc>
          <w:tcPr/>
          <w:p>
            <w:pPr>
              <w:pStyle w:val="Compact"/>
            </w:pPr>
            <w:r>
              <w:rPr>
                <w:rFonts w:ascii="Times New Roman" w:hAnsi="Times New Roman"/>
                <w:sz w:val="20"/>
              </w:rPr>
              <w:t xml:space="preserve">221</w:t>
            </w:r>
          </w:p>
        </w:tc>
        <w:tc>
          <w:tcPr/>
          <w:p>
            <w:pPr>
              <w:pStyle w:val="Compact"/>
            </w:pPr>
            <w:r>
              <w:rPr>
                <w:rFonts w:ascii="Times New Roman" w:hAnsi="Times New Roman"/>
                <w:sz w:val="20"/>
              </w:rPr>
              <w:t xml:space="preserve">1.99 [0.90, 3.08]</w:t>
            </w:r>
          </w:p>
        </w:tc>
        <w:tc>
          <w:tcPr/>
          <w:p>
            <w:pPr>
              <w:pStyle w:val="Compact"/>
            </w:pPr>
            <w:r>
              <w:rPr>
                <w:rFonts w:ascii="Times New Roman" w:hAnsi="Times New Roman"/>
                <w:sz w:val="20"/>
              </w:rPr>
              <w:t xml:space="preserve">0.95 [0.43, 1.47]</w:t>
            </w:r>
          </w:p>
        </w:tc>
      </w:tr>
      <w:tr>
        <w:tc>
          <w:tcPr/>
          <w:p>
            <w:pPr>
              <w:pStyle w:val="Compact"/>
            </w:pPr>
            <w:r>
              <w:rPr>
                <w:rFonts w:ascii="Times New Roman" w:hAnsi="Times New Roman"/>
                <w:sz w:val="20"/>
              </w:rPr>
              <w:t xml:space="preserve">7-situation mean</w:t>
            </w:r>
          </w:p>
        </w:tc>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Self-identification</w:t>
            </w:r>
          </w:p>
        </w:tc>
        <w:tc>
          <w:tcPr/>
          <w:p>
            <w:pPr>
              <w:pStyle w:val="Compact"/>
            </w:pPr>
            <w:r>
              <w:rPr>
                <w:rFonts w:ascii="Times New Roman" w:hAnsi="Times New Roman"/>
                <w:sz w:val="20"/>
              </w:rPr>
              <w:t xml:space="preserve">Included</w:t>
            </w:r>
          </w:p>
        </w:tc>
        <w:tc>
          <w:tcPr/>
          <w:p>
            <w:pPr>
              <w:pStyle w:val="Compact"/>
            </w:pPr>
            <w:r>
              <w:rPr>
                <w:rFonts w:ascii="Times New Roman" w:hAnsi="Times New Roman"/>
                <w:sz w:val="20"/>
              </w:rPr>
              <w:t xml:space="preserve">212</w:t>
            </w:r>
          </w:p>
        </w:tc>
        <w:tc>
          <w:tcPr/>
          <w:p>
            <w:pPr>
              <w:pStyle w:val="Compact"/>
            </w:pPr>
            <w:r>
              <w:rPr>
                <w:rFonts w:ascii="Times New Roman" w:hAnsi="Times New Roman"/>
                <w:sz w:val="20"/>
              </w:rPr>
              <w:t xml:space="preserve">2.07 [0.76, 3.39]</w:t>
            </w:r>
          </w:p>
        </w:tc>
        <w:tc>
          <w:tcPr/>
          <w:p>
            <w:pPr>
              <w:pStyle w:val="Compact"/>
            </w:pPr>
            <w:r>
              <w:rPr>
                <w:rFonts w:ascii="Times New Roman" w:hAnsi="Times New Roman"/>
                <w:sz w:val="20"/>
              </w:rPr>
              <w:t xml:space="preserve">1.01 [0.37, 1.65]</w:t>
            </w:r>
          </w:p>
        </w:tc>
      </w:tr>
      <w:tr>
        <w:tc>
          <w:tcPr/>
          <w:p>
            <w:pPr>
              <w:pStyle w:val="Compact"/>
            </w:pPr>
            <w:r>
              <w:rPr>
                <w:rFonts w:ascii="Times New Roman" w:hAnsi="Times New Roman"/>
                <w:sz w:val="20"/>
              </w:rPr>
              <w:t xml:space="preserve">7-situation mean</w:t>
            </w:r>
          </w:p>
        </w:tc>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Self-identification</w:t>
            </w:r>
          </w:p>
        </w:tc>
        <w:tc>
          <w:tcPr/>
          <w:p>
            <w:pPr>
              <w:pStyle w:val="Compact"/>
            </w:pPr>
            <w:r>
              <w:rPr>
                <w:rFonts w:ascii="Times New Roman" w:hAnsi="Times New Roman"/>
                <w:sz w:val="20"/>
              </w:rPr>
              <w:t xml:space="preserve">Excluded</w:t>
            </w:r>
          </w:p>
        </w:tc>
        <w:tc>
          <w:tcPr/>
          <w:p>
            <w:pPr>
              <w:pStyle w:val="Compact"/>
            </w:pPr>
            <w:r>
              <w:rPr>
                <w:rFonts w:ascii="Times New Roman" w:hAnsi="Times New Roman"/>
                <w:sz w:val="20"/>
              </w:rPr>
              <w:t xml:space="preserve">201</w:t>
            </w:r>
          </w:p>
        </w:tc>
        <w:tc>
          <w:tcPr/>
          <w:p>
            <w:pPr>
              <w:pStyle w:val="Compact"/>
            </w:pPr>
            <w:r>
              <w:rPr>
                <w:rFonts w:ascii="Times New Roman" w:hAnsi="Times New Roman"/>
                <w:sz w:val="20"/>
              </w:rPr>
              <w:t xml:space="preserve">2.27 [0.89, 3.64]</w:t>
            </w:r>
          </w:p>
        </w:tc>
        <w:tc>
          <w:tcPr/>
          <w:p>
            <w:pPr>
              <w:pStyle w:val="Compact"/>
            </w:pPr>
            <w:r>
              <w:rPr>
                <w:rFonts w:ascii="Times New Roman" w:hAnsi="Times New Roman"/>
                <w:sz w:val="20"/>
              </w:rPr>
              <w:t xml:space="preserve">1.07 [0.42, 1.71]</w:t>
            </w:r>
          </w:p>
        </w:tc>
      </w:tr>
      <w:tr>
        <w:tc>
          <w:tcPr/>
          <w:p>
            <w:pPr>
              <w:pStyle w:val="Compact"/>
            </w:pPr>
            <w:r>
              <w:rPr>
                <w:rFonts w:ascii="Times New Roman" w:hAnsi="Times New Roman"/>
                <w:sz w:val="20"/>
              </w:rPr>
              <w:t xml:space="preserve">7-situation mean</w:t>
            </w:r>
          </w:p>
        </w:tc>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Self-identification + SOGI</w:t>
            </w:r>
          </w:p>
        </w:tc>
        <w:tc>
          <w:tcPr/>
          <w:p>
            <w:pPr>
              <w:pStyle w:val="Compact"/>
            </w:pPr>
            <w:r>
              <w:rPr>
                <w:rFonts w:ascii="Times New Roman" w:hAnsi="Times New Roman"/>
                <w:sz w:val="20"/>
              </w:rPr>
              <w:t xml:space="preserve">Included</w:t>
            </w:r>
          </w:p>
        </w:tc>
        <w:tc>
          <w:tcPr/>
          <w:p>
            <w:pPr>
              <w:pStyle w:val="Compact"/>
            </w:pPr>
            <w:r>
              <w:rPr>
                <w:rFonts w:ascii="Times New Roman" w:hAnsi="Times New Roman"/>
                <w:sz w:val="20"/>
              </w:rPr>
              <w:t xml:space="preserve">204</w:t>
            </w:r>
          </w:p>
        </w:tc>
        <w:tc>
          <w:tcPr/>
          <w:p>
            <w:pPr>
              <w:pStyle w:val="Compact"/>
            </w:pPr>
            <w:r>
              <w:rPr>
                <w:rFonts w:ascii="Times New Roman" w:hAnsi="Times New Roman"/>
                <w:sz w:val="20"/>
              </w:rPr>
              <w:t xml:space="preserve">2.07 [0.74, 3.41]</w:t>
            </w:r>
          </w:p>
        </w:tc>
        <w:tc>
          <w:tcPr/>
          <w:p>
            <w:pPr>
              <w:pStyle w:val="Compact"/>
            </w:pPr>
            <w:r>
              <w:rPr>
                <w:rFonts w:ascii="Times New Roman" w:hAnsi="Times New Roman"/>
                <w:sz w:val="20"/>
              </w:rPr>
              <w:t xml:space="preserve">1.02 [0.36, 1.68]</w:t>
            </w:r>
          </w:p>
        </w:tc>
      </w:tr>
      <w:tr>
        <w:tc>
          <w:tcPr/>
          <w:p>
            <w:pPr>
              <w:pStyle w:val="Compact"/>
            </w:pPr>
            <w:r>
              <w:rPr>
                <w:rFonts w:ascii="Times New Roman" w:hAnsi="Times New Roman"/>
                <w:sz w:val="20"/>
              </w:rPr>
              <w:t xml:space="preserve">7-situation mean</w:t>
            </w:r>
          </w:p>
        </w:tc>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Self-identification + SOGI</w:t>
            </w:r>
          </w:p>
        </w:tc>
        <w:tc>
          <w:tcPr/>
          <w:p>
            <w:pPr>
              <w:pStyle w:val="Compact"/>
            </w:pPr>
            <w:r>
              <w:rPr>
                <w:rFonts w:ascii="Times New Roman" w:hAnsi="Times New Roman"/>
                <w:sz w:val="20"/>
              </w:rPr>
              <w:t xml:space="preserve">Excluded</w:t>
            </w:r>
          </w:p>
        </w:tc>
        <w:tc>
          <w:tcPr/>
          <w:p>
            <w:pPr>
              <w:pStyle w:val="Compact"/>
            </w:pPr>
            <w:r>
              <w:rPr>
                <w:rFonts w:ascii="Times New Roman" w:hAnsi="Times New Roman"/>
                <w:sz w:val="20"/>
              </w:rPr>
              <w:t xml:space="preserve">193</w:t>
            </w:r>
          </w:p>
        </w:tc>
        <w:tc>
          <w:tcPr/>
          <w:p>
            <w:pPr>
              <w:pStyle w:val="Compact"/>
            </w:pPr>
            <w:r>
              <w:rPr>
                <w:rFonts w:ascii="Times New Roman" w:hAnsi="Times New Roman"/>
                <w:sz w:val="20"/>
              </w:rPr>
              <w:t xml:space="preserve">2.23 [0.86, 3.60]</w:t>
            </w:r>
          </w:p>
        </w:tc>
        <w:tc>
          <w:tcPr/>
          <w:p>
            <w:pPr>
              <w:pStyle w:val="Compact"/>
            </w:pPr>
            <w:r>
              <w:rPr>
                <w:rFonts w:ascii="Times New Roman" w:hAnsi="Times New Roman"/>
                <w:sz w:val="20"/>
              </w:rPr>
              <w:t xml:space="preserve">1.06 [0.41, 1.71]</w:t>
            </w:r>
          </w:p>
        </w:tc>
      </w:tr>
      <w:tr>
        <w:tc>
          <w:tcPr/>
          <w:p>
            <w:pPr>
              <w:pStyle w:val="Compact"/>
            </w:pPr>
            <w:r>
              <w:rPr>
                <w:rFonts w:ascii="Times New Roman" w:hAnsi="Times New Roman"/>
                <w:sz w:val="20"/>
              </w:rPr>
              <w:t xml:space="preserve">Count of situations</w:t>
            </w:r>
          </w:p>
        </w:tc>
        <w:tc>
          <w:tcPr/>
          <w:p>
            <w:pPr>
              <w:pStyle w:val="Compact"/>
            </w:pPr>
            <w:r>
              <w:rPr>
                <w:rFonts w:ascii="Times New Roman" w:hAnsi="Times New Roman"/>
                <w:sz w:val="20"/>
              </w:rPr>
              <w:t xml:space="preserve">Xᴰ</w:t>
            </w:r>
          </w:p>
        </w:tc>
        <w:tc>
          <w:tcPr/>
          <w:p>
            <w:pPr>
              <w:pStyle w:val="Compact"/>
            </w:pPr>
            <w:r>
              <w:rPr>
                <w:rFonts w:ascii="Times New Roman" w:hAnsi="Times New Roman"/>
                <w:sz w:val="20"/>
              </w:rPr>
              <w:t xml:space="preserve">Self-identification</w:t>
            </w:r>
          </w:p>
        </w:tc>
        <w:tc>
          <w:tcPr/>
          <w:p>
            <w:pPr>
              <w:pStyle w:val="Compact"/>
            </w:pPr>
            <w:r>
              <w:rPr>
                <w:rFonts w:ascii="Times New Roman" w:hAnsi="Times New Roman"/>
                <w:sz w:val="20"/>
              </w:rPr>
              <w:t xml:space="preserve">Included</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0.65 [0.29, 1.01]</w:t>
            </w:r>
          </w:p>
        </w:tc>
        <w:tc>
          <w:tcPr/>
          <w:p>
            <w:pPr>
              <w:pStyle w:val="Compact"/>
            </w:pPr>
            <w:r>
              <w:rPr>
                <w:rFonts w:ascii="Times New Roman" w:hAnsi="Times New Roman"/>
                <w:sz w:val="20"/>
              </w:rPr>
              <w:t xml:space="preserve">0.91 [0.41, 1.42]</w:t>
            </w:r>
          </w:p>
        </w:tc>
      </w:tr>
      <w:tr>
        <w:tc>
          <w:tcPr/>
          <w:p>
            <w:pPr>
              <w:pStyle w:val="Compact"/>
            </w:pPr>
            <w:r>
              <w:rPr>
                <w:rFonts w:ascii="Times New Roman" w:hAnsi="Times New Roman"/>
                <w:sz w:val="20"/>
              </w:rPr>
              <w:t xml:space="preserve">Count of situations</w:t>
            </w:r>
          </w:p>
        </w:tc>
        <w:tc>
          <w:tcPr/>
          <w:p>
            <w:pPr>
              <w:pStyle w:val="Compact"/>
            </w:pPr>
            <w:r>
              <w:rPr>
                <w:rFonts w:ascii="Times New Roman" w:hAnsi="Times New Roman"/>
                <w:sz w:val="20"/>
              </w:rPr>
              <w:t xml:space="preserve">Xᴰ</w:t>
            </w:r>
          </w:p>
        </w:tc>
        <w:tc>
          <w:tcPr/>
          <w:p>
            <w:pPr>
              <w:pStyle w:val="Compact"/>
            </w:pPr>
            <w:r>
              <w:rPr>
                <w:rFonts w:ascii="Times New Roman" w:hAnsi="Times New Roman"/>
                <w:sz w:val="20"/>
              </w:rPr>
              <w:t xml:space="preserve">Self-identification</w:t>
            </w:r>
          </w:p>
        </w:tc>
        <w:tc>
          <w:tcPr/>
          <w:p>
            <w:pPr>
              <w:pStyle w:val="Compact"/>
            </w:pPr>
            <w:r>
              <w:rPr>
                <w:rFonts w:ascii="Times New Roman" w:hAnsi="Times New Roman"/>
                <w:sz w:val="20"/>
              </w:rPr>
              <w:t xml:space="preserve">Excluded</w:t>
            </w:r>
          </w:p>
        </w:tc>
        <w:tc>
          <w:tcPr/>
          <w:p>
            <w:pPr>
              <w:pStyle w:val="Compact"/>
            </w:pPr>
            <w:r>
              <w:rPr>
                <w:rFonts w:ascii="Times New Roman" w:hAnsi="Times New Roman"/>
                <w:sz w:val="20"/>
              </w:rPr>
              <w:t xml:space="preserve">225</w:t>
            </w:r>
          </w:p>
        </w:tc>
        <w:tc>
          <w:tcPr/>
          <w:p>
            <w:pPr>
              <w:pStyle w:val="Compact"/>
            </w:pPr>
            <w:r>
              <w:rPr>
                <w:rFonts w:ascii="Times New Roman" w:hAnsi="Times New Roman"/>
                <w:sz w:val="20"/>
              </w:rPr>
              <w:t xml:space="preserve">0.71 [0.34, 1.08]</w:t>
            </w:r>
          </w:p>
        </w:tc>
        <w:tc>
          <w:tcPr/>
          <w:p>
            <w:pPr>
              <w:pStyle w:val="Compact"/>
            </w:pPr>
            <w:r>
              <w:rPr>
                <w:rFonts w:ascii="Times New Roman" w:hAnsi="Times New Roman"/>
                <w:sz w:val="20"/>
              </w:rPr>
              <w:t xml:space="preserve">0.96 [0.45, 1.46]</w:t>
            </w:r>
          </w:p>
        </w:tc>
      </w:tr>
      <w:tr>
        <w:tc>
          <w:tcPr/>
          <w:p>
            <w:pPr>
              <w:pStyle w:val="Compact"/>
            </w:pPr>
            <w:r>
              <w:rPr>
                <w:rFonts w:ascii="Times New Roman" w:hAnsi="Times New Roman"/>
                <w:sz w:val="20"/>
              </w:rPr>
              <w:t xml:space="preserve">Count of situations</w:t>
            </w:r>
          </w:p>
        </w:tc>
        <w:tc>
          <w:tcPr/>
          <w:p>
            <w:pPr>
              <w:pStyle w:val="Compact"/>
            </w:pPr>
            <w:r>
              <w:rPr>
                <w:rFonts w:ascii="Times New Roman" w:hAnsi="Times New Roman"/>
                <w:sz w:val="20"/>
              </w:rPr>
              <w:t xml:space="preserve">Xᴰ</w:t>
            </w:r>
          </w:p>
        </w:tc>
        <w:tc>
          <w:tcPr/>
          <w:p>
            <w:pPr>
              <w:pStyle w:val="Compact"/>
            </w:pPr>
            <w:r>
              <w:rPr>
                <w:rFonts w:ascii="Times New Roman" w:hAnsi="Times New Roman"/>
                <w:sz w:val="20"/>
              </w:rPr>
              <w:t xml:space="preserve">Self-identification + SOGI</w:t>
            </w:r>
          </w:p>
        </w:tc>
        <w:tc>
          <w:tcPr/>
          <w:p>
            <w:pPr>
              <w:pStyle w:val="Compact"/>
            </w:pPr>
            <w:r>
              <w:rPr>
                <w:rFonts w:ascii="Times New Roman" w:hAnsi="Times New Roman"/>
                <w:sz w:val="20"/>
              </w:rPr>
              <w:t xml:space="preserve">Included</w:t>
            </w:r>
          </w:p>
        </w:tc>
        <w:tc>
          <w:tcPr/>
          <w:p>
            <w:pPr>
              <w:pStyle w:val="Compact"/>
            </w:pPr>
            <w:r>
              <w:rPr>
                <w:rFonts w:ascii="Times New Roman" w:hAnsi="Times New Roman"/>
                <w:sz w:val="20"/>
              </w:rPr>
              <w:t xml:space="preserve">226</w:t>
            </w:r>
          </w:p>
        </w:tc>
        <w:tc>
          <w:tcPr/>
          <w:p>
            <w:pPr>
              <w:pStyle w:val="Compact"/>
            </w:pPr>
            <w:r>
              <w:rPr>
                <w:rFonts w:ascii="Times New Roman" w:hAnsi="Times New Roman"/>
                <w:sz w:val="20"/>
              </w:rPr>
              <w:t xml:space="preserve">0.69 [0.34, 1.03]</w:t>
            </w:r>
          </w:p>
        </w:tc>
        <w:tc>
          <w:tcPr/>
          <w:p>
            <w:pPr>
              <w:pStyle w:val="Compact"/>
            </w:pPr>
            <w:r>
              <w:rPr>
                <w:rFonts w:ascii="Times New Roman" w:hAnsi="Times New Roman"/>
                <w:sz w:val="20"/>
              </w:rPr>
              <w:t xml:space="preserve">0.98 [0.48, 1.48]</w:t>
            </w:r>
          </w:p>
        </w:tc>
      </w:tr>
      <w:tr>
        <w:tc>
          <w:tcPr/>
          <w:p>
            <w:pPr>
              <w:pStyle w:val="Compact"/>
            </w:pPr>
            <w:r>
              <w:rPr>
                <w:rFonts w:ascii="Times New Roman" w:hAnsi="Times New Roman"/>
                <w:sz w:val="20"/>
              </w:rPr>
              <w:t xml:space="preserve">Count of situations</w:t>
            </w:r>
          </w:p>
        </w:tc>
        <w:tc>
          <w:tcPr/>
          <w:p>
            <w:pPr>
              <w:pStyle w:val="Compact"/>
            </w:pPr>
            <w:r>
              <w:rPr>
                <w:rFonts w:ascii="Times New Roman" w:hAnsi="Times New Roman"/>
                <w:sz w:val="20"/>
              </w:rPr>
              <w:t xml:space="preserve">Xᴰ</w:t>
            </w:r>
          </w:p>
        </w:tc>
        <w:tc>
          <w:tcPr/>
          <w:p>
            <w:pPr>
              <w:pStyle w:val="Compact"/>
            </w:pPr>
            <w:r>
              <w:rPr>
                <w:rFonts w:ascii="Times New Roman" w:hAnsi="Times New Roman"/>
                <w:sz w:val="20"/>
              </w:rPr>
              <w:t xml:space="preserve">Self-identification + SOGI</w:t>
            </w:r>
          </w:p>
        </w:tc>
        <w:tc>
          <w:tcPr/>
          <w:p>
            <w:pPr>
              <w:pStyle w:val="Compact"/>
            </w:pPr>
            <w:r>
              <w:rPr>
                <w:rFonts w:ascii="Times New Roman" w:hAnsi="Times New Roman"/>
                <w:sz w:val="20"/>
              </w:rPr>
              <w:t xml:space="preserve">Excluded</w:t>
            </w:r>
          </w:p>
        </w:tc>
        <w:tc>
          <w:tcPr/>
          <w:p>
            <w:pPr>
              <w:pStyle w:val="Compact"/>
            </w:pPr>
            <w:r>
              <w:rPr>
                <w:rFonts w:ascii="Times New Roman" w:hAnsi="Times New Roman"/>
                <w:sz w:val="20"/>
              </w:rPr>
              <w:t xml:space="preserve">216</w:t>
            </w:r>
          </w:p>
        </w:tc>
        <w:tc>
          <w:tcPr/>
          <w:p>
            <w:pPr>
              <w:pStyle w:val="Compact"/>
            </w:pPr>
            <w:r>
              <w:rPr>
                <w:rFonts w:ascii="Times New Roman" w:hAnsi="Times New Roman"/>
                <w:sz w:val="20"/>
              </w:rPr>
              <w:t xml:space="preserve">0.74 [0.37, 1.10]</w:t>
            </w:r>
          </w:p>
        </w:tc>
        <w:tc>
          <w:tcPr/>
          <w:p>
            <w:pPr>
              <w:pStyle w:val="Compact"/>
            </w:pPr>
            <w:r>
              <w:rPr>
                <w:rFonts w:ascii="Times New Roman" w:hAnsi="Times New Roman"/>
                <w:sz w:val="20"/>
              </w:rPr>
              <w:t xml:space="preserve">1.00 [0.50, 1.50]</w:t>
            </w:r>
          </w:p>
        </w:tc>
      </w:tr>
      <w:tr>
        <w:tc>
          <w:tcPr/>
          <w:p>
            <w:pPr>
              <w:pStyle w:val="Compact"/>
            </w:pPr>
            <w:r>
              <w:rPr>
                <w:rFonts w:ascii="Times New Roman" w:hAnsi="Times New Roman"/>
                <w:sz w:val="20"/>
              </w:rPr>
              <w:t xml:space="preserve">Count of situations</w:t>
            </w:r>
          </w:p>
        </w:tc>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Self-identification</w:t>
            </w:r>
          </w:p>
        </w:tc>
        <w:tc>
          <w:tcPr/>
          <w:p>
            <w:pPr>
              <w:pStyle w:val="Compact"/>
            </w:pPr>
            <w:r>
              <w:rPr>
                <w:rFonts w:ascii="Times New Roman" w:hAnsi="Times New Roman"/>
                <w:sz w:val="20"/>
              </w:rPr>
              <w:t xml:space="preserve">Included</w:t>
            </w:r>
          </w:p>
        </w:tc>
        <w:tc>
          <w:tcPr/>
          <w:p>
            <w:pPr>
              <w:pStyle w:val="Compact"/>
            </w:pPr>
            <w:r>
              <w:rPr>
                <w:rFonts w:ascii="Times New Roman" w:hAnsi="Times New Roman"/>
                <w:sz w:val="20"/>
              </w:rPr>
              <w:t xml:space="preserve">206</w:t>
            </w:r>
          </w:p>
        </w:tc>
        <w:tc>
          <w:tcPr/>
          <w:p>
            <w:pPr>
              <w:pStyle w:val="Compact"/>
            </w:pPr>
            <w:r>
              <w:rPr>
                <w:rFonts w:ascii="Times New Roman" w:hAnsi="Times New Roman"/>
                <w:sz w:val="20"/>
              </w:rPr>
              <w:t xml:space="preserve">0.64 [0.18, 1.10]</w:t>
            </w:r>
          </w:p>
        </w:tc>
        <w:tc>
          <w:tcPr/>
          <w:p>
            <w:pPr>
              <w:pStyle w:val="Compact"/>
            </w:pPr>
            <w:r>
              <w:rPr>
                <w:rFonts w:ascii="Times New Roman" w:hAnsi="Times New Roman"/>
                <w:sz w:val="20"/>
              </w:rPr>
              <w:t xml:space="preserve">0.91 [0.25, 1.56]</w:t>
            </w:r>
          </w:p>
        </w:tc>
      </w:tr>
      <w:tr>
        <w:tc>
          <w:tcPr/>
          <w:p>
            <w:pPr>
              <w:pStyle w:val="Compact"/>
            </w:pPr>
            <w:r>
              <w:rPr>
                <w:rFonts w:ascii="Times New Roman" w:hAnsi="Times New Roman"/>
                <w:sz w:val="20"/>
              </w:rPr>
              <w:t xml:space="preserve">Count of situations</w:t>
            </w:r>
          </w:p>
        </w:tc>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Self-identification</w:t>
            </w:r>
          </w:p>
        </w:tc>
        <w:tc>
          <w:tcPr/>
          <w:p>
            <w:pPr>
              <w:pStyle w:val="Compact"/>
            </w:pPr>
            <w:r>
              <w:rPr>
                <w:rFonts w:ascii="Times New Roman" w:hAnsi="Times New Roman"/>
                <w:sz w:val="20"/>
              </w:rPr>
              <w:t xml:space="preserve">Excluded</w:t>
            </w:r>
          </w:p>
        </w:tc>
        <w:tc>
          <w:tcPr/>
          <w:p>
            <w:pPr>
              <w:pStyle w:val="Compact"/>
            </w:pPr>
            <w:r>
              <w:rPr>
                <w:rFonts w:ascii="Times New Roman" w:hAnsi="Times New Roman"/>
                <w:sz w:val="20"/>
              </w:rPr>
              <w:t xml:space="preserve">196</w:t>
            </w:r>
          </w:p>
        </w:tc>
        <w:tc>
          <w:tcPr/>
          <w:p>
            <w:pPr>
              <w:pStyle w:val="Compact"/>
            </w:pPr>
            <w:r>
              <w:rPr>
                <w:rFonts w:ascii="Times New Roman" w:hAnsi="Times New Roman"/>
                <w:sz w:val="20"/>
              </w:rPr>
              <w:t xml:space="preserve">0.74 [0.27, 1.22]</w:t>
            </w:r>
          </w:p>
        </w:tc>
        <w:tc>
          <w:tcPr/>
          <w:p>
            <w:pPr>
              <w:pStyle w:val="Compact"/>
            </w:pPr>
            <w:r>
              <w:rPr>
                <w:rFonts w:ascii="Times New Roman" w:hAnsi="Times New Roman"/>
                <w:sz w:val="20"/>
              </w:rPr>
              <w:t xml:space="preserve">1.01 [0.37, 1.65]</w:t>
            </w:r>
          </w:p>
        </w:tc>
      </w:tr>
      <w:tr>
        <w:tc>
          <w:tcPr/>
          <w:p>
            <w:pPr>
              <w:pStyle w:val="Compact"/>
            </w:pPr>
            <w:r>
              <w:rPr>
                <w:rFonts w:ascii="Times New Roman" w:hAnsi="Times New Roman"/>
                <w:sz w:val="20"/>
              </w:rPr>
              <w:t xml:space="preserve">Count of situations</w:t>
            </w:r>
          </w:p>
        </w:tc>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Self-identification + SOGI</w:t>
            </w:r>
          </w:p>
        </w:tc>
        <w:tc>
          <w:tcPr/>
          <w:p>
            <w:pPr>
              <w:pStyle w:val="Compact"/>
            </w:pPr>
            <w:r>
              <w:rPr>
                <w:rFonts w:ascii="Times New Roman" w:hAnsi="Times New Roman"/>
                <w:sz w:val="20"/>
              </w:rPr>
              <w:t xml:space="preserve">Included</w:t>
            </w:r>
          </w:p>
        </w:tc>
        <w:tc>
          <w:tcPr/>
          <w:p>
            <w:pPr>
              <w:pStyle w:val="Compact"/>
            </w:pPr>
            <w:r>
              <w:rPr>
                <w:rFonts w:ascii="Times New Roman" w:hAnsi="Times New Roman"/>
                <w:sz w:val="20"/>
              </w:rPr>
              <w:t xml:space="preserve">198</w:t>
            </w:r>
          </w:p>
        </w:tc>
        <w:tc>
          <w:tcPr/>
          <w:p>
            <w:pPr>
              <w:pStyle w:val="Compact"/>
            </w:pPr>
            <w:r>
              <w:rPr>
                <w:rFonts w:ascii="Times New Roman" w:hAnsi="Times New Roman"/>
                <w:sz w:val="20"/>
              </w:rPr>
              <w:t xml:space="preserve">0.66 [0.21, 1.11]</w:t>
            </w:r>
          </w:p>
        </w:tc>
        <w:tc>
          <w:tcPr/>
          <w:p>
            <w:pPr>
              <w:pStyle w:val="Compact"/>
            </w:pPr>
            <w:r>
              <w:rPr>
                <w:rFonts w:ascii="Times New Roman" w:hAnsi="Times New Roman"/>
                <w:sz w:val="20"/>
              </w:rPr>
              <w:t xml:space="preserve">0.95 [0.30, 1.60]</w:t>
            </w:r>
          </w:p>
        </w:tc>
      </w:tr>
      <w:tr>
        <w:tc>
          <w:tcPr/>
          <w:p>
            <w:pPr>
              <w:pStyle w:val="Compact"/>
            </w:pPr>
            <w:r>
              <w:rPr>
                <w:rFonts w:ascii="Times New Roman" w:hAnsi="Times New Roman"/>
                <w:sz w:val="20"/>
              </w:rPr>
              <w:t xml:space="preserve">Count of situations</w:t>
            </w:r>
          </w:p>
        </w:tc>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Self-identification + SOGI</w:t>
            </w:r>
          </w:p>
        </w:tc>
        <w:tc>
          <w:tcPr/>
          <w:p>
            <w:pPr>
              <w:pStyle w:val="Compact"/>
            </w:pPr>
            <w:r>
              <w:rPr>
                <w:rFonts w:ascii="Times New Roman" w:hAnsi="Times New Roman"/>
                <w:sz w:val="20"/>
              </w:rPr>
              <w:t xml:space="preserve">Excluded</w:t>
            </w:r>
          </w:p>
        </w:tc>
        <w:tc>
          <w:tcPr/>
          <w:p>
            <w:pPr>
              <w:pStyle w:val="Compact"/>
            </w:pPr>
            <w:r>
              <w:rPr>
                <w:rFonts w:ascii="Times New Roman" w:hAnsi="Times New Roman"/>
                <w:sz w:val="20"/>
              </w:rPr>
              <w:t xml:space="preserve">188</w:t>
            </w:r>
          </w:p>
        </w:tc>
        <w:tc>
          <w:tcPr/>
          <w:p>
            <w:pPr>
              <w:pStyle w:val="Compact"/>
            </w:pPr>
            <w:r>
              <w:rPr>
                <w:rFonts w:ascii="Times New Roman" w:hAnsi="Times New Roman"/>
                <w:sz w:val="20"/>
              </w:rPr>
              <w:t xml:space="preserve">0.75 [0.29, 1.21]</w:t>
            </w:r>
          </w:p>
        </w:tc>
        <w:tc>
          <w:tcPr/>
          <w:p>
            <w:pPr>
              <w:pStyle w:val="Compact"/>
            </w:pPr>
            <w:r>
              <w:rPr>
                <w:rFonts w:ascii="Times New Roman" w:hAnsi="Times New Roman"/>
                <w:sz w:val="20"/>
              </w:rPr>
              <w:t xml:space="preserve">1.02 [0.39, 1.65]</w:t>
            </w:r>
          </w:p>
        </w:tc>
      </w:tr>
      <w:tr>
        <w:tc>
          <w:tcPr/>
          <w:p>
            <w:pPr>
              <w:pStyle w:val="Compact"/>
            </w:pPr>
            <w:r>
              <w:rPr>
                <w:rFonts w:ascii="Times New Roman" w:hAnsi="Times New Roman"/>
                <w:sz w:val="20"/>
              </w:rPr>
              <w:t xml:space="preserve">Complete 8 only</w:t>
            </w:r>
          </w:p>
        </w:tc>
        <w:tc>
          <w:tcPr/>
          <w:p>
            <w:pPr>
              <w:pStyle w:val="Compact"/>
            </w:pPr>
            <w:r>
              <w:rPr>
                <w:rFonts w:ascii="Times New Roman" w:hAnsi="Times New Roman"/>
                <w:sz w:val="20"/>
              </w:rPr>
              <w:t xml:space="preserve">Xᴰ</w:t>
            </w:r>
          </w:p>
        </w:tc>
        <w:tc>
          <w:tcPr/>
          <w:p>
            <w:pPr>
              <w:pStyle w:val="Compact"/>
            </w:pPr>
            <w:r>
              <w:rPr>
                <w:rFonts w:ascii="Times New Roman" w:hAnsi="Times New Roman"/>
                <w:sz w:val="20"/>
              </w:rPr>
              <w:t xml:space="preserve">Self-identification</w:t>
            </w:r>
          </w:p>
        </w:tc>
        <w:tc>
          <w:tcPr/>
          <w:p>
            <w:pPr>
              <w:pStyle w:val="Compact"/>
            </w:pPr>
            <w:r>
              <w:rPr>
                <w:rFonts w:ascii="Times New Roman" w:hAnsi="Times New Roman"/>
                <w:sz w:val="20"/>
              </w:rPr>
              <w:t xml:space="preserve">Included</w:t>
            </w:r>
          </w:p>
        </w:tc>
        <w:tc>
          <w:tcPr/>
          <w:p>
            <w:pPr>
              <w:pStyle w:val="Compact"/>
            </w:pPr>
            <w:r>
              <w:rPr>
                <w:rFonts w:ascii="Times New Roman" w:hAnsi="Times New Roman"/>
                <w:sz w:val="20"/>
              </w:rPr>
              <w:t xml:space="preserve">112</w:t>
            </w:r>
          </w:p>
        </w:tc>
        <w:tc>
          <w:tcPr/>
          <w:p>
            <w:pPr>
              <w:pStyle w:val="Compact"/>
            </w:pPr>
            <w:r>
              <w:rPr>
                <w:rFonts w:ascii="Times New Roman" w:hAnsi="Times New Roman"/>
                <w:sz w:val="20"/>
              </w:rPr>
              <w:t xml:space="preserve">1.63 [0.29, 2.97]</w:t>
            </w:r>
          </w:p>
        </w:tc>
        <w:tc>
          <w:tcPr/>
          <w:p>
            <w:pPr>
              <w:pStyle w:val="Compact"/>
            </w:pPr>
            <w:r>
              <w:rPr>
                <w:rFonts w:ascii="Times New Roman" w:hAnsi="Times New Roman"/>
                <w:sz w:val="20"/>
              </w:rPr>
              <w:t xml:space="preserve">0.81 [0.14, 1.47]</w:t>
            </w:r>
          </w:p>
        </w:tc>
      </w:tr>
      <w:tr>
        <w:tc>
          <w:tcPr/>
          <w:p>
            <w:pPr>
              <w:pStyle w:val="Compact"/>
            </w:pPr>
            <w:r>
              <w:rPr>
                <w:rFonts w:ascii="Times New Roman" w:hAnsi="Times New Roman"/>
                <w:sz w:val="20"/>
              </w:rPr>
              <w:t xml:space="preserve">Complete 8 only</w:t>
            </w:r>
          </w:p>
        </w:tc>
        <w:tc>
          <w:tcPr/>
          <w:p>
            <w:pPr>
              <w:pStyle w:val="Compact"/>
            </w:pPr>
            <w:r>
              <w:rPr>
                <w:rFonts w:ascii="Times New Roman" w:hAnsi="Times New Roman"/>
                <w:sz w:val="20"/>
              </w:rPr>
              <w:t xml:space="preserve">Xᴰ</w:t>
            </w:r>
          </w:p>
        </w:tc>
        <w:tc>
          <w:tcPr/>
          <w:p>
            <w:pPr>
              <w:pStyle w:val="Compact"/>
            </w:pPr>
            <w:r>
              <w:rPr>
                <w:rFonts w:ascii="Times New Roman" w:hAnsi="Times New Roman"/>
                <w:sz w:val="20"/>
              </w:rPr>
              <w:t xml:space="preserve">Self-identification</w:t>
            </w:r>
          </w:p>
        </w:tc>
        <w:tc>
          <w:tcPr/>
          <w:p>
            <w:pPr>
              <w:pStyle w:val="Compact"/>
            </w:pPr>
            <w:r>
              <w:rPr>
                <w:rFonts w:ascii="Times New Roman" w:hAnsi="Times New Roman"/>
                <w:sz w:val="20"/>
              </w:rPr>
              <w:t xml:space="preserve">Excluded</w:t>
            </w:r>
          </w:p>
        </w:tc>
        <w:tc>
          <w:tcPr/>
          <w:p>
            <w:pPr>
              <w:pStyle w:val="Compact"/>
            </w:pPr>
            <w:r>
              <w:rPr>
                <w:rFonts w:ascii="Times New Roman" w:hAnsi="Times New Roman"/>
                <w:sz w:val="20"/>
              </w:rPr>
              <w:t xml:space="preserve">105</w:t>
            </w:r>
          </w:p>
        </w:tc>
        <w:tc>
          <w:tcPr/>
          <w:p>
            <w:pPr>
              <w:pStyle w:val="Compact"/>
            </w:pPr>
            <w:r>
              <w:rPr>
                <w:rFonts w:ascii="Times New Roman" w:hAnsi="Times New Roman"/>
                <w:sz w:val="20"/>
              </w:rPr>
              <w:t xml:space="preserve">2.00 [0.52, 3.47]</w:t>
            </w:r>
          </w:p>
        </w:tc>
        <w:tc>
          <w:tcPr/>
          <w:p>
            <w:pPr>
              <w:pStyle w:val="Compact"/>
            </w:pPr>
            <w:r>
              <w:rPr>
                <w:rFonts w:ascii="Times New Roman" w:hAnsi="Times New Roman"/>
                <w:sz w:val="20"/>
              </w:rPr>
              <w:t xml:space="preserve">0.89 [0.23, 1.55]</w:t>
            </w:r>
          </w:p>
        </w:tc>
      </w:tr>
      <w:tr>
        <w:tc>
          <w:tcPr/>
          <w:p>
            <w:pPr>
              <w:pStyle w:val="Compact"/>
            </w:pPr>
            <w:r>
              <w:rPr>
                <w:rFonts w:ascii="Times New Roman" w:hAnsi="Times New Roman"/>
                <w:sz w:val="20"/>
              </w:rPr>
              <w:t xml:space="preserve">Complete 8 only</w:t>
            </w:r>
          </w:p>
        </w:tc>
        <w:tc>
          <w:tcPr/>
          <w:p>
            <w:pPr>
              <w:pStyle w:val="Compact"/>
            </w:pPr>
            <w:r>
              <w:rPr>
                <w:rFonts w:ascii="Times New Roman" w:hAnsi="Times New Roman"/>
                <w:sz w:val="20"/>
              </w:rPr>
              <w:t xml:space="preserve">Xᴰ</w:t>
            </w:r>
          </w:p>
        </w:tc>
        <w:tc>
          <w:tcPr/>
          <w:p>
            <w:pPr>
              <w:pStyle w:val="Compact"/>
            </w:pPr>
            <w:r>
              <w:rPr>
                <w:rFonts w:ascii="Times New Roman" w:hAnsi="Times New Roman"/>
                <w:sz w:val="20"/>
              </w:rPr>
              <w:t xml:space="preserve">Self-identification + SOGI</w:t>
            </w:r>
          </w:p>
        </w:tc>
        <w:tc>
          <w:tcPr/>
          <w:p>
            <w:pPr>
              <w:pStyle w:val="Compact"/>
            </w:pPr>
            <w:r>
              <w:rPr>
                <w:rFonts w:ascii="Times New Roman" w:hAnsi="Times New Roman"/>
                <w:sz w:val="20"/>
              </w:rPr>
              <w:t xml:space="preserve">Included</w:t>
            </w:r>
          </w:p>
        </w:tc>
        <w:tc>
          <w:tcPr/>
          <w:p>
            <w:pPr>
              <w:pStyle w:val="Compact"/>
            </w:pPr>
            <w:r>
              <w:rPr>
                <w:rFonts w:ascii="Times New Roman" w:hAnsi="Times New Roman"/>
                <w:sz w:val="20"/>
              </w:rPr>
              <w:t xml:space="preserve">107</w:t>
            </w:r>
          </w:p>
        </w:tc>
        <w:tc>
          <w:tcPr/>
          <w:p>
            <w:pPr>
              <w:pStyle w:val="Compact"/>
            </w:pPr>
            <w:r>
              <w:rPr>
                <w:rFonts w:ascii="Times New Roman" w:hAnsi="Times New Roman"/>
                <w:sz w:val="20"/>
              </w:rPr>
              <w:t xml:space="preserve">1.89 [0.54, 3.23]</w:t>
            </w:r>
          </w:p>
        </w:tc>
        <w:tc>
          <w:tcPr/>
          <w:p>
            <w:pPr>
              <w:pStyle w:val="Compact"/>
            </w:pPr>
            <w:r>
              <w:rPr>
                <w:rFonts w:ascii="Times New Roman" w:hAnsi="Times New Roman"/>
                <w:sz w:val="20"/>
              </w:rPr>
              <w:t xml:space="preserve">0.95 [0.27, 1.62]</w:t>
            </w:r>
          </w:p>
        </w:tc>
      </w:tr>
      <w:tr>
        <w:tc>
          <w:tcPr/>
          <w:p>
            <w:pPr>
              <w:pStyle w:val="Compact"/>
            </w:pPr>
            <w:r>
              <w:rPr>
                <w:rFonts w:ascii="Times New Roman" w:hAnsi="Times New Roman"/>
                <w:sz w:val="20"/>
              </w:rPr>
              <w:t xml:space="preserve">Complete 8 only</w:t>
            </w:r>
          </w:p>
        </w:tc>
        <w:tc>
          <w:tcPr/>
          <w:p>
            <w:pPr>
              <w:pStyle w:val="Compact"/>
            </w:pPr>
            <w:r>
              <w:rPr>
                <w:rFonts w:ascii="Times New Roman" w:hAnsi="Times New Roman"/>
                <w:sz w:val="20"/>
              </w:rPr>
              <w:t xml:space="preserve">Xᴰ</w:t>
            </w:r>
          </w:p>
        </w:tc>
        <w:tc>
          <w:tcPr/>
          <w:p>
            <w:pPr>
              <w:pStyle w:val="Compact"/>
            </w:pPr>
            <w:r>
              <w:rPr>
                <w:rFonts w:ascii="Times New Roman" w:hAnsi="Times New Roman"/>
                <w:sz w:val="20"/>
              </w:rPr>
              <w:t xml:space="preserve">Self-identification + SOGI</w:t>
            </w:r>
          </w:p>
        </w:tc>
        <w:tc>
          <w:tcPr/>
          <w:p>
            <w:pPr>
              <w:pStyle w:val="Compact"/>
            </w:pPr>
            <w:r>
              <w:rPr>
                <w:rFonts w:ascii="Times New Roman" w:hAnsi="Times New Roman"/>
                <w:sz w:val="20"/>
              </w:rPr>
              <w:t xml:space="preserve">Excluded</w:t>
            </w:r>
          </w:p>
        </w:tc>
        <w:tc>
          <w:tcPr/>
          <w:p>
            <w:pPr>
              <w:pStyle w:val="Compact"/>
            </w:pPr>
            <w:r>
              <w:rPr>
                <w:rFonts w:ascii="Times New Roman" w:hAnsi="Times New Roman"/>
                <w:sz w:val="20"/>
              </w:rPr>
              <w:t xml:space="preserve">100</w:t>
            </w:r>
          </w:p>
        </w:tc>
        <w:tc>
          <w:tcPr/>
          <w:p>
            <w:pPr>
              <w:pStyle w:val="Compact"/>
            </w:pPr>
            <w:r>
              <w:rPr>
                <w:rFonts w:ascii="Times New Roman" w:hAnsi="Times New Roman"/>
                <w:sz w:val="20"/>
              </w:rPr>
              <w:t xml:space="preserve">2.02 [0.53, 3.51]</w:t>
            </w:r>
          </w:p>
        </w:tc>
        <w:tc>
          <w:tcPr/>
          <w:p>
            <w:pPr>
              <w:pStyle w:val="Compact"/>
            </w:pPr>
            <w:r>
              <w:rPr>
                <w:rFonts w:ascii="Times New Roman" w:hAnsi="Times New Roman"/>
                <w:sz w:val="20"/>
              </w:rPr>
              <w:t xml:space="preserve">0.92 [0.24, 1.59]</w:t>
            </w:r>
          </w:p>
        </w:tc>
      </w:tr>
      <w:tr>
        <w:tc>
          <w:tcPr/>
          <w:p>
            <w:pPr>
              <w:pStyle w:val="Compact"/>
            </w:pPr>
            <w:r>
              <w:rPr>
                <w:rFonts w:ascii="Times New Roman" w:hAnsi="Times New Roman"/>
                <w:sz w:val="20"/>
              </w:rPr>
              <w:t xml:space="preserve">Complete 8 only</w:t>
            </w:r>
          </w:p>
        </w:tc>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Self-identification</w:t>
            </w:r>
          </w:p>
        </w:tc>
        <w:tc>
          <w:tcPr/>
          <w:p>
            <w:pPr>
              <w:pStyle w:val="Compact"/>
            </w:pPr>
            <w:r>
              <w:rPr>
                <w:rFonts w:ascii="Times New Roman" w:hAnsi="Times New Roman"/>
                <w:sz w:val="20"/>
              </w:rPr>
              <w:t xml:space="preserve">Included</w:t>
            </w:r>
          </w:p>
        </w:tc>
        <w:tc>
          <w:tcPr/>
          <w:p>
            <w:pPr>
              <w:pStyle w:val="Compact"/>
            </w:pPr>
            <w:r>
              <w:rPr>
                <w:rFonts w:ascii="Times New Roman" w:hAnsi="Times New Roman"/>
                <w:sz w:val="20"/>
              </w:rPr>
              <w:t xml:space="preserve">96</w:t>
            </w:r>
          </w:p>
        </w:tc>
        <w:tc>
          <w:tcPr/>
          <w:p>
            <w:pPr>
              <w:pStyle w:val="Compact"/>
            </w:pPr>
            <w:r>
              <w:rPr>
                <w:rFonts w:ascii="Times New Roman" w:hAnsi="Times New Roman"/>
                <w:sz w:val="20"/>
              </w:rPr>
              <w:t xml:space="preserve">2.14 [−0.24, 4.52]</w:t>
            </w:r>
          </w:p>
        </w:tc>
        <w:tc>
          <w:tcPr/>
          <w:p>
            <w:pPr>
              <w:pStyle w:val="Compact"/>
            </w:pPr>
            <w:r>
              <w:rPr>
                <w:rFonts w:ascii="Times New Roman" w:hAnsi="Times New Roman"/>
                <w:sz w:val="20"/>
              </w:rPr>
              <w:t xml:space="preserve">1.07 [−0.12, 2.27]</w:t>
            </w:r>
          </w:p>
        </w:tc>
      </w:tr>
      <w:tr>
        <w:tc>
          <w:tcPr/>
          <w:p>
            <w:pPr>
              <w:pStyle w:val="Compact"/>
            </w:pPr>
            <w:r>
              <w:rPr>
                <w:rFonts w:ascii="Times New Roman" w:hAnsi="Times New Roman"/>
                <w:sz w:val="20"/>
              </w:rPr>
              <w:t xml:space="preserve">Complete 8 only</w:t>
            </w:r>
          </w:p>
        </w:tc>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Self-identification</w:t>
            </w:r>
          </w:p>
        </w:tc>
        <w:tc>
          <w:tcPr/>
          <w:p>
            <w:pPr>
              <w:pStyle w:val="Compact"/>
            </w:pPr>
            <w:r>
              <w:rPr>
                <w:rFonts w:ascii="Times New Roman" w:hAnsi="Times New Roman"/>
                <w:sz w:val="20"/>
              </w:rPr>
              <w:t xml:space="preserve">Excluded</w:t>
            </w:r>
          </w:p>
        </w:tc>
        <w:tc>
          <w:tcPr/>
          <w:p>
            <w:pPr>
              <w:pStyle w:val="Compact"/>
            </w:pPr>
            <w:r>
              <w:rPr>
                <w:rFonts w:ascii="Times New Roman" w:hAnsi="Times New Roman"/>
                <w:sz w:val="20"/>
              </w:rPr>
              <w:t xml:space="preserve">89</w:t>
            </w:r>
          </w:p>
        </w:tc>
        <w:tc>
          <w:tcPr/>
          <w:p>
            <w:pPr>
              <w:pStyle w:val="Compact"/>
            </w:pPr>
            <w:r>
              <w:rPr>
                <w:rFonts w:ascii="Times New Roman" w:hAnsi="Times New Roman"/>
                <w:sz w:val="20"/>
              </w:rPr>
              <w:t xml:space="preserve">2.76 [−0.10, 5.62]</w:t>
            </w:r>
          </w:p>
        </w:tc>
        <w:tc>
          <w:tcPr/>
          <w:p>
            <w:pPr>
              <w:pStyle w:val="Compact"/>
            </w:pPr>
            <w:r>
              <w:rPr>
                <w:rFonts w:ascii="Times New Roman" w:hAnsi="Times New Roman"/>
                <w:sz w:val="20"/>
              </w:rPr>
              <w:t xml:space="preserve">1.23 [−0.05, 2.51]</w:t>
            </w:r>
          </w:p>
        </w:tc>
      </w:tr>
      <w:tr>
        <w:tc>
          <w:tcPr/>
          <w:p>
            <w:pPr>
              <w:pStyle w:val="Compact"/>
            </w:pPr>
            <w:r>
              <w:rPr>
                <w:rFonts w:ascii="Times New Roman" w:hAnsi="Times New Roman"/>
                <w:sz w:val="20"/>
              </w:rPr>
              <w:t xml:space="preserve">Complete 8 only</w:t>
            </w:r>
          </w:p>
        </w:tc>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Self-identification + SOGI</w:t>
            </w:r>
          </w:p>
        </w:tc>
        <w:tc>
          <w:tcPr/>
          <w:p>
            <w:pPr>
              <w:pStyle w:val="Compact"/>
            </w:pPr>
            <w:r>
              <w:rPr>
                <w:rFonts w:ascii="Times New Roman" w:hAnsi="Times New Roman"/>
                <w:sz w:val="20"/>
              </w:rPr>
              <w:t xml:space="preserve">Included</w:t>
            </w:r>
          </w:p>
        </w:tc>
        <w:tc>
          <w:tcPr/>
          <w:p>
            <w:pPr>
              <w:pStyle w:val="Compact"/>
            </w:pPr>
            <w:r>
              <w:rPr>
                <w:rFonts w:ascii="Times New Roman" w:hAnsi="Times New Roman"/>
                <w:sz w:val="20"/>
              </w:rPr>
              <w:t xml:space="preserve">92</w:t>
            </w:r>
          </w:p>
        </w:tc>
        <w:tc>
          <w:tcPr/>
          <w:p>
            <w:pPr>
              <w:pStyle w:val="Compact"/>
            </w:pPr>
            <w:r>
              <w:rPr>
                <w:rFonts w:ascii="Times New Roman" w:hAnsi="Times New Roman"/>
                <w:sz w:val="20"/>
              </w:rPr>
              <w:t xml:space="preserve">2.23 [−0.47, 4.93]</w:t>
            </w:r>
          </w:p>
        </w:tc>
        <w:tc>
          <w:tcPr/>
          <w:p>
            <w:pPr>
              <w:pStyle w:val="Compact"/>
            </w:pPr>
            <w:r>
              <w:rPr>
                <w:rFonts w:ascii="Times New Roman" w:hAnsi="Times New Roman"/>
                <w:sz w:val="20"/>
              </w:rPr>
              <w:t xml:space="preserve">1.14 [−0.24, 2.51]</w:t>
            </w:r>
          </w:p>
        </w:tc>
      </w:tr>
      <w:tr>
        <w:tc>
          <w:tcPr/>
          <w:p>
            <w:pPr>
              <w:pStyle w:val="Compact"/>
            </w:pPr>
            <w:r>
              <w:rPr>
                <w:rFonts w:ascii="Times New Roman" w:hAnsi="Times New Roman"/>
                <w:sz w:val="20"/>
              </w:rPr>
              <w:t xml:space="preserve">Complete 8 only</w:t>
            </w:r>
          </w:p>
        </w:tc>
        <w:tc>
          <w:tcPr/>
          <w:p>
            <w:pPr>
              <w:pStyle w:val="Compact"/>
            </w:pPr>
            <w:r>
              <w:rPr>
                <w:rFonts w:ascii="Times New Roman" w:hAnsi="Times New Roman"/>
                <w:sz w:val="20"/>
              </w:rPr>
              <w:t xml:space="preserve">Xᴰ + Xᴶ</w:t>
            </w:r>
          </w:p>
        </w:tc>
        <w:tc>
          <w:tcPr/>
          <w:p>
            <w:pPr>
              <w:pStyle w:val="Compact"/>
            </w:pPr>
            <w:r>
              <w:rPr>
                <w:rFonts w:ascii="Times New Roman" w:hAnsi="Times New Roman"/>
                <w:sz w:val="20"/>
              </w:rPr>
              <w:t xml:space="preserve">Self-identification + SOGI</w:t>
            </w:r>
          </w:p>
        </w:tc>
        <w:tc>
          <w:tcPr/>
          <w:p>
            <w:pPr>
              <w:pStyle w:val="Compact"/>
            </w:pPr>
            <w:r>
              <w:rPr>
                <w:rFonts w:ascii="Times New Roman" w:hAnsi="Times New Roman"/>
                <w:sz w:val="20"/>
              </w:rPr>
              <w:t xml:space="preserve">Excluded</w:t>
            </w:r>
          </w:p>
        </w:tc>
        <w:tc>
          <w:tcPr/>
          <w:p>
            <w:pPr>
              <w:pStyle w:val="Compact"/>
            </w:pPr>
            <w:r>
              <w:rPr>
                <w:rFonts w:ascii="Times New Roman" w:hAnsi="Times New Roman"/>
                <w:sz w:val="20"/>
              </w:rPr>
              <w:t xml:space="preserve">85</w:t>
            </w:r>
          </w:p>
        </w:tc>
        <w:tc>
          <w:tcPr/>
          <w:p>
            <w:pPr>
              <w:pStyle w:val="Compact"/>
            </w:pPr>
            <w:r>
              <w:rPr>
                <w:rFonts w:ascii="Times New Roman" w:hAnsi="Times New Roman"/>
                <w:sz w:val="20"/>
              </w:rPr>
              <w:t xml:space="preserve">2.60 [−0.41, 5.60]</w:t>
            </w:r>
          </w:p>
        </w:tc>
        <w:tc>
          <w:tcPr/>
          <w:p>
            <w:pPr>
              <w:pStyle w:val="Compact"/>
            </w:pPr>
            <w:r>
              <w:rPr>
                <w:rFonts w:ascii="Times New Roman" w:hAnsi="Times New Roman"/>
                <w:sz w:val="20"/>
              </w:rPr>
              <w:t xml:space="preserve">1.18 [−0.19, 2.54]</w:t>
            </w:r>
          </w:p>
        </w:tc>
      </w:tr>
    </w:tbl>
    <w:p>
      <w:pPr>
        <w:pStyle w:val="BodyText"/>
      </w:pPr>
      <w:r>
        <w:rPr>
          <w:i/>
          <w:iCs/>
        </w:rPr>
        <w:t xml:space="preserve">Note.</w:t>
      </w:r>
      <w:r>
        <w:t xml:space="preserve"> </w:t>
      </w:r>
      <w:r>
        <w:t xml:space="preserve">Ordinary least squares with HC3 standard errors.</w:t>
      </w:r>
      <w:r>
        <w:t xml:space="preserve"> </w:t>
      </w:r>
      <w:r>
        <w:t xml:space="preserve">“Complete 8 only”</w:t>
      </w:r>
      <w:r>
        <w:t xml:space="preserve"> </w:t>
      </w:r>
      <w:r>
        <w:t xml:space="preserve">restricts the eight-situation index to respondents who answered all eight situations. The count of situations is the number of the eight situations experienced at least once. The first row is the main specification.</w:t>
      </w:r>
    </w:p>
    <w:p>
      <w:pPr>
        <w:pStyle w:val="BodyText"/>
      </w:pPr>
      <w:r>
        <w:rPr>
          <w:b/>
          <w:bCs/>
        </w:rPr>
        <w:t xml:space="preserve">Table S6</w:t>
      </w:r>
      <w:r>
        <w:t xml:space="preserve"> </w:t>
      </w:r>
      <w:r>
        <w:rPr>
          <w:i/>
          <w:iCs/>
        </w:rPr>
        <w:t xml:space="preserve">Post hoc sensitivity analyses (specified after the main results were known)</w:t>
      </w:r>
    </w:p>
    <w:tbl>
      <w:tblPr>
        <w:tblStyle w:val="Table"/>
        <w:tblW w:type="pct" w:w="5000"/>
        <w:tblBorders>
          <w:top w:val="single" w:sz="6" w:space="0" w:color="000000"/>
          <w:left w:val="nil" w:sz="0" w:space="0" w:color="000000"/>
          <w:bottom w:val="single" w:sz="6" w:space="0" w:color="000000"/>
          <w:right w:val="nil" w:sz="0" w:space="0" w:color="000000"/>
          <w:insideH w:val="nil" w:sz="0" w:space="0" w:color="000000"/>
          <w:insideV w:val="nil" w:sz="0" w:space="0" w:color="000000"/>
        </w:tblBorders>
        <w:tblLayout w:type="fixed"/>
        <w:tblLook w:firstRow="1" w:lastRow="0" w:firstColumn="0" w:lastColumn="0" w:noHBand="0" w:noVBand="0" w:val="0020"/>
      </w:tblPr>
      <w:tblGrid>
        <w:gridCol w:w="1584"/>
        <w:gridCol w:w="1584"/>
        <w:gridCol w:w="1584"/>
        <w:gridCol w:w="1584"/>
        <w:gridCol w:w="1584"/>
      </w:tblGrid>
      <w:tr>
        <w:trPr>
          <w:tblHeader w:val="on"/>
        </w:trPr>
        <w:tc>
          <w:tcPr>
            <w:tcBorders>
              <w:bottom w:val="single" w:sz="6" w:space="0" w:color="000000"/>
            </w:tcBorders>
          </w:tcPr>
          <w:p>
            <w:pPr>
              <w:pStyle w:val="Compact"/>
            </w:pPr>
            <w:r>
              <w:rPr>
                <w:rFonts w:ascii="Times New Roman" w:hAnsi="Times New Roman"/>
                <w:sz w:val="20"/>
              </w:rPr>
              <w:t xml:space="preserve">Analysis</w:t>
            </w:r>
          </w:p>
        </w:tc>
        <w:tc>
          <w:tcPr>
            <w:tcBorders>
              <w:bottom w:val="single" w:sz="6" w:space="0" w:color="000000"/>
            </w:tcBorders>
          </w:tcPr>
          <w:p>
            <w:pPr>
              <w:pStyle w:val="Compact"/>
            </w:pPr>
            <w:r>
              <w:rPr>
                <w:rFonts w:ascii="Times New Roman" w:hAnsi="Times New Roman"/>
                <w:i/>
                <w:iCs/>
                <w:sz w:val="20"/>
              </w:rPr>
              <w:t xml:space="preserve">n</w:t>
            </w:r>
          </w:p>
        </w:tc>
        <w:tc>
          <w:tcPr>
            <w:tcBorders>
              <w:bottom w:val="single" w:sz="6" w:space="0" w:color="000000"/>
            </w:tcBorders>
          </w:tcPr>
          <w:p>
            <w:pPr>
              <w:pStyle w:val="Compact"/>
            </w:pPr>
            <w:r>
              <w:rPr>
                <w:rFonts w:ascii="Times New Roman" w:hAnsi="Times New Roman"/>
                <w:sz w:val="20"/>
              </w:rPr>
              <w:t xml:space="preserve">η</w:t>
            </w:r>
          </w:p>
        </w:tc>
        <w:tc>
          <w:tcPr>
            <w:tcBorders>
              <w:bottom w:val="single" w:sz="6" w:space="0" w:color="000000"/>
            </w:tcBorders>
          </w:tcPr>
          <w:p>
            <w:pPr>
              <w:pStyle w:val="Compact"/>
            </w:pPr>
            <w:r>
              <w:rPr>
                <w:rFonts w:ascii="Times New Roman" w:hAnsi="Times New Roman"/>
                <w:sz w:val="20"/>
              </w:rPr>
              <w:t xml:space="preserve">95% CI</w:t>
            </w:r>
          </w:p>
        </w:tc>
        <w:tc>
          <w:tcPr>
            <w:tcBorders>
              <w:bottom w:val="single" w:sz="6" w:space="0" w:color="000000"/>
            </w:tcBorders>
          </w:tcPr>
          <w:p>
            <w:pPr>
              <w:pStyle w:val="Compact"/>
            </w:pPr>
            <w:r>
              <w:rPr>
                <w:rFonts w:ascii="Times New Roman" w:hAnsi="Times New Roman"/>
                <w:i/>
                <w:iCs/>
                <w:sz w:val="20"/>
              </w:rPr>
              <w:t xml:space="preserve">p</w:t>
            </w:r>
          </w:p>
        </w:tc>
      </w:tr>
      <w:tr>
        <w:tc>
          <w:tcPr/>
          <w:p>
            <w:pPr>
              <w:pStyle w:val="Compact"/>
            </w:pPr>
            <w:r>
              <w:rPr>
                <w:rFonts w:ascii="Times New Roman" w:hAnsi="Times New Roman"/>
                <w:sz w:val="20"/>
              </w:rPr>
              <w:t xml:space="preserve">Unadjusted</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1.47</w:t>
            </w:r>
          </w:p>
        </w:tc>
        <w:tc>
          <w:tcPr/>
          <w:p>
            <w:pPr>
              <w:pStyle w:val="Compact"/>
            </w:pPr>
            <w:r>
              <w:rPr>
                <w:rFonts w:ascii="Times New Roman" w:hAnsi="Times New Roman"/>
                <w:sz w:val="20"/>
              </w:rPr>
              <w:t xml:space="preserve">[0.30, 2.65]</w:t>
            </w:r>
          </w:p>
        </w:tc>
        <w:tc>
          <w:tcPr/>
          <w:p>
            <w:pPr>
              <w:pStyle w:val="Compact"/>
            </w:pPr>
            <w:r>
              <w:rPr>
                <w:rFonts w:ascii="Times New Roman" w:hAnsi="Times New Roman"/>
                <w:sz w:val="20"/>
              </w:rPr>
              <w:t xml:space="preserve">.014</w:t>
            </w:r>
          </w:p>
        </w:tc>
      </w:tr>
      <w:tr>
        <w:tc>
          <w:tcPr/>
          <w:p>
            <w:pPr>
              <w:pStyle w:val="Compact"/>
            </w:pPr>
            <w:r>
              <w:rPr>
                <w:rFonts w:ascii="Times New Roman" w:hAnsi="Times New Roman"/>
                <w:sz w:val="20"/>
              </w:rPr>
              <w:t xml:space="preserve">Adding disclosure at work</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1.93</w:t>
            </w:r>
          </w:p>
        </w:tc>
        <w:tc>
          <w:tcPr/>
          <w:p>
            <w:pPr>
              <w:pStyle w:val="Compact"/>
            </w:pPr>
            <w:r>
              <w:rPr>
                <w:rFonts w:ascii="Times New Roman" w:hAnsi="Times New Roman"/>
                <w:sz w:val="20"/>
              </w:rPr>
              <w:t xml:space="preserve">[0.76, 3.09]</w:t>
            </w:r>
          </w:p>
        </w:tc>
        <w:tc>
          <w:tcPr/>
          <w:p>
            <w:pPr>
              <w:pStyle w:val="Compact"/>
            </w:pPr>
            <w:r>
              <w:rPr>
                <w:rFonts w:ascii="Times New Roman" w:hAnsi="Times New Roman"/>
                <w:sz w:val="20"/>
              </w:rPr>
              <w:t xml:space="preserve">.001</w:t>
            </w:r>
          </w:p>
        </w:tc>
      </w:tr>
      <w:tr>
        <w:tc>
          <w:tcPr/>
          <w:p>
            <w:pPr>
              <w:pStyle w:val="Compact"/>
            </w:pPr>
            <w:r>
              <w:rPr>
                <w:rFonts w:ascii="Times New Roman" w:hAnsi="Times New Roman"/>
                <w:sz w:val="20"/>
              </w:rPr>
              <w:t xml:space="preserve">Adding work experience</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1.90</w:t>
            </w:r>
          </w:p>
        </w:tc>
        <w:tc>
          <w:tcPr/>
          <w:p>
            <w:pPr>
              <w:pStyle w:val="Compact"/>
            </w:pPr>
            <w:r>
              <w:rPr>
                <w:rFonts w:ascii="Times New Roman" w:hAnsi="Times New Roman"/>
                <w:sz w:val="20"/>
              </w:rPr>
              <w:t xml:space="preserve">[0.71, 3.08]</w:t>
            </w:r>
          </w:p>
        </w:tc>
        <w:tc>
          <w:tcPr/>
          <w:p>
            <w:pPr>
              <w:pStyle w:val="Compact"/>
            </w:pPr>
            <w:r>
              <w:rPr>
                <w:rFonts w:ascii="Times New Roman" w:hAnsi="Times New Roman"/>
                <w:sz w:val="20"/>
              </w:rPr>
              <w:t xml:space="preserve">.002</w:t>
            </w:r>
          </w:p>
        </w:tc>
      </w:tr>
      <w:tr>
        <w:tc>
          <w:tcPr/>
          <w:p>
            <w:pPr>
              <w:pStyle w:val="Compact"/>
            </w:pPr>
            <w:r>
              <w:rPr>
                <w:rFonts w:ascii="Times New Roman" w:hAnsi="Times New Roman"/>
                <w:sz w:val="20"/>
              </w:rPr>
              <w:t xml:space="preserve">Xᴰ without relationship status and region of work</w:t>
            </w:r>
          </w:p>
        </w:tc>
        <w:tc>
          <w:tcPr/>
          <w:p>
            <w:pPr>
              <w:pStyle w:val="Compact"/>
            </w:pPr>
            <w:r>
              <w:rPr>
                <w:rFonts w:ascii="Times New Roman" w:hAnsi="Times New Roman"/>
                <w:sz w:val="20"/>
              </w:rPr>
              <w:t xml:space="preserve">235</w:t>
            </w:r>
          </w:p>
        </w:tc>
        <w:tc>
          <w:tcPr/>
          <w:p>
            <w:pPr>
              <w:pStyle w:val="Compact"/>
            </w:pPr>
            <w:r>
              <w:rPr>
                <w:rFonts w:ascii="Times New Roman" w:hAnsi="Times New Roman"/>
                <w:sz w:val="20"/>
              </w:rPr>
              <w:t xml:space="preserve">1.83</w:t>
            </w:r>
          </w:p>
        </w:tc>
        <w:tc>
          <w:tcPr/>
          <w:p>
            <w:pPr>
              <w:pStyle w:val="Compact"/>
            </w:pPr>
            <w:r>
              <w:rPr>
                <w:rFonts w:ascii="Times New Roman" w:hAnsi="Times New Roman"/>
                <w:sz w:val="20"/>
              </w:rPr>
              <w:t xml:space="preserve">[0.68, 2.99]</w:t>
            </w:r>
          </w:p>
        </w:tc>
        <w:tc>
          <w:tcPr/>
          <w:p>
            <w:pPr>
              <w:pStyle w:val="Compact"/>
            </w:pPr>
            <w:r>
              <w:rPr>
                <w:rFonts w:ascii="Times New Roman" w:hAnsi="Times New Roman"/>
                <w:sz w:val="20"/>
              </w:rPr>
              <w:t xml:space="preserve">.002</w:t>
            </w:r>
          </w:p>
        </w:tc>
      </w:tr>
    </w:tbl>
    <w:p>
      <w:pPr>
        <w:pStyle w:val="BodyText"/>
      </w:pPr>
      <w:r>
        <w:rPr>
          <w:i/>
          <w:iCs/>
        </w:rPr>
        <w:t xml:space="preserve">Note.</w:t>
      </w:r>
      <w:r>
        <w:t xml:space="preserve"> </w:t>
      </w:r>
      <w:r>
        <w:t xml:space="preserve">Ordinary least squares with HC3 standard errors; all models except the first adjust for pre-exposure characteristics. Disclosure at work and work experience may lie on the pathway between stigma and symptoms, so these models are not used to revise the main estimate.</w:t>
      </w:r>
    </w:p>
    <w:bookmarkEnd w:id="53"/>
    <w:bookmarkEnd w:id="54"/>
    <w:sectPr>
      <w:footerReference r:id="rId9" w:type="default"/>
      <w:footnotePr>
        <w:numRestart w:val="eachSect"/>
      </w:footnotePr>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0" w:before="0" w:line="480" w:lineRule="auto"/>
    </w:pPr>
    <w:rPr>
      <w:rFonts w:ascii="Times New Roman" w:cs="Times New Roman" w:eastAsia="Times New Roman" w:hAnsi="Times New Roman"/>
      <w:sz w:val="24"/>
    </w:rPr>
  </w:style>
  <w:style w:styleId="BodyText" w:type="paragraph">
    <w:name w:val="Body Text"/>
    <w:basedOn w:val="Normal"/>
    <w:link w:val="BodyTextChar"/>
    <w:qFormat/>
    <w:pPr>
      <w:spacing w:after="0" w:before="0" w:line="480" w:lineRule="auto"/>
      <w:ind w:firstLine="720"/>
    </w:pPr>
    <w:rPr>
      <w:rFonts w:ascii="Times New Roman" w:cs="Times New Roman" w:eastAsia="Times New Roman" w:hAnsi="Times New Roman"/>
      <w:sz w:val="24"/>
    </w:rPr>
  </w:style>
  <w:style w:customStyle="1" w:styleId="FirstParagraph" w:type="paragraph">
    <w:name w:val="First Paragraph"/>
    <w:basedOn w:val="BodyText"/>
    <w:next w:val="BodyText"/>
    <w:qFormat/>
    <w:pPr>
      <w:spacing w:after="0" w:before="0" w:line="480" w:lineRule="auto"/>
      <w:ind w:firstLine="0"/>
    </w:pPr>
    <w:rPr>
      <w:rFonts w:ascii="Times New Roman" w:cs="Times New Roman" w:eastAsia="Times New Roman" w:hAnsi="Times New Roman"/>
      <w:sz w:val="24"/>
    </w:rPr>
  </w:style>
  <w:style w:customStyle="1" w:styleId="Compact" w:type="paragraph">
    <w:name w:val="Compact"/>
    <w:basedOn w:val="BodyText"/>
    <w:qFormat/>
    <w:pPr>
      <w:spacing w:after="0" w:before="0" w:line="240" w:lineRule="auto"/>
    </w:pPr>
    <w:rPr>
      <w:rFonts w:ascii="Times New Roman" w:cs="Times New Roman" w:eastAsia="Times New Roman" w:hAnsi="Times New Roman"/>
      <w:sz w:val="20"/>
    </w:rPr>
  </w:style>
  <w:style w:styleId="Title" w:type="paragraph">
    <w:name w:val="Title"/>
    <w:basedOn w:val="Normal"/>
    <w:next w:val="BodyText"/>
    <w:link w:val="TitleChar"/>
    <w:uiPriority w:val="10"/>
    <w:qFormat/>
    <w:rsid w:val="00A10FD9"/>
    <w:pPr>
      <w:spacing w:after="0" w:before="0" w:line="480" w:lineRule="auto"/>
      <w:contextualSpacing/>
      <w:jc w:val="center"/>
    </w:pPr>
    <w:rPr>
      <w:rFonts w:ascii="Times New Roman" w:cs="Times New Roman" w:eastAsia="Times New Roman" w:hAnsi="Times New Roman"/>
      <w:b/>
      <w:i w:val="0"/>
      <w:sz w:val="28"/>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spacing w:after="0" w:before="0" w:line="480" w:lineRule="auto"/>
    </w:pPr>
    <w:rPr>
      <w:rFonts w:ascii="Times New Roman" w:cs="Times New Roman" w:eastAsia="Times New Roman" w:hAnsi="Times New Roman"/>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0" w:before="0" w:line="480" w:lineRule="auto"/>
    </w:pPr>
    <w:rPr>
      <w:rFonts w:ascii="Times New Roman" w:cs="Times New Roman" w:eastAsia="Times New Roman" w:hAnsi="Times New Roman"/>
      <w:sz w:val="24"/>
      <w:szCs w:val="20"/>
    </w:rPr>
  </w:style>
  <w:style w:styleId="Bibliography" w:type="paragraph">
    <w:name w:val="Bibliography"/>
    <w:basedOn w:val="Normal"/>
    <w:next w:val="Bibliography"/>
    <w:qFormat/>
    <w:pPr>
      <w:spacing w:after="0" w:before="0" w:line="480" w:lineRule="auto"/>
      <w:ind w:hanging="720" w:left="720"/>
    </w:pPr>
    <w:rPr>
      <w:rFonts w:ascii="Times New Roman" w:cs="Times New Roman" w:eastAsia="Times New Roman" w:hAnsi="Times New Roman"/>
      <w:sz w:val="24"/>
    </w:rPr>
  </w:style>
  <w:style w:styleId="Heading1" w:type="paragraph">
    <w:name w:val="heading 1"/>
    <w:basedOn w:val="Normal"/>
    <w:next w:val="BodyText"/>
    <w:link w:val="Heading1Char"/>
    <w:uiPriority w:val="9"/>
    <w:qFormat/>
    <w:rsid w:val="00A10FD9"/>
    <w:pPr>
      <w:keepNext/>
      <w:keepLines/>
      <w:spacing w:after="0" w:before="120" w:line="480" w:lineRule="auto"/>
      <w:jc w:val="center"/>
      <w:outlineLvl w:val="0"/>
    </w:pPr>
    <w:rPr>
      <w:rFonts w:ascii="Times New Roman" w:cs="Times New Roman" w:eastAsia="Times New Roman" w:hAnsi="Times New Roman"/>
      <w:b/>
      <w:i w:val="0"/>
      <w:sz w:val="24"/>
      <w:szCs w:val="40"/>
    </w:rPr>
  </w:style>
  <w:style w:styleId="Heading2" w:type="paragraph">
    <w:name w:val="heading 2"/>
    <w:basedOn w:val="Normal"/>
    <w:next w:val="BodyText"/>
    <w:link w:val="Heading2Char"/>
    <w:uiPriority w:val="9"/>
    <w:semiHidden/>
    <w:unhideWhenUsed/>
    <w:qFormat/>
    <w:rsid w:val="00A10FD9"/>
    <w:pPr>
      <w:keepNext/>
      <w:keepLines/>
      <w:spacing w:after="0" w:before="120" w:line="480" w:lineRule="auto"/>
      <w:outlineLvl w:val="1"/>
    </w:pPr>
    <w:rPr>
      <w:rFonts w:ascii="Times New Roman" w:cs="Times New Roman" w:eastAsia="Times New Roman" w:hAnsi="Times New Roman"/>
      <w:b/>
      <w:i w:val="0"/>
      <w:sz w:val="24"/>
      <w:szCs w:val="32"/>
    </w:rPr>
  </w:style>
  <w:style w:styleId="Heading3" w:type="paragraph">
    <w:name w:val="heading 3"/>
    <w:basedOn w:val="Normal"/>
    <w:next w:val="BodyText"/>
    <w:link w:val="Heading3Char"/>
    <w:uiPriority w:val="9"/>
    <w:semiHidden/>
    <w:unhideWhenUsed/>
    <w:qFormat/>
    <w:rsid w:val="00A10FD9"/>
    <w:pPr>
      <w:keepNext/>
      <w:keepLines/>
      <w:spacing w:after="0" w:before="120" w:line="480" w:lineRule="auto"/>
      <w:outlineLvl w:val="2"/>
    </w:pPr>
    <w:rPr>
      <w:rFonts w:ascii="Times New Roman" w:cs="Times New Roman" w:eastAsia="Times New Roman" w:hAnsi="Times New Roman"/>
      <w:b/>
      <w:i/>
      <w:sz w:val="24"/>
      <w:szCs w:val="28"/>
    </w:rPr>
  </w:style>
  <w:style w:styleId="Heading4" w:type="paragraph">
    <w:name w:val="heading 4"/>
    <w:basedOn w:val="Normal"/>
    <w:next w:val="BodyText"/>
    <w:link w:val="Heading4Char"/>
    <w:uiPriority w:val="9"/>
    <w:semiHidden/>
    <w:unhideWhenUsed/>
    <w:qFormat/>
    <w:rsid w:val="00A10FD9"/>
    <w:pPr>
      <w:keepNext/>
      <w:keepLines/>
      <w:spacing w:after="0" w:before="120" w:line="480" w:lineRule="auto"/>
      <w:outlineLvl w:val="3"/>
    </w:pPr>
    <w:rPr>
      <w:rFonts w:ascii="Times New Roman" w:cs="Times New Roman" w:eastAsia="Times New Roman" w:hAnsi="Times New Roman"/>
      <w:b/>
      <w:i/>
      <w:iCs/>
      <w:sz w:val="24"/>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0" w:before="0" w:line="480" w:lineRule="auto"/>
      <w:ind w:firstLine="0" w:left="480" w:right="480"/>
    </w:pPr>
    <w:rPr>
      <w:rFonts w:ascii="Times New Roman" w:cs="Times New Roman" w:eastAsia="Times New Roman" w:hAnsi="Times New Roman"/>
      <w:sz w:val="24"/>
    </w:rPr>
  </w:style>
  <w:style w:styleId="FootnoteText" w:type="paragraph">
    <w:name w:val="Footnote Text"/>
    <w:basedOn w:val="Normal"/>
    <w:next w:val="FootnoteText"/>
    <w:uiPriority w:val="9"/>
    <w:unhideWhenUsed/>
    <w:qFormat/>
    <w:pPr>
      <w:spacing w:after="0" w:before="0" w:line="480" w:lineRule="auto"/>
    </w:pPr>
    <w:rPr>
      <w:rFonts w:ascii="Times New Roman" w:cs="Times New Roman" w:eastAsia="Times New Roman" w:hAnsi="Times New Roman"/>
      <w:sz w:val="24"/>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0" w:before="0" w:line="480" w:lineRule="auto"/>
    </w:pPr>
    <w:rPr>
      <w:rFonts w:ascii="Times New Roman" w:cs="Times New Roman" w:eastAsia="Times New Roman" w:hAnsi="Times New Roman"/>
      <w:i/>
      <w:sz w:val="24"/>
    </w:rPr>
  </w:style>
  <w:style w:customStyle="1" w:styleId="TableCaption" w:type="paragraph">
    <w:name w:val="Table Caption"/>
    <w:basedOn w:val="Caption"/>
    <w:pPr>
      <w:keepNext/>
      <w:spacing w:after="0" w:before="0" w:line="480" w:lineRule="auto"/>
    </w:pPr>
    <w:rPr>
      <w:rFonts w:ascii="Times New Roman" w:cs="Times New Roman" w:eastAsia="Times New Roman" w:hAnsi="Times New Roman"/>
      <w:sz w:val="24"/>
    </w:rPr>
  </w:style>
  <w:style w:customStyle="1" w:styleId="ImageCaption" w:type="paragraph">
    <w:name w:val="Image Caption"/>
    <w:basedOn w:val="Caption"/>
    <w:pPr>
      <w:spacing w:after="0" w:before="0" w:line="480" w:lineRule="auto"/>
    </w:pPr>
    <w:rPr>
      <w:rFonts w:ascii="Times New Roman" w:cs="Times New Roman" w:eastAsia="Times New Roman" w:hAnsi="Times New Roman"/>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Times New Roman" w:hAnsi="Times New Roman"/>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9" Type="http://schemas.openxmlformats.org/officeDocument/2006/relationships/footer" Target="footer1.xml"/><Relationship Id="rId27" Type="http://schemas.openxmlformats.org/officeDocument/2006/relationships/image" Target="media/rId27.png"/><Relationship Id="rId38" Type="http://schemas.openxmlformats.org/officeDocument/2006/relationships/image" Target="media/rId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Pathology or Prejudice? Workplace Stigma and Mental Health among LGBT Workers in Vietnam</dc:title>
  <dc:creator/>
  <cp:keywords/>
  <dcterms:created xsi:type="dcterms:W3CDTF">2026-10-16T14:00:43Z</dcterms:created>
  <dcterms:modified xsi:type="dcterms:W3CDTF">2026-10-16T14:00:43Z</dcterms:modified>
</cp:coreProperties>
</file>

<file path=docProps/custom.xml><?xml version="1.0" encoding="utf-8"?>
<Properties xmlns="http://schemas.openxmlformats.org/officeDocument/2006/custom-properties" xmlns:vt="http://schemas.openxmlformats.org/officeDocument/2006/docPropsVTypes"/>
</file>