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Times New Roman" w:hAnsi="Times New Roman"/>
          <w:b/>
          <w:color w:val="1F497D"/>
          <w:sz w:val="26"/>
        </w:rPr>
        <w:t>VIỆN CÔNG NGHỆ THÔNG TIN &amp; ĐÀO TẠO JETKING</w:t>
        <w:br/>
        <w:t>KHOA DỮ LIỆU &amp; TRÍ TUỆ NHÂN TẠO</w:t>
      </w:r>
    </w:p>
    <w:p>
      <w:pPr>
        <w:spacing w:before="1200"/>
      </w:pPr>
    </w:p>
    <w:p>
      <w:pPr>
        <w:jc w:val="center"/>
      </w:pPr>
      <w:r>
        <w:rPr>
          <w:rFonts w:ascii="Times New Roman" w:hAnsi="Times New Roman"/>
          <w:b/>
          <w:color w:val="C00000"/>
          <w:sz w:val="44"/>
        </w:rPr>
        <w:t>BÁO CÁO BÀI TẬP LỚN</w:t>
        <w:br/>
        <w:t>MACHINE LEARNING ASSIGNMENT</w:t>
      </w:r>
    </w:p>
    <w:p>
      <w:pPr>
        <w:spacing w:before="240"/>
        <w:jc w:val="center"/>
      </w:pPr>
      <w:r>
        <w:rPr>
          <w:rFonts w:ascii="Times New Roman" w:hAnsi="Times New Roman"/>
          <w:b/>
          <w:color w:val="1F497D"/>
          <w:sz w:val="28"/>
        </w:rPr>
        <w:t>ĐỀ TÀI: PHÂN TÍCH, DỰ ĐOÁN VÀ PHÂN KHÚC</w:t>
        <w:br/>
        <w:t>BẤT ĐỘNG SẢN KING COUNTY (SEATTLE, USA)</w:t>
      </w:r>
    </w:p>
    <w:p>
      <w:pPr>
        <w:spacing w:before="2000"/>
      </w:pPr>
    </w:p>
    <w:tbl>
      <w:tblPr>
        <w:tblW w:type="auto" w:w="0"/>
        <w:jc w:val="center"/>
        <w:tblLook w:firstColumn="1" w:firstRow="1" w:lastColumn="0" w:lastRow="0" w:noHBand="0" w:noVBand="1" w:val="04A0"/>
      </w:tblPr>
      <w:tblGrid>
        <w:gridCol w:w="4680"/>
        <w:gridCol w:w="4680"/>
      </w:tblGrid>
      <w:tr>
        <w:tc>
          <w:tcPr>
            <w:tcW w:type="dxa" w:w="4680"/>
          </w:tcPr>
          <w:p>
            <w:pPr>
              <w:jc w:val="right"/>
            </w:pPr>
            <w:r>
              <w:rPr>
                <w:rFonts w:ascii="Times New Roman" w:hAnsi="Times New Roman"/>
                <w:b/>
                <w:sz w:val="22"/>
              </w:rPr>
              <w:t>Môn học:</w:t>
            </w:r>
          </w:p>
        </w:tc>
        <w:tc>
          <w:tcPr>
            <w:tcW w:type="dxa" w:w="4680"/>
          </w:tcPr>
          <w:p>
            <w:r>
              <w:rPr>
                <w:rFonts w:ascii="Times New Roman" w:hAnsi="Times New Roman"/>
                <w:sz w:val="22"/>
              </w:rPr>
              <w:t xml:space="preserve"> Data Manipulation and Visualization &amp; Machine Learning</w:t>
            </w:r>
          </w:p>
        </w:tc>
      </w:tr>
      <w:tr>
        <w:tc>
          <w:tcPr>
            <w:tcW w:type="dxa" w:w="4680"/>
          </w:tcPr>
          <w:p>
            <w:pPr>
              <w:jc w:val="right"/>
            </w:pPr>
            <w:r>
              <w:rPr>
                <w:rFonts w:ascii="Times New Roman" w:hAnsi="Times New Roman"/>
                <w:b/>
                <w:sz w:val="22"/>
              </w:rPr>
              <w:t>Bộ dữ liệu:</w:t>
            </w:r>
          </w:p>
        </w:tc>
        <w:tc>
          <w:tcPr>
            <w:tcW w:type="dxa" w:w="4680"/>
          </w:tcPr>
          <w:p>
            <w:r>
              <w:rPr>
                <w:rFonts w:ascii="Times New Roman" w:hAnsi="Times New Roman"/>
                <w:sz w:val="22"/>
              </w:rPr>
              <w:t xml:space="preserve"> data.csv (King County Housing Sales Dataset)</w:t>
            </w:r>
          </w:p>
        </w:tc>
      </w:tr>
      <w:tr>
        <w:tc>
          <w:tcPr>
            <w:tcW w:type="dxa" w:w="4680"/>
          </w:tcPr>
          <w:p>
            <w:pPr>
              <w:jc w:val="right"/>
            </w:pPr>
            <w:r>
              <w:rPr>
                <w:rFonts w:ascii="Times New Roman" w:hAnsi="Times New Roman"/>
                <w:b/>
                <w:sz w:val="22"/>
              </w:rPr>
              <w:t>Học viên thực hiện:</w:t>
            </w:r>
          </w:p>
        </w:tc>
        <w:tc>
          <w:tcPr>
            <w:tcW w:type="dxa" w:w="4680"/>
          </w:tcPr>
          <w:p>
            <w:r>
              <w:rPr>
                <w:rFonts w:ascii="Times New Roman" w:hAnsi="Times New Roman"/>
                <w:sz w:val="22"/>
              </w:rPr>
              <w:t xml:space="preserve"> Đỗ Trọng Minh</w:t>
            </w:r>
          </w:p>
        </w:tc>
      </w:tr>
      <w:tr>
        <w:tc>
          <w:tcPr>
            <w:tcW w:type="dxa" w:w="4680"/>
          </w:tcPr>
          <w:p>
            <w:pPr>
              <w:jc w:val="right"/>
            </w:pPr>
            <w:r>
              <w:rPr>
                <w:rFonts w:ascii="Times New Roman" w:hAnsi="Times New Roman"/>
                <w:b/>
                <w:sz w:val="22"/>
              </w:rPr>
              <w:t>Trạng thái:</w:t>
            </w:r>
          </w:p>
        </w:tc>
        <w:tc>
          <w:tcPr>
            <w:tcW w:type="dxa" w:w="4680"/>
          </w:tcPr>
          <w:p>
            <w:r>
              <w:rPr>
                <w:rFonts w:ascii="Times New Roman" w:hAnsi="Times New Roman"/>
                <w:sz w:val="22"/>
              </w:rPr>
              <w:t xml:space="preserve"> Hoàn thành 100% (5/5 Bài toán có kiểm định 5-Fold CV)</w:t>
            </w:r>
          </w:p>
        </w:tc>
      </w:tr>
    </w:tbl>
    <w:p>
      <w:r>
        <w:br w:type="page"/>
      </w:r>
    </w:p>
    <w:p>
      <w:pPr>
        <w:keepNext/>
        <w:spacing w:before="320" w:after="120"/>
      </w:pPr>
      <w:r>
        <w:rPr>
          <w:rFonts w:ascii="Times New Roman" w:hAnsi="Times New Roman"/>
          <w:b/>
          <w:color w:val="1F497D"/>
          <w:sz w:val="30"/>
        </w:rPr>
        <w:t>TỔNG QUAN ĐỀ BÀI VÀ CẤU TRÚC BÁO CÁO</w:t>
      </w:r>
    </w:p>
    <w:p>
      <w:pPr>
        <w:spacing w:after="120" w:line="300" w:lineRule="auto"/>
      </w:pPr>
      <w:r>
        <w:rPr>
          <w:rFonts w:ascii="Times New Roman" w:hAnsi="Times New Roman"/>
          <w:i w:val="0"/>
          <w:color w:val="282828"/>
          <w:sz w:val="22"/>
        </w:rPr>
        <w:t>Báo cáo này trình bày lời giải chi tiết và hoàn chỉnh cho 5 bài toán được chỉ định trong tài liệu Machine Learning Assignment (thuộc bộ dữ liệu data.csv):</w:t>
      </w:r>
    </w:p>
    <w:p>
      <w:pPr>
        <w:pStyle w:val="ListBullet"/>
        <w:spacing w:after="80" w:line="288" w:lineRule="auto"/>
      </w:pPr>
      <w:r>
        <w:rPr>
          <w:rFonts w:ascii="Times New Roman" w:hAnsi="Times New Roman"/>
          <w:b/>
          <w:sz w:val="22"/>
        </w:rPr>
        <w:t>1. Bài toán 1 (Supervised Regression):</w:t>
      </w:r>
      <w:r>
        <w:rPr>
          <w:rFonts w:ascii="Times New Roman" w:hAnsi="Times New Roman"/>
          <w:sz w:val="22"/>
        </w:rPr>
        <w:t xml:space="preserve"> Xây dựng mô hình hồi quy dự đoán giá bán liên tục của căn nhà (USD).</w:t>
      </w:r>
    </w:p>
    <w:p>
      <w:pPr>
        <w:pStyle w:val="ListBullet"/>
        <w:spacing w:after="80" w:line="288" w:lineRule="auto"/>
      </w:pPr>
      <w:r>
        <w:rPr>
          <w:rFonts w:ascii="Times New Roman" w:hAnsi="Times New Roman"/>
          <w:b/>
          <w:sz w:val="22"/>
        </w:rPr>
        <w:t>2. Bài toán 2 (Supervised Regression):</w:t>
      </w:r>
      <w:r>
        <w:rPr>
          <w:rFonts w:ascii="Times New Roman" w:hAnsi="Times New Roman"/>
          <w:sz w:val="22"/>
        </w:rPr>
        <w:t xml:space="preserve"> Dự đoán diện tích sử dụng dựa trên cấu trúc vật lý và khuôn viên đất.</w:t>
      </w:r>
    </w:p>
    <w:p>
      <w:pPr>
        <w:pStyle w:val="ListBullet"/>
        <w:spacing w:after="80" w:line="288" w:lineRule="auto"/>
      </w:pPr>
      <w:r>
        <w:rPr>
          <w:rFonts w:ascii="Times New Roman" w:hAnsi="Times New Roman"/>
          <w:b/>
          <w:sz w:val="22"/>
        </w:rPr>
        <w:t>3. Bài toán 3 (Supervised Classification):</w:t>
      </w:r>
      <w:r>
        <w:rPr>
          <w:rFonts w:ascii="Times New Roman" w:hAnsi="Times New Roman"/>
          <w:sz w:val="22"/>
        </w:rPr>
        <w:t xml:space="preserve"> Phân hạng nhị phân căn nhà vào nhóm giá cao (&gt; median) hoặc giá thấp.</w:t>
      </w:r>
    </w:p>
    <w:p>
      <w:pPr>
        <w:pStyle w:val="ListBullet"/>
        <w:spacing w:after="80" w:line="288" w:lineRule="auto"/>
      </w:pPr>
      <w:r>
        <w:rPr>
          <w:rFonts w:ascii="Times New Roman" w:hAnsi="Times New Roman"/>
          <w:b/>
          <w:sz w:val="22"/>
        </w:rPr>
        <w:t>4. Bài toán 4 (Unsupervised Clustering):</w:t>
      </w:r>
      <w:r>
        <w:rPr>
          <w:rFonts w:ascii="Times New Roman" w:hAnsi="Times New Roman"/>
          <w:sz w:val="22"/>
        </w:rPr>
        <w:t xml:space="preserve"> Khám phá các phân khúc nhà tự nhiên dựa trên 7 đặc trưng cấu trúc và giá trị.</w:t>
      </w:r>
    </w:p>
    <w:p>
      <w:pPr>
        <w:pStyle w:val="ListBullet"/>
        <w:spacing w:after="80" w:line="288" w:lineRule="auto"/>
      </w:pPr>
      <w:r>
        <w:rPr>
          <w:rFonts w:ascii="Times New Roman" w:hAnsi="Times New Roman"/>
          <w:b/>
          <w:sz w:val="22"/>
        </w:rPr>
        <w:t>5. Bài toán 5 (Unsupervised Clustering):</w:t>
      </w:r>
      <w:r>
        <w:rPr>
          <w:rFonts w:ascii="Times New Roman" w:hAnsi="Times New Roman"/>
          <w:sz w:val="22"/>
        </w:rPr>
        <w:t xml:space="preserve"> Phân khúc thị trường thành 3 tầng: Bình dân, Trung cấp, Cao cấp.</w:t>
      </w:r>
    </w:p>
    <w:p>
      <w:pPr>
        <w:spacing w:after="120" w:line="300" w:lineRule="auto"/>
      </w:pPr>
      <w:r>
        <w:rPr>
          <w:rFonts w:ascii="Times New Roman" w:hAnsi="Times New Roman"/>
          <w:b/>
          <w:color w:val="1E1E1E"/>
          <w:sz w:val="22"/>
        </w:rPr>
        <w:t xml:space="preserve">Nguyên tắc cốt lõi: </w:t>
      </w:r>
      <w:r>
        <w:rPr>
          <w:rFonts w:ascii="Times New Roman" w:hAnsi="Times New Roman"/>
          <w:i w:val="0"/>
          <w:color w:val="282828"/>
          <w:sz w:val="22"/>
        </w:rPr>
        <w:t>Toàn bộ quá trình thực hiện đều tuân thủ nghiêm ngặt các nguyên tắc phương pháp luận khoa học dữ liệu: triệt tiêu đa cộng tuyến hoàn hảo, ngăn chặn rò rỉ dữ liệu (No Data Leakage), đánh giá đồng nhất bằng 5-Fold Cross-Validation và so sánh đối chứng với Dummy Baseline.</w:t>
      </w:r>
    </w:p>
    <w:p>
      <w:pPr>
        <w:keepNext/>
        <w:spacing w:before="320" w:after="120"/>
      </w:pPr>
      <w:r>
        <w:rPr>
          <w:rFonts w:ascii="Times New Roman" w:hAnsi="Times New Roman"/>
          <w:b/>
          <w:color w:val="1F497D"/>
          <w:sz w:val="30"/>
        </w:rPr>
        <w:t>CHƯƠNG 0: KHÁM PHÁ DỮ LIỆU SÂU (DEEP EDA) &amp; TIỀN XỬ LÝ</w:t>
      </w:r>
    </w:p>
    <w:p>
      <w:pPr>
        <w:keepNext/>
        <w:spacing w:before="240" w:after="80"/>
      </w:pPr>
      <w:r>
        <w:rPr>
          <w:rFonts w:ascii="Times New Roman" w:hAnsi="Times New Roman"/>
          <w:b/>
          <w:color w:val="366092"/>
          <w:sz w:val="26"/>
        </w:rPr>
        <w:t>0.1. Cấu trúc tập dữ liệu và rà soát ban đầu</w:t>
      </w:r>
    </w:p>
    <w:p>
      <w:pPr>
        <w:spacing w:after="120" w:line="300" w:lineRule="auto"/>
      </w:pPr>
      <w:r>
        <w:rPr>
          <w:rFonts w:ascii="Times New Roman" w:hAnsi="Times New Roman"/>
          <w:i w:val="0"/>
          <w:color w:val="282828"/>
          <w:sz w:val="22"/>
        </w:rPr>
        <w:t>Tập dữ liệu ban đầu gồm 4.600 giao dịch bất động sản với 18 thuộc tính. Kiểm tra sơ bộ cho thấy không có trường dữ liệu nào bị thiếu hình thức (0 missing NaN), tuy nhiên qua phân tích sâu phát hiện các lỗi ghi nhận dữ liệu ẩn cực kỳ nghiêm trọng.</w:t>
      </w:r>
    </w:p>
    <w:p>
      <w:pPr>
        <w:keepNext/>
        <w:spacing w:before="240" w:after="80"/>
      </w:pPr>
      <w:r>
        <w:rPr>
          <w:rFonts w:ascii="Times New Roman" w:hAnsi="Times New Roman"/>
          <w:b/>
          <w:color w:val="366092"/>
          <w:sz w:val="26"/>
        </w:rPr>
        <w:t>0.2. Phát hiện và xử lý dị biệt (Anomalies)</w:t>
      </w:r>
    </w:p>
    <w:p>
      <w:pPr>
        <w:pStyle w:val="ListBullet"/>
        <w:spacing w:after="80" w:line="288" w:lineRule="auto"/>
      </w:pPr>
      <w:r>
        <w:rPr>
          <w:rFonts w:ascii="Times New Roman" w:hAnsi="Times New Roman"/>
          <w:b/>
          <w:sz w:val="22"/>
        </w:rPr>
        <w:t>1. Lỗi 49 căn nhà giá 0 USD:</w:t>
      </w:r>
      <w:r>
        <w:rPr>
          <w:rFonts w:ascii="Times New Roman" w:hAnsi="Times New Roman"/>
          <w:sz w:val="22"/>
        </w:rPr>
        <w:t xml:space="preserve"> Trong bộ dữ liệu có đúng 49 dòng có giá bán bằng 0 USD. Nhà ở không thể giao dịch miễn phí; đây là các giá trị missing value ẩn. Nếu giữ lại, phép biến đổi log1p(0) = 0 sẽ tạo ra một nhóm điểm lạc hẳn khỏi phân phối thực tế và bóp méo hoàn toàn mô hình hồi quy và K-Means.</w:t>
      </w:r>
    </w:p>
    <w:p>
      <w:pPr>
        <w:pStyle w:val="ListBullet"/>
        <w:spacing w:after="80" w:line="288" w:lineRule="auto"/>
      </w:pPr>
      <w:r>
        <w:rPr>
          <w:rFonts w:ascii="Times New Roman" w:hAnsi="Times New Roman"/>
          <w:b/>
          <w:sz w:val="22"/>
        </w:rPr>
        <w:t>2. Lỗi 0 phòng ngủ và 0 phòng tắm:</w:t>
      </w:r>
      <w:r>
        <w:rPr>
          <w:rFonts w:ascii="Times New Roman" w:hAnsi="Times New Roman"/>
          <w:sz w:val="22"/>
        </w:rPr>
        <w:t xml:space="preserve"> Có 2 căn nhà diện tích lớn (&gt;3.000 sqft và &gt;4.800 sqft) có giá bán trên 1 triệu USD nhưng số phòng ngủ và phòng tắm đều ghi nhận bằng 0. Đây là lỗi hồ sơ bất thường cần loại bỏ.</w:t>
      </w:r>
    </w:p>
    <w:p>
      <w:pPr>
        <w:pStyle w:val="ListBullet"/>
        <w:spacing w:after="80" w:line="288" w:lineRule="auto"/>
      </w:pPr>
      <w:r>
        <w:rPr>
          <w:rFonts w:ascii="Times New Roman" w:hAnsi="Times New Roman"/>
          <w:b/>
          <w:sz w:val="22"/>
        </w:rPr>
        <w:t>3. Lỗi ngoại lai cực đoan tại Kent (26.59 triệu USD):</w:t>
      </w:r>
      <w:r>
        <w:rPr>
          <w:rFonts w:ascii="Times New Roman" w:hAnsi="Times New Roman"/>
          <w:sz w:val="22"/>
        </w:rPr>
        <w:t xml:space="preserve"> Căn nhà có ID tại Kent có diện tích chỉ 1.180 sqft (3 phòng ngủ, 2 phòng tắm ở khu vực bình dân) nhưng được ghi nhận giá bán 26.590.000 USD (gấp 50 lần mức trung bình khu vực). Đây là lỗi gõ thừa số 0 (Typo) ngoại lai cực đoan, sẽ trở thành điểm đòn bẩy làm méo hoàn toàn mặt phẳng hồi quy tuyến tính.</w:t>
      </w:r>
    </w:p>
    <w:p>
      <w:pPr>
        <w:spacing w:after="120" w:line="300" w:lineRule="auto"/>
      </w:pPr>
      <w:r>
        <w:rPr>
          <w:rFonts w:ascii="Times New Roman" w:hAnsi="Times New Roman"/>
          <w:b/>
          <w:color w:val="1E1E1E"/>
          <w:sz w:val="22"/>
        </w:rPr>
        <w:t xml:space="preserve">Kết quả làm sạch: </w:t>
      </w:r>
      <w:r>
        <w:rPr>
          <w:rFonts w:ascii="Times New Roman" w:hAnsi="Times New Roman"/>
          <w:i w:val="0"/>
          <w:color w:val="282828"/>
          <w:sz w:val="22"/>
        </w:rPr>
        <w:t>Sau khi làm sạch 3 nhóm dị biệt trên, tập dữ liệu sạch còn lại 4.548 dòng giao dịch hoàn toàn hợp lệ và đáng tin cậy.</w:t>
      </w:r>
    </w:p>
    <w:p>
      <w:pPr>
        <w:keepNext/>
        <w:spacing w:before="240" w:after="80"/>
      </w:pPr>
      <w:r>
        <w:rPr>
          <w:rFonts w:ascii="Times New Roman" w:hAnsi="Times New Roman"/>
          <w:b/>
          <w:color w:val="366092"/>
          <w:sz w:val="26"/>
        </w:rPr>
        <w:t>0.3. Feature Engineering &amp; Quyết định về các cột chuỗi</w:t>
      </w:r>
    </w:p>
    <w:p>
      <w:pPr>
        <w:spacing w:after="120" w:line="300" w:lineRule="auto"/>
      </w:pPr>
      <w:r>
        <w:rPr>
          <w:rFonts w:ascii="Times New Roman" w:hAnsi="Times New Roman"/>
          <w:i w:val="0"/>
          <w:color w:val="282828"/>
          <w:sz w:val="22"/>
        </w:rPr>
        <w:t>1. Triệt tiêu Đa cộng tuyến hoàn hảo (Exact Multicollinearity): Kiểm tra kiểm chứng toán học cho thấy: sqft_living = sqft_above + sqft_basement đúng tuyệt đối 100% trên cả 4.548 dòng. Do đó, đưa cả 3 biến vào mô hình tuyến tính (Linear/Ridge và Logistic Regression) sẽ gây suy biến ma trận. Ta quyết định loại bỏ sqft_above và sqft_basement khỏi các mô hình tuyến tính.</w:t>
      </w:r>
    </w:p>
    <w:p>
      <w:pPr>
        <w:spacing w:after="120" w:line="300" w:lineRule="auto"/>
      </w:pPr>
      <w:r>
        <w:rPr>
          <w:rFonts w:ascii="Times New Roman" w:hAnsi="Times New Roman"/>
          <w:i w:val="0"/>
          <w:color w:val="282828"/>
          <w:sz w:val="22"/>
        </w:rPr>
        <w:t>2. Bảo toàn thông tin hữu ích: Để không đánh mất thông tin về tầng hầm và sửa chữa, ta xây dựng 2 biến chỉ báo nhị phân: has_basement = (sqft_basement &gt; 0) và is_renovated = (yr_renovated &gt; 0) (vì cột yr_renovated có hơn 60% số 0).</w:t>
      </w:r>
    </w:p>
    <w:p>
      <w:pPr>
        <w:spacing w:after="120" w:line="300" w:lineRule="auto"/>
      </w:pPr>
      <w:r>
        <w:rPr>
          <w:rFonts w:ascii="Times New Roman" w:hAnsi="Times New Roman"/>
          <w:i w:val="0"/>
          <w:color w:val="282828"/>
          <w:sz w:val="22"/>
        </w:rPr>
        <w:t>3. Xử lý các cột chuỗi: Loại bỏ country (100% USA), date (chỉ 3 tháng hè 2014 không có tính chu kỳ mùa), street (quá 4.500 giá trị phân mảnh) và statezip (77 mã bưu chính trùng lặp phân vùng với city). Thuộc tính city (44 thành phố) được giữ lại làm đại diện vị trí đắc địa và mã hóa qua One-Hot Encoder.</w:t>
      </w:r>
    </w:p>
    <w:p>
      <w:pPr>
        <w:spacing w:after="120" w:line="300" w:lineRule="auto"/>
      </w:pPr>
      <w:r>
        <w:rPr>
          <w:rFonts w:ascii="Times New Roman" w:hAnsi="Times New Roman"/>
          <w:i w:val="0"/>
          <w:color w:val="282828"/>
          <w:sz w:val="22"/>
        </w:rPr>
        <w:t>4. Biến đổi chuẩn hóa Log(1 + x): price, sqft_living và sqft_lot có phân phối lệch phải (right-skewed) cực đoan. Phép biến đổi log giúp đưa các thuộc tính này về phân phối chuông tiệm cận chuẩn Gauss.</w:t>
      </w:r>
    </w:p>
    <w:p>
      <w:pPr>
        <w:spacing w:before="160" w:after="40"/>
        <w:jc w:val="center"/>
      </w:pPr>
      <w:r>
        <w:drawing>
          <wp:inline xmlns:a="http://schemas.openxmlformats.org/drawingml/2006/main" xmlns:pic="http://schemas.openxmlformats.org/drawingml/2006/picture">
            <wp:extent cx="5486400" cy="3066437"/>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486400" cy="3066437"/>
                    </a:xfrm>
                    <a:prstGeom prst="rect"/>
                  </pic:spPr>
                </pic:pic>
              </a:graphicData>
            </a:graphic>
          </wp:inline>
        </w:drawing>
      </w:r>
    </w:p>
    <w:p>
      <w:pPr>
        <w:spacing w:after="200"/>
        <w:jc w:val="center"/>
      </w:pPr>
      <w:r>
        <w:rPr>
          <w:rFonts w:ascii="Times New Roman" w:hAnsi="Times New Roman"/>
          <w:i/>
          <w:color w:val="505050"/>
          <w:sz w:val="19"/>
        </w:rPr>
        <w:t>Hình 0.1: Phân phối của price, sqft_living và sqft_lot trước và sau biến đổi Log(1 + x)</w:t>
      </w:r>
    </w:p>
    <w:p>
      <w:pPr>
        <w:keepNext/>
        <w:spacing w:before="320" w:after="120"/>
      </w:pPr>
      <w:r>
        <w:rPr>
          <w:rFonts w:ascii="Times New Roman" w:hAnsi="Times New Roman"/>
          <w:b/>
          <w:color w:val="1F497D"/>
          <w:sz w:val="30"/>
        </w:rPr>
        <w:t>CHƯƠNG 1: BÀI TOÁN 1 (SUPERVISED REGRESSION) - DỰ ĐOÁN GIÁ NHÀ</w:t>
      </w:r>
    </w:p>
    <w:p>
      <w:pPr>
        <w:keepNext/>
        <w:spacing w:before="240" w:after="80"/>
      </w:pPr>
      <w:r>
        <w:rPr>
          <w:rFonts w:ascii="Times New Roman" w:hAnsi="Times New Roman"/>
          <w:b/>
          <w:color w:val="366092"/>
          <w:sz w:val="26"/>
        </w:rPr>
        <w:t>1.1. Thiết kế bài toán và Pipeline huấn luyện</w:t>
      </w:r>
    </w:p>
    <w:p>
      <w:pPr>
        <w:spacing w:after="120" w:line="300" w:lineRule="auto"/>
      </w:pPr>
      <w:r>
        <w:rPr>
          <w:rFonts w:ascii="Times New Roman" w:hAnsi="Times New Roman"/>
          <w:i w:val="0"/>
          <w:color w:val="282828"/>
          <w:sz w:val="22"/>
        </w:rPr>
        <w:t>Mục tiêu: Dự đoán giá bán căn nhà. Biến mục tiêu là y = log(1 + price). Tập biến độc lập X gồm 11 biến số (đã loại bỏ sqft_above, sqft_basement) và biến phân loại city (One-Hot Encoded qua ColumnTransformer).</w:t>
      </w:r>
    </w:p>
    <w:p>
      <w:pPr>
        <w:spacing w:after="120" w:line="300" w:lineRule="auto"/>
      </w:pPr>
      <w:r>
        <w:rPr>
          <w:rFonts w:ascii="Times New Roman" w:hAnsi="Times New Roman"/>
          <w:i w:val="0"/>
          <w:color w:val="282828"/>
          <w:sz w:val="22"/>
        </w:rPr>
        <w:t>Phương pháp kiểm định: Sử dụng 5-Fold Cross-Validation đồng nhất. Đo lường R2 (log), RMSE (log) và chuyển đổi MAE về đơn vị Dollar USD thực tế theo công thức: MAE = mean(|y_true_USD - expm1(y_pred_log)|).</w:t>
      </w:r>
    </w:p>
    <w:p>
      <w:pPr>
        <w:keepNext/>
        <w:spacing w:before="240" w:after="80"/>
      </w:pPr>
      <w:r>
        <w:rPr>
          <w:rFonts w:ascii="Times New Roman" w:hAnsi="Times New Roman"/>
          <w:b/>
          <w:color w:val="366092"/>
          <w:sz w:val="26"/>
        </w:rPr>
        <w:t>1.2. Kết quả thực nghiệm 5-Fold Cross-Validation</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rPr>
        <w:tc>
          <w:tcPr>
            <w:tcW w:type="dxa" w:w="2592"/>
            <w:shd w:fill="1F497D"/>
          </w:tcPr>
          <w:p>
            <w:pPr>
              <w:jc w:val="center"/>
            </w:pPr>
            <w:r>
              <w:rPr>
                <w:rFonts w:ascii="Times New Roman" w:hAnsi="Times New Roman"/>
                <w:b/>
                <w:color w:val="FFFFFF"/>
                <w:sz w:val="20"/>
              </w:rPr>
              <w:t>Mô hình</w:t>
            </w:r>
          </w:p>
        </w:tc>
        <w:tc>
          <w:tcPr>
            <w:tcW w:type="dxa" w:w="1440"/>
            <w:shd w:fill="1F497D"/>
          </w:tcPr>
          <w:p>
            <w:pPr>
              <w:jc w:val="center"/>
            </w:pPr>
            <w:r>
              <w:rPr>
                <w:rFonts w:ascii="Times New Roman" w:hAnsi="Times New Roman"/>
                <w:b/>
                <w:color w:val="FFFFFF"/>
                <w:sz w:val="20"/>
              </w:rPr>
              <w:t>R² (log) Mean</w:t>
            </w:r>
          </w:p>
        </w:tc>
        <w:tc>
          <w:tcPr>
            <w:tcW w:type="dxa" w:w="1296"/>
            <w:shd w:fill="1F497D"/>
          </w:tcPr>
          <w:p>
            <w:pPr>
              <w:jc w:val="center"/>
            </w:pPr>
            <w:r>
              <w:rPr>
                <w:rFonts w:ascii="Times New Roman" w:hAnsi="Times New Roman"/>
                <w:b/>
                <w:color w:val="FFFFFF"/>
                <w:sz w:val="20"/>
              </w:rPr>
              <w:t>R² (log) Std</w:t>
            </w:r>
          </w:p>
        </w:tc>
        <w:tc>
          <w:tcPr>
            <w:tcW w:type="dxa" w:w="1296"/>
            <w:shd w:fill="1F497D"/>
          </w:tcPr>
          <w:p>
            <w:pPr>
              <w:jc w:val="center"/>
            </w:pPr>
            <w:r>
              <w:rPr>
                <w:rFonts w:ascii="Times New Roman" w:hAnsi="Times New Roman"/>
                <w:b/>
                <w:color w:val="FFFFFF"/>
                <w:sz w:val="20"/>
              </w:rPr>
              <w:t>RMSE (log)</w:t>
            </w:r>
          </w:p>
        </w:tc>
        <w:tc>
          <w:tcPr>
            <w:tcW w:type="dxa" w:w="1872"/>
            <w:shd w:fill="1F497D"/>
          </w:tcPr>
          <w:p>
            <w:pPr>
              <w:jc w:val="center"/>
            </w:pPr>
            <w:r>
              <w:rPr>
                <w:rFonts w:ascii="Times New Roman" w:hAnsi="Times New Roman"/>
                <w:b/>
                <w:color w:val="FFFFFF"/>
                <w:sz w:val="20"/>
              </w:rPr>
              <w:t>MAE (USD) Mean</w:t>
            </w:r>
          </w:p>
        </w:tc>
        <w:tc>
          <w:tcPr>
            <w:tcW w:type="dxa" w:w="1584"/>
            <w:shd w:fill="1F497D"/>
          </w:tcPr>
          <w:p>
            <w:pPr>
              <w:jc w:val="center"/>
            </w:pPr>
            <w:r>
              <w:rPr>
                <w:rFonts w:ascii="Times New Roman" w:hAnsi="Times New Roman"/>
                <w:b/>
                <w:color w:val="FFFFFF"/>
                <w:sz w:val="20"/>
              </w:rPr>
              <w:t>MAE (USD) Std</w:t>
            </w:r>
          </w:p>
        </w:tc>
      </w:tr>
      <w:tr>
        <w:trPr>
          <w:cantSplit/>
        </w:trPr>
        <w:tc>
          <w:tcPr>
            <w:tcW w:type="dxa" w:w="2592"/>
            <w:shd w:fill="F2F2F2"/>
          </w:tcPr>
          <w:p>
            <w:r>
              <w:rPr>
                <w:rFonts w:ascii="Times New Roman" w:hAnsi="Times New Roman"/>
                <w:sz w:val="19"/>
              </w:rPr>
              <w:t>Dummy (Baseline)</w:t>
            </w:r>
          </w:p>
        </w:tc>
        <w:tc>
          <w:tcPr>
            <w:tcW w:type="dxa" w:w="1440"/>
            <w:shd w:fill="F2F2F2"/>
          </w:tcPr>
          <w:p>
            <w:r>
              <w:rPr>
                <w:rFonts w:ascii="Times New Roman" w:hAnsi="Times New Roman"/>
                <w:sz w:val="19"/>
              </w:rPr>
              <w:t>-0.0004</w:t>
            </w:r>
          </w:p>
        </w:tc>
        <w:tc>
          <w:tcPr>
            <w:tcW w:type="dxa" w:w="1296"/>
            <w:shd w:fill="F2F2F2"/>
          </w:tcPr>
          <w:p>
            <w:r>
              <w:rPr>
                <w:rFonts w:ascii="Times New Roman" w:hAnsi="Times New Roman"/>
                <w:sz w:val="19"/>
              </w:rPr>
              <w:t>0.0003</w:t>
            </w:r>
          </w:p>
        </w:tc>
        <w:tc>
          <w:tcPr>
            <w:tcW w:type="dxa" w:w="1296"/>
            <w:shd w:fill="F2F2F2"/>
          </w:tcPr>
          <w:p>
            <w:r>
              <w:rPr>
                <w:rFonts w:ascii="Times New Roman" w:hAnsi="Times New Roman"/>
                <w:sz w:val="19"/>
              </w:rPr>
              <w:t>0.5283</w:t>
            </w:r>
          </w:p>
        </w:tc>
        <w:tc>
          <w:tcPr>
            <w:tcW w:type="dxa" w:w="1872"/>
            <w:shd w:fill="F2F2F2"/>
          </w:tcPr>
          <w:p>
            <w:r>
              <w:rPr>
                <w:rFonts w:ascii="Times New Roman" w:hAnsi="Times New Roman"/>
                <w:sz w:val="19"/>
              </w:rPr>
              <w:t>$230,126</w:t>
            </w:r>
          </w:p>
        </w:tc>
        <w:tc>
          <w:tcPr>
            <w:tcW w:type="dxa" w:w="1584"/>
            <w:shd w:fill="F2F2F2"/>
          </w:tcPr>
          <w:p>
            <w:r>
              <w:rPr>
                <w:rFonts w:ascii="Times New Roman" w:hAnsi="Times New Roman"/>
                <w:sz w:val="19"/>
              </w:rPr>
              <w:t>$3,140</w:t>
            </w:r>
          </w:p>
        </w:tc>
      </w:tr>
      <w:tr>
        <w:trPr>
          <w:cantSplit/>
        </w:trPr>
        <w:tc>
          <w:tcPr>
            <w:tcW w:type="dxa" w:w="2592"/>
          </w:tcPr>
          <w:p>
            <w:r>
              <w:rPr>
                <w:rFonts w:ascii="Times New Roman" w:hAnsi="Times New Roman"/>
                <w:sz w:val="19"/>
              </w:rPr>
              <w:t>Ridge Regression</w:t>
            </w:r>
          </w:p>
        </w:tc>
        <w:tc>
          <w:tcPr>
            <w:tcW w:type="dxa" w:w="1440"/>
          </w:tcPr>
          <w:p>
            <w:r>
              <w:rPr>
                <w:rFonts w:ascii="Times New Roman" w:hAnsi="Times New Roman"/>
                <w:sz w:val="19"/>
              </w:rPr>
              <w:t>0.7061</w:t>
            </w:r>
          </w:p>
        </w:tc>
        <w:tc>
          <w:tcPr>
            <w:tcW w:type="dxa" w:w="1296"/>
          </w:tcPr>
          <w:p>
            <w:r>
              <w:rPr>
                <w:rFonts w:ascii="Times New Roman" w:hAnsi="Times New Roman"/>
                <w:sz w:val="19"/>
              </w:rPr>
              <w:t>0.0152</w:t>
            </w:r>
          </w:p>
        </w:tc>
        <w:tc>
          <w:tcPr>
            <w:tcW w:type="dxa" w:w="1296"/>
          </w:tcPr>
          <w:p>
            <w:r>
              <w:rPr>
                <w:rFonts w:ascii="Times New Roman" w:hAnsi="Times New Roman"/>
                <w:sz w:val="19"/>
              </w:rPr>
              <w:t>0.2863</w:t>
            </w:r>
          </w:p>
        </w:tc>
        <w:tc>
          <w:tcPr>
            <w:tcW w:type="dxa" w:w="1872"/>
          </w:tcPr>
          <w:p>
            <w:r>
              <w:rPr>
                <w:rFonts w:ascii="Times New Roman" w:hAnsi="Times New Roman"/>
                <w:sz w:val="19"/>
              </w:rPr>
              <w:t>$102,502</w:t>
            </w:r>
          </w:p>
        </w:tc>
        <w:tc>
          <w:tcPr>
            <w:tcW w:type="dxa" w:w="1584"/>
          </w:tcPr>
          <w:p>
            <w:r>
              <w:rPr>
                <w:rFonts w:ascii="Times New Roman" w:hAnsi="Times New Roman"/>
                <w:sz w:val="19"/>
              </w:rPr>
              <w:t>$1,564</w:t>
            </w:r>
          </w:p>
        </w:tc>
      </w:tr>
      <w:tr>
        <w:trPr>
          <w:cantSplit/>
        </w:trPr>
        <w:tc>
          <w:tcPr>
            <w:tcW w:type="dxa" w:w="2592"/>
            <w:shd w:fill="F2F2F2"/>
          </w:tcPr>
          <w:p>
            <w:r>
              <w:rPr>
                <w:rFonts w:ascii="Times New Roman" w:hAnsi="Times New Roman"/>
                <w:sz w:val="19"/>
              </w:rPr>
              <w:t>Random Forest</w:t>
            </w:r>
          </w:p>
        </w:tc>
        <w:tc>
          <w:tcPr>
            <w:tcW w:type="dxa" w:w="1440"/>
            <w:shd w:fill="F2F2F2"/>
          </w:tcPr>
          <w:p>
            <w:r>
              <w:rPr>
                <w:rFonts w:ascii="Times New Roman" w:hAnsi="Times New Roman"/>
                <w:sz w:val="19"/>
              </w:rPr>
              <w:t>0.7226</w:t>
            </w:r>
          </w:p>
        </w:tc>
        <w:tc>
          <w:tcPr>
            <w:tcW w:type="dxa" w:w="1296"/>
            <w:shd w:fill="F2F2F2"/>
          </w:tcPr>
          <w:p>
            <w:r>
              <w:rPr>
                <w:rFonts w:ascii="Times New Roman" w:hAnsi="Times New Roman"/>
                <w:sz w:val="19"/>
              </w:rPr>
              <w:t>0.0163</w:t>
            </w:r>
          </w:p>
        </w:tc>
        <w:tc>
          <w:tcPr>
            <w:tcW w:type="dxa" w:w="1296"/>
            <w:shd w:fill="F2F2F2"/>
          </w:tcPr>
          <w:p>
            <w:r>
              <w:rPr>
                <w:rFonts w:ascii="Times New Roman" w:hAnsi="Times New Roman"/>
                <w:sz w:val="19"/>
              </w:rPr>
              <w:t>0.2781</w:t>
            </w:r>
          </w:p>
        </w:tc>
        <w:tc>
          <w:tcPr>
            <w:tcW w:type="dxa" w:w="1872"/>
            <w:shd w:fill="F2F2F2"/>
          </w:tcPr>
          <w:p>
            <w:r>
              <w:rPr>
                <w:rFonts w:ascii="Times New Roman" w:hAnsi="Times New Roman"/>
                <w:sz w:val="19"/>
              </w:rPr>
              <w:t>$98,816</w:t>
            </w:r>
          </w:p>
        </w:tc>
        <w:tc>
          <w:tcPr>
            <w:tcW w:type="dxa" w:w="1584"/>
            <w:shd w:fill="F2F2F2"/>
          </w:tcPr>
          <w:p>
            <w:r>
              <w:rPr>
                <w:rFonts w:ascii="Times New Roman" w:hAnsi="Times New Roman"/>
                <w:sz w:val="19"/>
              </w:rPr>
              <w:t>$1,411</w:t>
            </w:r>
          </w:p>
        </w:tc>
      </w:tr>
    </w:tbl>
    <w:p>
      <w:pPr>
        <w:spacing w:before="160" w:after="40"/>
        <w:jc w:val="center"/>
      </w:pPr>
      <w:r>
        <w:drawing>
          <wp:inline xmlns:a="http://schemas.openxmlformats.org/drawingml/2006/main" xmlns:pic="http://schemas.openxmlformats.org/drawingml/2006/picture">
            <wp:extent cx="5486400" cy="2167239"/>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486400" cy="2167239"/>
                    </a:xfrm>
                    <a:prstGeom prst="rect"/>
                  </pic:spPr>
                </pic:pic>
              </a:graphicData>
            </a:graphic>
          </wp:inline>
        </w:drawing>
      </w:r>
    </w:p>
    <w:p>
      <w:pPr>
        <w:spacing w:after="200"/>
        <w:jc w:val="center"/>
      </w:pPr>
      <w:r>
        <w:rPr>
          <w:rFonts w:ascii="Times New Roman" w:hAnsi="Times New Roman"/>
          <w:i/>
          <w:color w:val="505050"/>
          <w:sz w:val="19"/>
        </w:rPr>
        <w:t>Hình 1.1: Biểu đồ Giá thực tế vs Giá dự đoán và Phân tích Phần dư (Residual Plot)</w:t>
      </w:r>
    </w:p>
    <w:p>
      <w:pPr>
        <w:spacing w:before="160" w:after="40"/>
        <w:jc w:val="center"/>
      </w:pPr>
      <w:r>
        <w:drawing>
          <wp:inline xmlns:a="http://schemas.openxmlformats.org/drawingml/2006/main" xmlns:pic="http://schemas.openxmlformats.org/drawingml/2006/picture">
            <wp:extent cx="5486400" cy="3221700"/>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486400" cy="3221700"/>
                    </a:xfrm>
                    <a:prstGeom prst="rect"/>
                  </pic:spPr>
                </pic:pic>
              </a:graphicData>
            </a:graphic>
          </wp:inline>
        </w:drawing>
      </w:r>
    </w:p>
    <w:p>
      <w:pPr>
        <w:spacing w:after="200"/>
        <w:jc w:val="center"/>
      </w:pPr>
      <w:r>
        <w:rPr>
          <w:rFonts w:ascii="Times New Roman" w:hAnsi="Times New Roman"/>
          <w:i/>
          <w:color w:val="505050"/>
          <w:sz w:val="19"/>
        </w:rPr>
        <w:t>Hình 1.2: Top 15 đặc trưng quan trọng nhất đối với giá nhà từ Random Forest</w:t>
      </w:r>
    </w:p>
    <w:p>
      <w:pPr>
        <w:keepNext/>
        <w:spacing w:before="240" w:after="80"/>
      </w:pPr>
      <w:r>
        <w:rPr>
          <w:rFonts w:ascii="Times New Roman" w:hAnsi="Times New Roman"/>
          <w:b/>
          <w:color w:val="366092"/>
          <w:sz w:val="26"/>
        </w:rPr>
        <w:t>1.3. Nhận xét học thuật Bài toán 1</w:t>
      </w:r>
    </w:p>
    <w:p>
      <w:pPr>
        <w:pStyle w:val="ListBullet"/>
        <w:spacing w:after="80" w:line="288" w:lineRule="auto"/>
      </w:pPr>
      <w:r>
        <w:rPr>
          <w:rFonts w:ascii="Times New Roman" w:hAnsi="Times New Roman"/>
          <w:b/>
          <w:sz w:val="22"/>
        </w:rPr>
        <w:t>1. Hiệu năng vượt trội so với Baseline:</w:t>
      </w:r>
      <w:r>
        <w:rPr>
          <w:rFonts w:ascii="Times New Roman" w:hAnsi="Times New Roman"/>
          <w:sz w:val="22"/>
        </w:rPr>
        <w:t xml:space="preserve"> Mô hình Random Forest vượt trội hoàn toàn so với mô hình sàn Dummy (R2 âm lên 0.723) và nhỉnh hơn Ridge. Sai số MAE giảm hơn 131.000 USD so với việc chỉ đoán giá trung bình.</w:t>
      </w:r>
    </w:p>
    <w:p>
      <w:pPr>
        <w:pStyle w:val="ListBullet"/>
        <w:spacing w:after="80" w:line="288" w:lineRule="auto"/>
      </w:pPr>
      <w:r>
        <w:rPr>
          <w:rFonts w:ascii="Times New Roman" w:hAnsi="Times New Roman"/>
          <w:b/>
          <w:sz w:val="22"/>
        </w:rPr>
        <w:t>2. Đối sánh R2 thang Log vs thang USD gốc:</w:t>
      </w:r>
      <w:r>
        <w:rPr>
          <w:rFonts w:ascii="Times New Roman" w:hAnsi="Times New Roman"/>
          <w:sz w:val="22"/>
        </w:rPr>
        <w:t xml:space="preserve"> Trên tập test, R2 trên thang log đạt 0.7226, trong khi R2 trên thang USD gốc đạt 0.6678. Đây là hiện tượng tự nhiên về mặt thống kê: hàm loss tối ưu sai số tương đối trên log, trong khi ở thang USD gốc, một vài căn biệt thự giá cao có phần dư lớn làm thổi phồng SS_res, kéo giảm R2 trên thang tiền tệ.</w:t>
      </w:r>
    </w:p>
    <w:p>
      <w:pPr>
        <w:pStyle w:val="ListBullet"/>
        <w:spacing w:after="80" w:line="288" w:lineRule="auto"/>
      </w:pPr>
      <w:r>
        <w:rPr>
          <w:rFonts w:ascii="Times New Roman" w:hAnsi="Times New Roman"/>
          <w:b/>
          <w:sz w:val="22"/>
        </w:rPr>
        <w:t>3. Yếu tố chi phối:</w:t>
      </w:r>
      <w:r>
        <w:rPr>
          <w:rFonts w:ascii="Times New Roman" w:hAnsi="Times New Roman"/>
          <w:sz w:val="22"/>
        </w:rPr>
        <w:t xml:space="preserve"> sqft_living là yếu tố đơn lẻ quyết định lớn nhất đến giá trị tài sản, tiếp theo là vị trí địa lý đắc địa (Seattle, Bellevue) và năm xây dựng (yr_built).</w:t>
      </w:r>
    </w:p>
    <w:p>
      <w:pPr>
        <w:keepNext/>
        <w:spacing w:before="320" w:after="120"/>
      </w:pPr>
      <w:r>
        <w:rPr>
          <w:rFonts w:ascii="Times New Roman" w:hAnsi="Times New Roman"/>
          <w:b/>
          <w:color w:val="1F497D"/>
          <w:sz w:val="30"/>
        </w:rPr>
        <w:t>CHƯƠNG 2: BÀI TOÁN 2 (SUPERVISED REGRESSION) - DỰ ĐOÁN DIỆN TÍCH NHÀ</w:t>
      </w:r>
    </w:p>
    <w:p>
      <w:pPr>
        <w:keepNext/>
        <w:spacing w:before="240" w:after="80"/>
      </w:pPr>
      <w:r>
        <w:rPr>
          <w:rFonts w:ascii="Times New Roman" w:hAnsi="Times New Roman"/>
          <w:b/>
          <w:color w:val="366092"/>
          <w:sz w:val="26"/>
        </w:rPr>
        <w:t>2.1. Phân biệt Data Leakage &amp; Quyết định Thiết kế Bài toán</w:t>
      </w:r>
    </w:p>
    <w:p>
      <w:pPr>
        <w:spacing w:after="120" w:line="300" w:lineRule="auto"/>
      </w:pPr>
      <w:r>
        <w:rPr>
          <w:rFonts w:ascii="Times New Roman" w:hAnsi="Times New Roman"/>
          <w:i w:val="0"/>
          <w:color w:val="282828"/>
          <w:sz w:val="22"/>
        </w:rPr>
        <w:t>Trong bài toán dự đoán diện tích sinh hoạt (sqft_living):</w:t>
      </w:r>
    </w:p>
    <w:p>
      <w:pPr>
        <w:pStyle w:val="ListBullet"/>
        <w:spacing w:after="80" w:line="288" w:lineRule="auto"/>
      </w:pPr>
      <w:r>
        <w:rPr>
          <w:rFonts w:ascii="Times New Roman" w:hAnsi="Times New Roman"/>
          <w:b/>
          <w:sz w:val="22"/>
        </w:rPr>
        <w:t>Chống rò rỉ dữ liệu (No Data Leakage):</w:t>
      </w:r>
      <w:r>
        <w:rPr>
          <w:rFonts w:ascii="Times New Roman" w:hAnsi="Times New Roman"/>
          <w:sz w:val="22"/>
        </w:rPr>
        <w:t xml:space="preserve"> Tuyệt đối không đưa sqft_above và sqft_basement vào vì tổng của chúng chính là sqft_living. Đưa vào sẽ tạo ra mô hình học vẹt tầm thường.</w:t>
      </w:r>
    </w:p>
    <w:p>
      <w:pPr>
        <w:pStyle w:val="ListBullet"/>
        <w:spacing w:after="80" w:line="288" w:lineRule="auto"/>
      </w:pPr>
      <w:r>
        <w:rPr>
          <w:rFonts w:ascii="Times New Roman" w:hAnsi="Times New Roman"/>
          <w:b/>
          <w:sz w:val="22"/>
        </w:rPr>
        <w:t>Quyết định thiết kế bài toán (Problem Formulation):</w:t>
      </w:r>
      <w:r>
        <w:rPr>
          <w:rFonts w:ascii="Times New Roman" w:hAnsi="Times New Roman"/>
          <w:sz w:val="22"/>
        </w:rPr>
        <w:t xml:space="preserve"> Tuyệt đối không dùng price để dự đoán sqft_living. Trong chuỗi kinh tế, diện tích là nguyên nhân tạo ra giá bán (nguyên nhân -&gt; kết quả). Trong thực tế, không ai biết giá bán trước để đi đoán diện tích.</w:t>
      </w:r>
    </w:p>
    <w:p>
      <w:pPr>
        <w:keepNext/>
        <w:spacing w:before="240" w:after="80"/>
      </w:pPr>
      <w:r>
        <w:rPr>
          <w:rFonts w:ascii="Times New Roman" w:hAnsi="Times New Roman"/>
          <w:b/>
          <w:color w:val="366092"/>
          <w:sz w:val="26"/>
        </w:rPr>
        <w:t>2.2. Thực nghiệm đối chứng có/không city và price (5-Fold CV)</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rPr>
        <w:tc>
          <w:tcPr>
            <w:tcW w:type="dxa" w:w="3600"/>
            <w:shd w:fill="1F497D"/>
          </w:tcPr>
          <w:p>
            <w:pPr>
              <w:jc w:val="center"/>
            </w:pPr>
            <w:r>
              <w:rPr>
                <w:rFonts w:ascii="Times New Roman" w:hAnsi="Times New Roman"/>
                <w:b/>
                <w:color w:val="FFFFFF"/>
                <w:sz w:val="20"/>
              </w:rPr>
              <w:t>Cấu hình Feature</w:t>
            </w:r>
          </w:p>
        </w:tc>
        <w:tc>
          <w:tcPr>
            <w:tcW w:type="dxa" w:w="1152"/>
            <w:shd w:fill="1F497D"/>
          </w:tcPr>
          <w:p>
            <w:pPr>
              <w:jc w:val="center"/>
            </w:pPr>
            <w:r>
              <w:rPr>
                <w:rFonts w:ascii="Times New Roman" w:hAnsi="Times New Roman"/>
                <w:b/>
                <w:color w:val="FFFFFF"/>
                <w:sz w:val="20"/>
              </w:rPr>
              <w:t>Số chiều</w:t>
            </w:r>
          </w:p>
        </w:tc>
        <w:tc>
          <w:tcPr>
            <w:tcW w:type="dxa" w:w="1296"/>
            <w:shd w:fill="1F497D"/>
          </w:tcPr>
          <w:p>
            <w:pPr>
              <w:jc w:val="center"/>
            </w:pPr>
            <w:r>
              <w:rPr>
                <w:rFonts w:ascii="Times New Roman" w:hAnsi="Times New Roman"/>
                <w:b/>
                <w:color w:val="FFFFFF"/>
                <w:sz w:val="20"/>
              </w:rPr>
              <w:t>R² Mean</w:t>
            </w:r>
          </w:p>
        </w:tc>
        <w:tc>
          <w:tcPr>
            <w:tcW w:type="dxa" w:w="1152"/>
            <w:shd w:fill="1F497D"/>
          </w:tcPr>
          <w:p>
            <w:pPr>
              <w:jc w:val="center"/>
            </w:pPr>
            <w:r>
              <w:rPr>
                <w:rFonts w:ascii="Times New Roman" w:hAnsi="Times New Roman"/>
                <w:b/>
                <w:color w:val="FFFFFF"/>
                <w:sz w:val="20"/>
              </w:rPr>
              <w:t>R² Std</w:t>
            </w:r>
          </w:p>
        </w:tc>
        <w:tc>
          <w:tcPr>
            <w:tcW w:type="dxa" w:w="1872"/>
            <w:shd w:fill="1F497D"/>
          </w:tcPr>
          <w:p>
            <w:pPr>
              <w:jc w:val="center"/>
            </w:pPr>
            <w:r>
              <w:rPr>
                <w:rFonts w:ascii="Times New Roman" w:hAnsi="Times New Roman"/>
                <w:b/>
                <w:color w:val="FFFFFF"/>
                <w:sz w:val="20"/>
              </w:rPr>
              <w:t>MAE Mean (sqft)</w:t>
            </w:r>
          </w:p>
        </w:tc>
        <w:tc>
          <w:tcPr>
            <w:tcW w:type="dxa" w:w="1584"/>
            <w:shd w:fill="1F497D"/>
          </w:tcPr>
          <w:p>
            <w:pPr>
              <w:jc w:val="center"/>
            </w:pPr>
            <w:r>
              <w:rPr>
                <w:rFonts w:ascii="Times New Roman" w:hAnsi="Times New Roman"/>
                <w:b/>
                <w:color w:val="FFFFFF"/>
                <w:sz w:val="20"/>
              </w:rPr>
              <w:t>MAE Std (sqft)</w:t>
            </w:r>
          </w:p>
        </w:tc>
      </w:tr>
      <w:tr>
        <w:trPr>
          <w:cantSplit/>
        </w:trPr>
        <w:tc>
          <w:tcPr>
            <w:tcW w:type="dxa" w:w="3600"/>
            <w:shd w:fill="F2F2F2"/>
          </w:tcPr>
          <w:p>
            <w:r>
              <w:rPr>
                <w:rFonts w:ascii="Times New Roman" w:hAnsi="Times New Roman"/>
                <w:sz w:val="19"/>
              </w:rPr>
              <w:t>Cơ bản (Không city, Không price)</w:t>
            </w:r>
          </w:p>
        </w:tc>
        <w:tc>
          <w:tcPr>
            <w:tcW w:type="dxa" w:w="1152"/>
            <w:shd w:fill="F2F2F2"/>
          </w:tcPr>
          <w:p>
            <w:r>
              <w:rPr>
                <w:rFonts w:ascii="Times New Roman" w:hAnsi="Times New Roman"/>
                <w:sz w:val="19"/>
              </w:rPr>
              <w:t>10</w:t>
            </w:r>
          </w:p>
        </w:tc>
        <w:tc>
          <w:tcPr>
            <w:tcW w:type="dxa" w:w="1296"/>
            <w:shd w:fill="F2F2F2"/>
          </w:tcPr>
          <w:p>
            <w:r>
              <w:rPr>
                <w:rFonts w:ascii="Times New Roman" w:hAnsi="Times New Roman"/>
                <w:sz w:val="19"/>
              </w:rPr>
              <w:t>0.7116</w:t>
            </w:r>
          </w:p>
        </w:tc>
        <w:tc>
          <w:tcPr>
            <w:tcW w:type="dxa" w:w="1152"/>
            <w:shd w:fill="F2F2F2"/>
          </w:tcPr>
          <w:p>
            <w:r>
              <w:rPr>
                <w:rFonts w:ascii="Times New Roman" w:hAnsi="Times New Roman"/>
                <w:sz w:val="19"/>
              </w:rPr>
              <w:t>0.0134</w:t>
            </w:r>
          </w:p>
        </w:tc>
        <w:tc>
          <w:tcPr>
            <w:tcW w:type="dxa" w:w="1872"/>
            <w:shd w:fill="F2F2F2"/>
          </w:tcPr>
          <w:p>
            <w:r>
              <w:rPr>
                <w:rFonts w:ascii="Times New Roman" w:hAnsi="Times New Roman"/>
                <w:sz w:val="19"/>
              </w:rPr>
              <w:t>366.78 sqft</w:t>
            </w:r>
          </w:p>
        </w:tc>
        <w:tc>
          <w:tcPr>
            <w:tcW w:type="dxa" w:w="1584"/>
            <w:shd w:fill="F2F2F2"/>
          </w:tcPr>
          <w:p>
            <w:r>
              <w:rPr>
                <w:rFonts w:ascii="Times New Roman" w:hAnsi="Times New Roman"/>
                <w:sz w:val="19"/>
              </w:rPr>
              <w:t>6.50 sqft</w:t>
            </w:r>
          </w:p>
        </w:tc>
      </w:tr>
      <w:tr>
        <w:trPr>
          <w:cantSplit/>
        </w:trPr>
        <w:tc>
          <w:tcPr>
            <w:tcW w:type="dxa" w:w="3600"/>
          </w:tcPr>
          <w:p>
            <w:r>
              <w:rPr>
                <w:rFonts w:ascii="Times New Roman" w:hAnsi="Times New Roman"/>
                <w:sz w:val="19"/>
              </w:rPr>
              <w:t>Chuẩn (Có city, Không price)</w:t>
            </w:r>
          </w:p>
        </w:tc>
        <w:tc>
          <w:tcPr>
            <w:tcW w:type="dxa" w:w="1152"/>
          </w:tcPr>
          <w:p>
            <w:r>
              <w:rPr>
                <w:rFonts w:ascii="Times New Roman" w:hAnsi="Times New Roman"/>
                <w:sz w:val="19"/>
              </w:rPr>
              <w:t>54</w:t>
            </w:r>
          </w:p>
        </w:tc>
        <w:tc>
          <w:tcPr>
            <w:tcW w:type="dxa" w:w="1296"/>
          </w:tcPr>
          <w:p>
            <w:r>
              <w:rPr>
                <w:rFonts w:ascii="Times New Roman" w:hAnsi="Times New Roman"/>
                <w:sz w:val="19"/>
              </w:rPr>
              <w:t>0.7302</w:t>
            </w:r>
          </w:p>
        </w:tc>
        <w:tc>
          <w:tcPr>
            <w:tcW w:type="dxa" w:w="1152"/>
          </w:tcPr>
          <w:p>
            <w:r>
              <w:rPr>
                <w:rFonts w:ascii="Times New Roman" w:hAnsi="Times New Roman"/>
                <w:sz w:val="19"/>
              </w:rPr>
              <w:t>0.0136</w:t>
            </w:r>
          </w:p>
        </w:tc>
        <w:tc>
          <w:tcPr>
            <w:tcW w:type="dxa" w:w="1872"/>
          </w:tcPr>
          <w:p>
            <w:r>
              <w:rPr>
                <w:rFonts w:ascii="Times New Roman" w:hAnsi="Times New Roman"/>
                <w:sz w:val="19"/>
              </w:rPr>
              <w:t>348.69 sqft</w:t>
            </w:r>
          </w:p>
        </w:tc>
        <w:tc>
          <w:tcPr>
            <w:tcW w:type="dxa" w:w="1584"/>
          </w:tcPr>
          <w:p>
            <w:r>
              <w:rPr>
                <w:rFonts w:ascii="Times New Roman" w:hAnsi="Times New Roman"/>
                <w:sz w:val="19"/>
              </w:rPr>
              <w:t>7.66 sqft</w:t>
            </w:r>
          </w:p>
        </w:tc>
      </w:tr>
      <w:tr>
        <w:trPr>
          <w:cantSplit/>
        </w:trPr>
        <w:tc>
          <w:tcPr>
            <w:tcW w:type="dxa" w:w="3600"/>
            <w:shd w:fill="F2F2F2"/>
          </w:tcPr>
          <w:p>
            <w:r>
              <w:rPr>
                <w:rFonts w:ascii="Times New Roman" w:hAnsi="Times New Roman"/>
                <w:sz w:val="19"/>
              </w:rPr>
              <w:t>Thử nghiệm (Có cả city VÀ price)</w:t>
            </w:r>
          </w:p>
        </w:tc>
        <w:tc>
          <w:tcPr>
            <w:tcW w:type="dxa" w:w="1152"/>
            <w:shd w:fill="F2F2F2"/>
          </w:tcPr>
          <w:p>
            <w:r>
              <w:rPr>
                <w:rFonts w:ascii="Times New Roman" w:hAnsi="Times New Roman"/>
                <w:sz w:val="19"/>
              </w:rPr>
              <w:t>55</w:t>
            </w:r>
          </w:p>
        </w:tc>
        <w:tc>
          <w:tcPr>
            <w:tcW w:type="dxa" w:w="1296"/>
            <w:shd w:fill="F2F2F2"/>
          </w:tcPr>
          <w:p>
            <w:r>
              <w:rPr>
                <w:rFonts w:ascii="Times New Roman" w:hAnsi="Times New Roman"/>
                <w:sz w:val="19"/>
              </w:rPr>
              <w:t>0.7937</w:t>
            </w:r>
          </w:p>
        </w:tc>
        <w:tc>
          <w:tcPr>
            <w:tcW w:type="dxa" w:w="1152"/>
            <w:shd w:fill="F2F2F2"/>
          </w:tcPr>
          <w:p>
            <w:r>
              <w:rPr>
                <w:rFonts w:ascii="Times New Roman" w:hAnsi="Times New Roman"/>
                <w:sz w:val="19"/>
              </w:rPr>
              <w:t>0.0112</w:t>
            </w:r>
          </w:p>
        </w:tc>
        <w:tc>
          <w:tcPr>
            <w:tcW w:type="dxa" w:w="1872"/>
            <w:shd w:fill="F2F2F2"/>
          </w:tcPr>
          <w:p>
            <w:r>
              <w:rPr>
                <w:rFonts w:ascii="Times New Roman" w:hAnsi="Times New Roman"/>
                <w:sz w:val="19"/>
              </w:rPr>
              <w:t>296.88 sqft</w:t>
            </w:r>
          </w:p>
        </w:tc>
        <w:tc>
          <w:tcPr>
            <w:tcW w:type="dxa" w:w="1584"/>
            <w:shd w:fill="F2F2F2"/>
          </w:tcPr>
          <w:p>
            <w:r>
              <w:rPr>
                <w:rFonts w:ascii="Times New Roman" w:hAnsi="Times New Roman"/>
                <w:sz w:val="19"/>
              </w:rPr>
              <w:t>7.15 sqft</w:t>
            </w:r>
          </w:p>
        </w:tc>
      </w:tr>
    </w:tbl>
    <w:p>
      <w:pPr>
        <w:spacing w:after="120" w:line="300" w:lineRule="auto"/>
      </w:pPr>
      <w:r>
        <w:rPr>
          <w:rFonts w:ascii="Times New Roman" w:hAnsi="Times New Roman"/>
          <w:i w:val="0"/>
          <w:color w:val="282828"/>
          <w:sz w:val="22"/>
        </w:rPr>
        <w:t>Thực nghiệm chứng minh: Thêm price làm tăng R2 lên 0.79, nhưng ta chủ động loại bỏ vì tuân thủ hướng nhân quả. Việc thêm city giúp giảm sai số tuyệt đối ~18 sqft, phản ánh quy mô kiến trúc theo từng khu vực đô thị.</w:t>
      </w:r>
    </w:p>
    <w:p>
      <w:pPr>
        <w:keepNext/>
        <w:spacing w:before="240" w:after="80"/>
      </w:pPr>
      <w:r>
        <w:rPr>
          <w:rFonts w:ascii="Times New Roman" w:hAnsi="Times New Roman"/>
          <w:b/>
          <w:color w:val="366092"/>
          <w:sz w:val="26"/>
        </w:rPr>
        <w:t>2.3. Kết quả mô hình chính thức Bài toán 2 (5-Fold CV)</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2880"/>
            <w:shd w:fill="1F497D"/>
          </w:tcPr>
          <w:p>
            <w:pPr>
              <w:jc w:val="center"/>
            </w:pPr>
            <w:r>
              <w:rPr>
                <w:rFonts w:ascii="Times New Roman" w:hAnsi="Times New Roman"/>
                <w:b/>
                <w:color w:val="FFFFFF"/>
                <w:sz w:val="20"/>
              </w:rPr>
              <w:t>Mô hình</w:t>
            </w:r>
          </w:p>
        </w:tc>
        <w:tc>
          <w:tcPr>
            <w:tcW w:type="dxa" w:w="1584"/>
            <w:shd w:fill="1F497D"/>
          </w:tcPr>
          <w:p>
            <w:pPr>
              <w:jc w:val="center"/>
            </w:pPr>
            <w:r>
              <w:rPr>
                <w:rFonts w:ascii="Times New Roman" w:hAnsi="Times New Roman"/>
                <w:b/>
                <w:color w:val="FFFFFF"/>
                <w:sz w:val="20"/>
              </w:rPr>
              <w:t>R² Mean</w:t>
            </w:r>
          </w:p>
        </w:tc>
        <w:tc>
          <w:tcPr>
            <w:tcW w:type="dxa" w:w="1584"/>
            <w:shd w:fill="1F497D"/>
          </w:tcPr>
          <w:p>
            <w:pPr>
              <w:jc w:val="center"/>
            </w:pPr>
            <w:r>
              <w:rPr>
                <w:rFonts w:ascii="Times New Roman" w:hAnsi="Times New Roman"/>
                <w:b/>
                <w:color w:val="FFFFFF"/>
                <w:sz w:val="20"/>
              </w:rPr>
              <w:t>R² Std</w:t>
            </w:r>
          </w:p>
        </w:tc>
        <w:tc>
          <w:tcPr>
            <w:tcW w:type="dxa" w:w="2160"/>
            <w:shd w:fill="1F497D"/>
          </w:tcPr>
          <w:p>
            <w:pPr>
              <w:jc w:val="center"/>
            </w:pPr>
            <w:r>
              <w:rPr>
                <w:rFonts w:ascii="Times New Roman" w:hAnsi="Times New Roman"/>
                <w:b/>
                <w:color w:val="FFFFFF"/>
                <w:sz w:val="20"/>
              </w:rPr>
              <w:t>MAE Mean (sqft)</w:t>
            </w:r>
          </w:p>
        </w:tc>
        <w:tc>
          <w:tcPr>
            <w:tcW w:type="dxa" w:w="1872"/>
            <w:shd w:fill="1F497D"/>
          </w:tcPr>
          <w:p>
            <w:pPr>
              <w:jc w:val="center"/>
            </w:pPr>
            <w:r>
              <w:rPr>
                <w:rFonts w:ascii="Times New Roman" w:hAnsi="Times New Roman"/>
                <w:b/>
                <w:color w:val="FFFFFF"/>
                <w:sz w:val="20"/>
              </w:rPr>
              <w:t>MAE Std (sqft)</w:t>
            </w:r>
          </w:p>
        </w:tc>
      </w:tr>
      <w:tr>
        <w:trPr>
          <w:cantSplit/>
        </w:trPr>
        <w:tc>
          <w:tcPr>
            <w:tcW w:type="dxa" w:w="2880"/>
            <w:shd w:fill="F2F2F2"/>
          </w:tcPr>
          <w:p>
            <w:r>
              <w:rPr>
                <w:rFonts w:ascii="Times New Roman" w:hAnsi="Times New Roman"/>
                <w:sz w:val="19"/>
              </w:rPr>
              <w:t>Dummy (Baseline)</w:t>
            </w:r>
          </w:p>
        </w:tc>
        <w:tc>
          <w:tcPr>
            <w:tcW w:type="dxa" w:w="1584"/>
            <w:shd w:fill="F2F2F2"/>
          </w:tcPr>
          <w:p>
            <w:r>
              <w:rPr>
                <w:rFonts w:ascii="Times New Roman" w:hAnsi="Times New Roman"/>
                <w:sz w:val="19"/>
              </w:rPr>
              <w:t>-0.0003</w:t>
            </w:r>
          </w:p>
        </w:tc>
        <w:tc>
          <w:tcPr>
            <w:tcW w:type="dxa" w:w="1584"/>
            <w:shd w:fill="F2F2F2"/>
          </w:tcPr>
          <w:p>
            <w:r>
              <w:rPr>
                <w:rFonts w:ascii="Times New Roman" w:hAnsi="Times New Roman"/>
                <w:sz w:val="19"/>
              </w:rPr>
              <w:t>0.0004</w:t>
            </w:r>
          </w:p>
        </w:tc>
        <w:tc>
          <w:tcPr>
            <w:tcW w:type="dxa" w:w="2160"/>
            <w:shd w:fill="F2F2F2"/>
          </w:tcPr>
          <w:p>
            <w:r>
              <w:rPr>
                <w:rFonts w:ascii="Times New Roman" w:hAnsi="Times New Roman"/>
                <w:sz w:val="19"/>
              </w:rPr>
              <w:t>716.60 sqft</w:t>
            </w:r>
          </w:p>
        </w:tc>
        <w:tc>
          <w:tcPr>
            <w:tcW w:type="dxa" w:w="1872"/>
            <w:shd w:fill="F2F2F2"/>
          </w:tcPr>
          <w:p>
            <w:r>
              <w:rPr>
                <w:rFonts w:ascii="Times New Roman" w:hAnsi="Times New Roman"/>
                <w:sz w:val="19"/>
              </w:rPr>
              <w:t>10.37 sqft</w:t>
            </w:r>
          </w:p>
        </w:tc>
      </w:tr>
      <w:tr>
        <w:trPr>
          <w:cantSplit/>
        </w:trPr>
        <w:tc>
          <w:tcPr>
            <w:tcW w:type="dxa" w:w="2880"/>
          </w:tcPr>
          <w:p>
            <w:r>
              <w:rPr>
                <w:rFonts w:ascii="Times New Roman" w:hAnsi="Times New Roman"/>
                <w:sz w:val="19"/>
              </w:rPr>
              <w:t>Ridge Regression</w:t>
            </w:r>
          </w:p>
        </w:tc>
        <w:tc>
          <w:tcPr>
            <w:tcW w:type="dxa" w:w="1584"/>
          </w:tcPr>
          <w:p>
            <w:r>
              <w:rPr>
                <w:rFonts w:ascii="Times New Roman" w:hAnsi="Times New Roman"/>
                <w:sz w:val="19"/>
              </w:rPr>
              <w:t>0.6924</w:t>
            </w:r>
          </w:p>
        </w:tc>
        <w:tc>
          <w:tcPr>
            <w:tcW w:type="dxa" w:w="1584"/>
          </w:tcPr>
          <w:p>
            <w:r>
              <w:rPr>
                <w:rFonts w:ascii="Times New Roman" w:hAnsi="Times New Roman"/>
                <w:sz w:val="19"/>
              </w:rPr>
              <w:t>0.0118</w:t>
            </w:r>
          </w:p>
        </w:tc>
        <w:tc>
          <w:tcPr>
            <w:tcW w:type="dxa" w:w="2160"/>
          </w:tcPr>
          <w:p>
            <w:r>
              <w:rPr>
                <w:rFonts w:ascii="Times New Roman" w:hAnsi="Times New Roman"/>
                <w:sz w:val="19"/>
              </w:rPr>
              <w:t>378.11 sqft</w:t>
            </w:r>
          </w:p>
        </w:tc>
        <w:tc>
          <w:tcPr>
            <w:tcW w:type="dxa" w:w="1872"/>
          </w:tcPr>
          <w:p>
            <w:r>
              <w:rPr>
                <w:rFonts w:ascii="Times New Roman" w:hAnsi="Times New Roman"/>
                <w:sz w:val="19"/>
              </w:rPr>
              <w:t>8.21 sqft</w:t>
            </w:r>
          </w:p>
        </w:tc>
      </w:tr>
      <w:tr>
        <w:trPr>
          <w:cantSplit/>
        </w:trPr>
        <w:tc>
          <w:tcPr>
            <w:tcW w:type="dxa" w:w="2880"/>
            <w:shd w:fill="F2F2F2"/>
          </w:tcPr>
          <w:p>
            <w:r>
              <w:rPr>
                <w:rFonts w:ascii="Times New Roman" w:hAnsi="Times New Roman"/>
                <w:sz w:val="19"/>
              </w:rPr>
              <w:t>Random Forest</w:t>
            </w:r>
          </w:p>
        </w:tc>
        <w:tc>
          <w:tcPr>
            <w:tcW w:type="dxa" w:w="1584"/>
            <w:shd w:fill="F2F2F2"/>
          </w:tcPr>
          <w:p>
            <w:r>
              <w:rPr>
                <w:rFonts w:ascii="Times New Roman" w:hAnsi="Times New Roman"/>
                <w:sz w:val="19"/>
              </w:rPr>
              <w:t>0.7302</w:t>
            </w:r>
          </w:p>
        </w:tc>
        <w:tc>
          <w:tcPr>
            <w:tcW w:type="dxa" w:w="1584"/>
            <w:shd w:fill="F2F2F2"/>
          </w:tcPr>
          <w:p>
            <w:r>
              <w:rPr>
                <w:rFonts w:ascii="Times New Roman" w:hAnsi="Times New Roman"/>
                <w:sz w:val="19"/>
              </w:rPr>
              <w:t>0.0136</w:t>
            </w:r>
          </w:p>
        </w:tc>
        <w:tc>
          <w:tcPr>
            <w:tcW w:type="dxa" w:w="2160"/>
            <w:shd w:fill="F2F2F2"/>
          </w:tcPr>
          <w:p>
            <w:r>
              <w:rPr>
                <w:rFonts w:ascii="Times New Roman" w:hAnsi="Times New Roman"/>
                <w:sz w:val="19"/>
              </w:rPr>
              <w:t>348.69 sqft</w:t>
            </w:r>
          </w:p>
        </w:tc>
        <w:tc>
          <w:tcPr>
            <w:tcW w:type="dxa" w:w="1872"/>
            <w:shd w:fill="F2F2F2"/>
          </w:tcPr>
          <w:p>
            <w:r>
              <w:rPr>
                <w:rFonts w:ascii="Times New Roman" w:hAnsi="Times New Roman"/>
                <w:sz w:val="19"/>
              </w:rPr>
              <w:t>7.66 sqft</w:t>
            </w:r>
          </w:p>
        </w:tc>
      </w:tr>
    </w:tbl>
    <w:p>
      <w:pPr>
        <w:spacing w:before="160" w:after="40"/>
        <w:jc w:val="center"/>
      </w:pPr>
      <w:r>
        <w:drawing>
          <wp:inline xmlns:a="http://schemas.openxmlformats.org/drawingml/2006/main" xmlns:pic="http://schemas.openxmlformats.org/drawingml/2006/picture">
            <wp:extent cx="5486400" cy="3778436"/>
            <wp:docPr id="4" name="Picture 4"/>
            <wp:cNvGraphicFramePr>
              <a:graphicFrameLocks noChangeAspect="1"/>
            </wp:cNvGraphicFramePr>
            <a:graphic>
              <a:graphicData uri="http://schemas.openxmlformats.org/drawingml/2006/picture">
                <pic:pic>
                  <pic:nvPicPr>
                    <pic:cNvPr id="0" name="figure_4.png"/>
                    <pic:cNvPicPr/>
                  </pic:nvPicPr>
                  <pic:blipFill>
                    <a:blip r:embed="rId12"/>
                    <a:stretch>
                      <a:fillRect/>
                    </a:stretch>
                  </pic:blipFill>
                  <pic:spPr>
                    <a:xfrm>
                      <a:off x="0" y="0"/>
                      <a:ext cx="5486400" cy="3778436"/>
                    </a:xfrm>
                    <a:prstGeom prst="rect"/>
                  </pic:spPr>
                </pic:pic>
              </a:graphicData>
            </a:graphic>
          </wp:inline>
        </w:drawing>
      </w:r>
    </w:p>
    <w:p>
      <w:pPr>
        <w:spacing w:after="200"/>
        <w:jc w:val="center"/>
      </w:pPr>
      <w:r>
        <w:rPr>
          <w:rFonts w:ascii="Times New Roman" w:hAnsi="Times New Roman"/>
          <w:i/>
          <w:color w:val="505050"/>
          <w:sz w:val="19"/>
        </w:rPr>
        <w:t>Hình 2.1: Biểu đồ Diện tích thực tế vs Diện tích dự đoán (sqft_living)</w:t>
      </w:r>
    </w:p>
    <w:p>
      <w:pPr>
        <w:keepNext/>
        <w:spacing w:before="320" w:after="120"/>
      </w:pPr>
      <w:r>
        <w:rPr>
          <w:rFonts w:ascii="Times New Roman" w:hAnsi="Times New Roman"/>
          <w:b/>
          <w:color w:val="1F497D"/>
          <w:sz w:val="30"/>
        </w:rPr>
        <w:t>CHƯƠNG 3: BÀI TOÁN 3 (SUPERVISED CLASSIFICATION) - PHÂN LOẠI NHÀ GIÁ CAO / THẤP</w:t>
      </w:r>
    </w:p>
    <w:p>
      <w:pPr>
        <w:keepNext/>
        <w:spacing w:before="240" w:after="80"/>
      </w:pPr>
      <w:r>
        <w:rPr>
          <w:rFonts w:ascii="Times New Roman" w:hAnsi="Times New Roman"/>
          <w:b/>
          <w:color w:val="366092"/>
          <w:sz w:val="26"/>
        </w:rPr>
        <w:t>3.1. Thiết kế bài toán phân loại nhị phân</w:t>
      </w:r>
    </w:p>
    <w:p>
      <w:pPr>
        <w:spacing w:after="120" w:line="300" w:lineRule="auto"/>
      </w:pPr>
      <w:r>
        <w:rPr>
          <w:rFonts w:ascii="Times New Roman" w:hAnsi="Times New Roman"/>
          <w:i w:val="0"/>
          <w:color w:val="282828"/>
          <w:sz w:val="22"/>
        </w:rPr>
        <w:t>Tạo nhãn: y = 1 nếu price &gt; median(price) ($465.000 USD), ngược lại y = 0. Tập nhãn cân bằng hoàn hảo (2.286 căn thấp vs 2.262 căn cao).</w:t>
      </w:r>
    </w:p>
    <w:p>
      <w:pPr>
        <w:spacing w:after="120" w:line="300" w:lineRule="auto"/>
      </w:pPr>
      <w:r>
        <w:rPr>
          <w:rFonts w:ascii="Times New Roman" w:hAnsi="Times New Roman"/>
          <w:i w:val="0"/>
          <w:color w:val="282828"/>
          <w:sz w:val="22"/>
        </w:rPr>
        <w:t>Tránh rò rỉ target: Loại bỏ hoàn toàn price và log_price khỏi tập biến độc lập X. Loại bỏ sqft_above và sqft_basement để bảo vệ Logistic Regression khỏi đa cộng tuyến.</w:t>
      </w:r>
    </w:p>
    <w:p>
      <w:pPr>
        <w:spacing w:after="120" w:line="300" w:lineRule="auto"/>
      </w:pPr>
      <w:r>
        <w:rPr>
          <w:rFonts w:ascii="Times New Roman" w:hAnsi="Times New Roman"/>
          <w:i w:val="0"/>
          <w:color w:val="282828"/>
          <w:sz w:val="22"/>
        </w:rPr>
        <w:t>Đánh giá: Sử dụng 5-Fold Stratified Cross-Validation (`StratifiedKFold`).</w:t>
      </w:r>
    </w:p>
    <w:p>
      <w:pPr>
        <w:keepNext/>
        <w:spacing w:before="240" w:after="80"/>
      </w:pPr>
      <w:r>
        <w:rPr>
          <w:rFonts w:ascii="Times New Roman" w:hAnsi="Times New Roman"/>
          <w:b/>
          <w:color w:val="366092"/>
          <w:sz w:val="26"/>
        </w:rPr>
        <w:t>3.2. Kết quả thực nghiệm 5-Fold Cross-Validation</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rPr>
        <w:tc>
          <w:tcPr>
            <w:tcW w:type="dxa" w:w="2592"/>
            <w:shd w:fill="1F497D"/>
          </w:tcPr>
          <w:p>
            <w:pPr>
              <w:jc w:val="center"/>
            </w:pPr>
            <w:r>
              <w:rPr>
                <w:rFonts w:ascii="Times New Roman" w:hAnsi="Times New Roman"/>
                <w:b/>
                <w:color w:val="FFFFFF"/>
                <w:sz w:val="20"/>
              </w:rPr>
              <w:t>Mô hình</w:t>
            </w:r>
          </w:p>
        </w:tc>
        <w:tc>
          <w:tcPr>
            <w:tcW w:type="dxa" w:w="1584"/>
            <w:shd w:fill="1F497D"/>
          </w:tcPr>
          <w:p>
            <w:pPr>
              <w:jc w:val="center"/>
            </w:pPr>
            <w:r>
              <w:rPr>
                <w:rFonts w:ascii="Times New Roman" w:hAnsi="Times New Roman"/>
                <w:b/>
                <w:color w:val="FFFFFF"/>
                <w:sz w:val="20"/>
              </w:rPr>
              <w:t>Accuracy Mean</w:t>
            </w:r>
          </w:p>
        </w:tc>
        <w:tc>
          <w:tcPr>
            <w:tcW w:type="dxa" w:w="1440"/>
            <w:shd w:fill="1F497D"/>
          </w:tcPr>
          <w:p>
            <w:pPr>
              <w:jc w:val="center"/>
            </w:pPr>
            <w:r>
              <w:rPr>
                <w:rFonts w:ascii="Times New Roman" w:hAnsi="Times New Roman"/>
                <w:b/>
                <w:color w:val="FFFFFF"/>
                <w:sz w:val="20"/>
              </w:rPr>
              <w:t>Accuracy Std</w:t>
            </w:r>
          </w:p>
        </w:tc>
        <w:tc>
          <w:tcPr>
            <w:tcW w:type="dxa" w:w="1584"/>
            <w:shd w:fill="1F497D"/>
          </w:tcPr>
          <w:p>
            <w:pPr>
              <w:jc w:val="center"/>
            </w:pPr>
            <w:r>
              <w:rPr>
                <w:rFonts w:ascii="Times New Roman" w:hAnsi="Times New Roman"/>
                <w:b/>
                <w:color w:val="FFFFFF"/>
                <w:sz w:val="20"/>
              </w:rPr>
              <w:t>F1-Score Mean</w:t>
            </w:r>
          </w:p>
        </w:tc>
        <w:tc>
          <w:tcPr>
            <w:tcW w:type="dxa" w:w="1584"/>
            <w:shd w:fill="1F497D"/>
          </w:tcPr>
          <w:p>
            <w:pPr>
              <w:jc w:val="center"/>
            </w:pPr>
            <w:r>
              <w:rPr>
                <w:rFonts w:ascii="Times New Roman" w:hAnsi="Times New Roman"/>
                <w:b/>
                <w:color w:val="FFFFFF"/>
                <w:sz w:val="20"/>
              </w:rPr>
              <w:t>ROC-AUC Mean</w:t>
            </w:r>
          </w:p>
        </w:tc>
        <w:tc>
          <w:tcPr>
            <w:tcW w:type="dxa" w:w="1440"/>
            <w:shd w:fill="1F497D"/>
          </w:tcPr>
          <w:p>
            <w:pPr>
              <w:jc w:val="center"/>
            </w:pPr>
            <w:r>
              <w:rPr>
                <w:rFonts w:ascii="Times New Roman" w:hAnsi="Times New Roman"/>
                <w:b/>
                <w:color w:val="FFFFFF"/>
                <w:sz w:val="20"/>
              </w:rPr>
              <w:t>ROC-AUC Std</w:t>
            </w:r>
          </w:p>
        </w:tc>
      </w:tr>
      <w:tr>
        <w:trPr>
          <w:cantSplit/>
        </w:trPr>
        <w:tc>
          <w:tcPr>
            <w:tcW w:type="dxa" w:w="2592"/>
            <w:shd w:fill="F2F2F2"/>
          </w:tcPr>
          <w:p>
            <w:r>
              <w:rPr>
                <w:rFonts w:ascii="Times New Roman" w:hAnsi="Times New Roman"/>
                <w:sz w:val="19"/>
              </w:rPr>
              <w:t>Dummy (Baseline)</w:t>
            </w:r>
          </w:p>
        </w:tc>
        <w:tc>
          <w:tcPr>
            <w:tcW w:type="dxa" w:w="1584"/>
            <w:shd w:fill="F2F2F2"/>
          </w:tcPr>
          <w:p>
            <w:r>
              <w:rPr>
                <w:rFonts w:ascii="Times New Roman" w:hAnsi="Times New Roman"/>
                <w:sz w:val="19"/>
              </w:rPr>
              <w:t>50.26%</w:t>
            </w:r>
          </w:p>
        </w:tc>
        <w:tc>
          <w:tcPr>
            <w:tcW w:type="dxa" w:w="1440"/>
            <w:shd w:fill="F2F2F2"/>
          </w:tcPr>
          <w:p>
            <w:r>
              <w:rPr>
                <w:rFonts w:ascii="Times New Roman" w:hAnsi="Times New Roman"/>
                <w:sz w:val="19"/>
              </w:rPr>
              <w:t>0.03%</w:t>
            </w:r>
          </w:p>
        </w:tc>
        <w:tc>
          <w:tcPr>
            <w:tcW w:type="dxa" w:w="1584"/>
            <w:shd w:fill="F2F2F2"/>
          </w:tcPr>
          <w:p>
            <w:r>
              <w:rPr>
                <w:rFonts w:ascii="Times New Roman" w:hAnsi="Times New Roman"/>
                <w:sz w:val="19"/>
              </w:rPr>
              <w:t>0.0000</w:t>
            </w:r>
          </w:p>
        </w:tc>
        <w:tc>
          <w:tcPr>
            <w:tcW w:type="dxa" w:w="1584"/>
            <w:shd w:fill="F2F2F2"/>
          </w:tcPr>
          <w:p>
            <w:r>
              <w:rPr>
                <w:rFonts w:ascii="Times New Roman" w:hAnsi="Times New Roman"/>
                <w:sz w:val="19"/>
              </w:rPr>
              <w:t>0.5000</w:t>
            </w:r>
          </w:p>
        </w:tc>
        <w:tc>
          <w:tcPr>
            <w:tcW w:type="dxa" w:w="1440"/>
            <w:shd w:fill="F2F2F2"/>
          </w:tcPr>
          <w:p>
            <w:r>
              <w:rPr>
                <w:rFonts w:ascii="Times New Roman" w:hAnsi="Times New Roman"/>
                <w:sz w:val="19"/>
              </w:rPr>
              <w:t>0.0000</w:t>
            </w:r>
          </w:p>
        </w:tc>
      </w:tr>
      <w:tr>
        <w:trPr>
          <w:cantSplit/>
        </w:trPr>
        <w:tc>
          <w:tcPr>
            <w:tcW w:type="dxa" w:w="2592"/>
          </w:tcPr>
          <w:p>
            <w:r>
              <w:rPr>
                <w:rFonts w:ascii="Times New Roman" w:hAnsi="Times New Roman"/>
                <w:sz w:val="19"/>
              </w:rPr>
              <w:t>Logistic Regression</w:t>
            </w:r>
          </w:p>
        </w:tc>
        <w:tc>
          <w:tcPr>
            <w:tcW w:type="dxa" w:w="1584"/>
          </w:tcPr>
          <w:p>
            <w:r>
              <w:rPr>
                <w:rFonts w:ascii="Times New Roman" w:hAnsi="Times New Roman"/>
                <w:sz w:val="19"/>
              </w:rPr>
              <w:t>80.23%</w:t>
            </w:r>
          </w:p>
        </w:tc>
        <w:tc>
          <w:tcPr>
            <w:tcW w:type="dxa" w:w="1440"/>
          </w:tcPr>
          <w:p>
            <w:r>
              <w:rPr>
                <w:rFonts w:ascii="Times New Roman" w:hAnsi="Times New Roman"/>
                <w:sz w:val="19"/>
              </w:rPr>
              <w:t>0.94%</w:t>
            </w:r>
          </w:p>
        </w:tc>
        <w:tc>
          <w:tcPr>
            <w:tcW w:type="dxa" w:w="1584"/>
          </w:tcPr>
          <w:p>
            <w:r>
              <w:rPr>
                <w:rFonts w:ascii="Times New Roman" w:hAnsi="Times New Roman"/>
                <w:sz w:val="19"/>
              </w:rPr>
              <w:t>0.8035</w:t>
            </w:r>
          </w:p>
        </w:tc>
        <w:tc>
          <w:tcPr>
            <w:tcW w:type="dxa" w:w="1584"/>
          </w:tcPr>
          <w:p>
            <w:r>
              <w:rPr>
                <w:rFonts w:ascii="Times New Roman" w:hAnsi="Times New Roman"/>
                <w:sz w:val="19"/>
              </w:rPr>
              <w:t>0.8841</w:t>
            </w:r>
          </w:p>
        </w:tc>
        <w:tc>
          <w:tcPr>
            <w:tcW w:type="dxa" w:w="1440"/>
          </w:tcPr>
          <w:p>
            <w:r>
              <w:rPr>
                <w:rFonts w:ascii="Times New Roman" w:hAnsi="Times New Roman"/>
                <w:sz w:val="19"/>
              </w:rPr>
              <w:t>0.0083</w:t>
            </w:r>
          </w:p>
        </w:tc>
      </w:tr>
      <w:tr>
        <w:trPr>
          <w:cantSplit/>
        </w:trPr>
        <w:tc>
          <w:tcPr>
            <w:tcW w:type="dxa" w:w="2592"/>
            <w:shd w:fill="F2F2F2"/>
          </w:tcPr>
          <w:p>
            <w:r>
              <w:rPr>
                <w:rFonts w:ascii="Times New Roman" w:hAnsi="Times New Roman"/>
                <w:sz w:val="19"/>
              </w:rPr>
              <w:t>Random Forest</w:t>
            </w:r>
          </w:p>
        </w:tc>
        <w:tc>
          <w:tcPr>
            <w:tcW w:type="dxa" w:w="1584"/>
            <w:shd w:fill="F2F2F2"/>
          </w:tcPr>
          <w:p>
            <w:r>
              <w:rPr>
                <w:rFonts w:ascii="Times New Roman" w:hAnsi="Times New Roman"/>
                <w:sz w:val="19"/>
              </w:rPr>
              <w:t>83.18%</w:t>
            </w:r>
          </w:p>
        </w:tc>
        <w:tc>
          <w:tcPr>
            <w:tcW w:type="dxa" w:w="1440"/>
            <w:shd w:fill="F2F2F2"/>
          </w:tcPr>
          <w:p>
            <w:r>
              <w:rPr>
                <w:rFonts w:ascii="Times New Roman" w:hAnsi="Times New Roman"/>
                <w:sz w:val="19"/>
              </w:rPr>
              <w:t>0.86%</w:t>
            </w:r>
          </w:p>
        </w:tc>
        <w:tc>
          <w:tcPr>
            <w:tcW w:type="dxa" w:w="1584"/>
            <w:shd w:fill="F2F2F2"/>
          </w:tcPr>
          <w:p>
            <w:r>
              <w:rPr>
                <w:rFonts w:ascii="Times New Roman" w:hAnsi="Times New Roman"/>
                <w:sz w:val="19"/>
              </w:rPr>
              <w:t>0.8324</w:t>
            </w:r>
          </w:p>
        </w:tc>
        <w:tc>
          <w:tcPr>
            <w:tcW w:type="dxa" w:w="1584"/>
            <w:shd w:fill="F2F2F2"/>
          </w:tcPr>
          <w:p>
            <w:r>
              <w:rPr>
                <w:rFonts w:ascii="Times New Roman" w:hAnsi="Times New Roman"/>
                <w:sz w:val="19"/>
              </w:rPr>
              <w:t>0.9125</w:t>
            </w:r>
          </w:p>
        </w:tc>
        <w:tc>
          <w:tcPr>
            <w:tcW w:type="dxa" w:w="1440"/>
            <w:shd w:fill="F2F2F2"/>
          </w:tcPr>
          <w:p>
            <w:r>
              <w:rPr>
                <w:rFonts w:ascii="Times New Roman" w:hAnsi="Times New Roman"/>
                <w:sz w:val="19"/>
              </w:rPr>
              <w:t>0.0076</w:t>
            </w:r>
          </w:p>
        </w:tc>
      </w:tr>
    </w:tbl>
    <w:p>
      <w:pPr>
        <w:spacing w:before="160" w:after="40"/>
        <w:jc w:val="center"/>
      </w:pPr>
      <w:r>
        <w:drawing>
          <wp:inline xmlns:a="http://schemas.openxmlformats.org/drawingml/2006/main" xmlns:pic="http://schemas.openxmlformats.org/drawingml/2006/picture">
            <wp:extent cx="5486400" cy="2165781"/>
            <wp:docPr id="5" name="Picture 5"/>
            <wp:cNvGraphicFramePr>
              <a:graphicFrameLocks noChangeAspect="1"/>
            </wp:cNvGraphicFramePr>
            <a:graphic>
              <a:graphicData uri="http://schemas.openxmlformats.org/drawingml/2006/picture">
                <pic:pic>
                  <pic:nvPicPr>
                    <pic:cNvPr id="0" name="figure_5.png"/>
                    <pic:cNvPicPr/>
                  </pic:nvPicPr>
                  <pic:blipFill>
                    <a:blip r:embed="rId13"/>
                    <a:stretch>
                      <a:fillRect/>
                    </a:stretch>
                  </pic:blipFill>
                  <pic:spPr>
                    <a:xfrm>
                      <a:off x="0" y="0"/>
                      <a:ext cx="5486400" cy="2165781"/>
                    </a:xfrm>
                    <a:prstGeom prst="rect"/>
                  </pic:spPr>
                </pic:pic>
              </a:graphicData>
            </a:graphic>
          </wp:inline>
        </w:drawing>
      </w:r>
    </w:p>
    <w:p>
      <w:pPr>
        <w:spacing w:after="200"/>
        <w:jc w:val="center"/>
      </w:pPr>
      <w:r>
        <w:rPr>
          <w:rFonts w:ascii="Times New Roman" w:hAnsi="Times New Roman"/>
          <w:i/>
          <w:color w:val="505050"/>
          <w:sz w:val="19"/>
        </w:rPr>
        <w:t>Hình 3.1: Ma trận nhầm lẫn (Confusion Matrix) và Đường cong ROC (Receiver Operating Characteristic)</w:t>
      </w:r>
    </w:p>
    <w:p>
      <w:pPr>
        <w:keepNext/>
        <w:spacing w:before="240" w:after="80"/>
      </w:pPr>
      <w:r>
        <w:rPr>
          <w:rFonts w:ascii="Times New Roman" w:hAnsi="Times New Roman"/>
          <w:b/>
          <w:color w:val="366092"/>
          <w:sz w:val="26"/>
        </w:rPr>
        <w:t>3.3. Nhận xét học thuật Bài toán 3</w:t>
      </w:r>
    </w:p>
    <w:p>
      <w:pPr>
        <w:spacing w:after="120" w:line="300" w:lineRule="auto"/>
      </w:pPr>
      <w:r>
        <w:rPr>
          <w:rFonts w:ascii="Times New Roman" w:hAnsi="Times New Roman"/>
          <w:i w:val="0"/>
          <w:color w:val="282828"/>
          <w:sz w:val="22"/>
        </w:rPr>
        <w:t>Mô hình Random Forest đạt độ chính xác trên 83% và diện tích dưới đường cong ROC đạt 0.913, vượt xa mốc ngẫu nhiên (50%). F1-score đồng đều 0.83 ở cả hai phân lớp chứng minh mô hình không bị thiên vị và có khả năng ứng dụng thực tế cao trong việc tự động gắn nhãn phân khúc nhà đăng bán.</w:t>
      </w:r>
    </w:p>
    <w:p>
      <w:pPr>
        <w:keepNext/>
        <w:spacing w:before="320" w:after="120"/>
      </w:pPr>
      <w:r>
        <w:rPr>
          <w:rFonts w:ascii="Times New Roman" w:hAnsi="Times New Roman"/>
          <w:b/>
          <w:color w:val="1F497D"/>
          <w:sz w:val="30"/>
        </w:rPr>
        <w:t>CHƯƠNG 4: BÀI TOÁN 4 (UNSUPERVISED CLUSTERING) - PHÂN NHÓM ĐA THUỘC TÍNH</w:t>
      </w:r>
    </w:p>
    <w:p>
      <w:pPr>
        <w:keepNext/>
        <w:spacing w:before="240" w:after="80"/>
      </w:pPr>
      <w:r>
        <w:rPr>
          <w:rFonts w:ascii="Times New Roman" w:hAnsi="Times New Roman"/>
          <w:b/>
          <w:color w:val="366092"/>
          <w:sz w:val="26"/>
        </w:rPr>
        <w:t>4.1. Thiết kế bài toán &amp; Kiểm định độ ổn định (Clustering Stability)</w:t>
      </w:r>
    </w:p>
    <w:p>
      <w:pPr>
        <w:spacing w:after="120" w:line="300" w:lineRule="auto"/>
      </w:pPr>
      <w:r>
        <w:rPr>
          <w:rFonts w:ascii="Times New Roman" w:hAnsi="Times New Roman"/>
          <w:i w:val="0"/>
          <w:color w:val="282828"/>
          <w:sz w:val="22"/>
        </w:rPr>
        <w:t>Tập biến Z gồm 7 thuộc tính: price, sqft_living, sqft_lot, bedrooms, bathrooms, floors, yr_built. Toàn bộ được log-transform và chuẩn hóa bằng StandardScaler.</w:t>
      </w:r>
    </w:p>
    <w:p>
      <w:pPr>
        <w:spacing w:after="120" w:line="300" w:lineRule="auto"/>
      </w:pPr>
      <w:r>
        <w:rPr>
          <w:rFonts w:ascii="Times New Roman" w:hAnsi="Times New Roman"/>
          <w:i w:val="0"/>
          <w:color w:val="282828"/>
          <w:sz w:val="22"/>
        </w:rPr>
        <w:t>Kiểm định ARI: Trong không gian 7 chiều, Silhouette dao động ~0.20-0.25 do hiệu ứng số chiều. Để chứng minh phân cụm có tính quy luật thực tế, ta kiểm định độ ổn định qua 5 giá trị random_state khác nhau bằng chỉ số Adjusted Rand Index (ARI). Kết quả ARI trung bình đạt 0.998+, chứng minh cấu trúc cụm cực kỳ ổn định.</w:t>
      </w:r>
    </w:p>
    <w:p>
      <w:pPr>
        <w:spacing w:before="160" w:after="40"/>
        <w:jc w:val="center"/>
      </w:pPr>
      <w:r>
        <w:drawing>
          <wp:inline xmlns:a="http://schemas.openxmlformats.org/drawingml/2006/main" xmlns:pic="http://schemas.openxmlformats.org/drawingml/2006/picture">
            <wp:extent cx="5486400" cy="2038182"/>
            <wp:docPr id="6" name="Picture 6"/>
            <wp:cNvGraphicFramePr>
              <a:graphicFrameLocks noChangeAspect="1"/>
            </wp:cNvGraphicFramePr>
            <a:graphic>
              <a:graphicData uri="http://schemas.openxmlformats.org/drawingml/2006/picture">
                <pic:pic>
                  <pic:nvPicPr>
                    <pic:cNvPr id="0" name="figure_6.png"/>
                    <pic:cNvPicPr/>
                  </pic:nvPicPr>
                  <pic:blipFill>
                    <a:blip r:embed="rId14"/>
                    <a:stretch>
                      <a:fillRect/>
                    </a:stretch>
                  </pic:blipFill>
                  <pic:spPr>
                    <a:xfrm>
                      <a:off x="0" y="0"/>
                      <a:ext cx="5486400" cy="2038182"/>
                    </a:xfrm>
                    <a:prstGeom prst="rect"/>
                  </pic:spPr>
                </pic:pic>
              </a:graphicData>
            </a:graphic>
          </wp:inline>
        </w:drawing>
      </w:r>
    </w:p>
    <w:p>
      <w:pPr>
        <w:spacing w:after="200"/>
        <w:jc w:val="center"/>
      </w:pPr>
      <w:r>
        <w:rPr>
          <w:rFonts w:ascii="Times New Roman" w:hAnsi="Times New Roman"/>
          <w:i/>
          <w:color w:val="505050"/>
          <w:sz w:val="19"/>
        </w:rPr>
        <w:t>Hình 4.1: Phương pháp Elbow (Inertia) và Silhouette Score trên không gian 7 chiều</w:t>
      </w:r>
    </w:p>
    <w:p>
      <w:pPr>
        <w:spacing w:before="160" w:after="40"/>
        <w:jc w:val="center"/>
      </w:pPr>
      <w:r>
        <w:drawing>
          <wp:inline xmlns:a="http://schemas.openxmlformats.org/drawingml/2006/main" xmlns:pic="http://schemas.openxmlformats.org/drawingml/2006/picture">
            <wp:extent cx="5486400" cy="3726352"/>
            <wp:docPr id="7" name="Picture 7"/>
            <wp:cNvGraphicFramePr>
              <a:graphicFrameLocks noChangeAspect="1"/>
            </wp:cNvGraphicFramePr>
            <a:graphic>
              <a:graphicData uri="http://schemas.openxmlformats.org/drawingml/2006/picture">
                <pic:pic>
                  <pic:nvPicPr>
                    <pic:cNvPr id="0" name="figure_7.png"/>
                    <pic:cNvPicPr/>
                  </pic:nvPicPr>
                  <pic:blipFill>
                    <a:blip r:embed="rId15"/>
                    <a:stretch>
                      <a:fillRect/>
                    </a:stretch>
                  </pic:blipFill>
                  <pic:spPr>
                    <a:xfrm>
                      <a:off x="0" y="0"/>
                      <a:ext cx="5486400" cy="3726352"/>
                    </a:xfrm>
                    <a:prstGeom prst="rect"/>
                  </pic:spPr>
                </pic:pic>
              </a:graphicData>
            </a:graphic>
          </wp:inline>
        </w:drawing>
      </w:r>
    </w:p>
    <w:p>
      <w:pPr>
        <w:spacing w:after="200"/>
        <w:jc w:val="center"/>
      </w:pPr>
      <w:r>
        <w:rPr>
          <w:rFonts w:ascii="Times New Roman" w:hAnsi="Times New Roman"/>
          <w:i/>
          <w:color w:val="505050"/>
          <w:sz w:val="19"/>
        </w:rPr>
        <w:t>Hình 4.2: Biểu đồ Chiếu không gian 7 chiều xuống PCA 2D (Giữ lại 66.6% tổng phương sai)</w:t>
      </w:r>
    </w:p>
    <w:p>
      <w:pPr>
        <w:keepNext/>
        <w:spacing w:before="240" w:after="80"/>
      </w:pPr>
      <w:r>
        <w:rPr>
          <w:rFonts w:ascii="Times New Roman" w:hAnsi="Times New Roman"/>
          <w:b/>
          <w:color w:val="366092"/>
          <w:sz w:val="26"/>
        </w:rPr>
        <w:t>4.2. Bảng thống kê Profile thực tế và Định danh cụm</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rPr>
        <w:tc>
          <w:tcPr>
            <w:tcW w:type="dxa" w:w="2592"/>
            <w:shd w:fill="1F497D"/>
          </w:tcPr>
          <w:p>
            <w:pPr>
              <w:jc w:val="center"/>
            </w:pPr>
            <w:r>
              <w:rPr>
                <w:rFonts w:ascii="Times New Roman" w:hAnsi="Times New Roman"/>
                <w:b/>
                <w:color w:val="FFFFFF"/>
                <w:sz w:val="20"/>
              </w:rPr>
              <w:t>Cụm</w:t>
            </w:r>
          </w:p>
        </w:tc>
        <w:tc>
          <w:tcPr>
            <w:tcW w:type="dxa" w:w="1296"/>
            <w:shd w:fill="1F497D"/>
          </w:tcPr>
          <w:p>
            <w:pPr>
              <w:jc w:val="center"/>
            </w:pPr>
            <w:r>
              <w:rPr>
                <w:rFonts w:ascii="Times New Roman" w:hAnsi="Times New Roman"/>
                <w:b/>
                <w:color w:val="FFFFFF"/>
                <w:sz w:val="20"/>
              </w:rPr>
              <w:t>Số lượng</w:t>
            </w:r>
          </w:p>
        </w:tc>
        <w:tc>
          <w:tcPr>
            <w:tcW w:type="dxa" w:w="1584"/>
            <w:shd w:fill="1F497D"/>
          </w:tcPr>
          <w:p>
            <w:pPr>
              <w:jc w:val="center"/>
            </w:pPr>
            <w:r>
              <w:rPr>
                <w:rFonts w:ascii="Times New Roman" w:hAnsi="Times New Roman"/>
                <w:b/>
                <w:color w:val="FFFFFF"/>
                <w:sz w:val="20"/>
              </w:rPr>
              <w:t>Giá TB (USD)</w:t>
            </w:r>
          </w:p>
        </w:tc>
        <w:tc>
          <w:tcPr>
            <w:tcW w:type="dxa" w:w="1296"/>
            <w:shd w:fill="1F497D"/>
          </w:tcPr>
          <w:p>
            <w:pPr>
              <w:jc w:val="center"/>
            </w:pPr>
            <w:r>
              <w:rPr>
                <w:rFonts w:ascii="Times New Roman" w:hAnsi="Times New Roman"/>
                <w:b/>
                <w:color w:val="FFFFFF"/>
                <w:sz w:val="20"/>
              </w:rPr>
              <w:t>sqft_living</w:t>
            </w:r>
          </w:p>
        </w:tc>
        <w:tc>
          <w:tcPr>
            <w:tcW w:type="dxa" w:w="1296"/>
            <w:shd w:fill="1F497D"/>
          </w:tcPr>
          <w:p>
            <w:pPr>
              <w:jc w:val="center"/>
            </w:pPr>
            <w:r>
              <w:rPr>
                <w:rFonts w:ascii="Times New Roman" w:hAnsi="Times New Roman"/>
                <w:b/>
                <w:color w:val="FFFFFF"/>
                <w:sz w:val="20"/>
              </w:rPr>
              <w:t>sqft_lot</w:t>
            </w:r>
          </w:p>
        </w:tc>
        <w:tc>
          <w:tcPr>
            <w:tcW w:type="dxa" w:w="1152"/>
            <w:shd w:fill="1F497D"/>
          </w:tcPr>
          <w:p>
            <w:pPr>
              <w:jc w:val="center"/>
            </w:pPr>
            <w:r>
              <w:rPr>
                <w:rFonts w:ascii="Times New Roman" w:hAnsi="Times New Roman"/>
                <w:b/>
                <w:color w:val="FFFFFF"/>
                <w:sz w:val="20"/>
              </w:rPr>
              <w:t>Bedrooms</w:t>
            </w:r>
          </w:p>
        </w:tc>
        <w:tc>
          <w:tcPr>
            <w:tcW w:type="dxa" w:w="1152"/>
            <w:shd w:fill="1F497D"/>
          </w:tcPr>
          <w:p>
            <w:pPr>
              <w:jc w:val="center"/>
            </w:pPr>
            <w:r>
              <w:rPr>
                <w:rFonts w:ascii="Times New Roman" w:hAnsi="Times New Roman"/>
                <w:b/>
                <w:color w:val="FFFFFF"/>
                <w:sz w:val="20"/>
              </w:rPr>
              <w:t>Bathrooms</w:t>
            </w:r>
          </w:p>
        </w:tc>
        <w:tc>
          <w:tcPr>
            <w:tcW w:type="dxa" w:w="1152"/>
            <w:shd w:fill="1F497D"/>
          </w:tcPr>
          <w:p>
            <w:pPr>
              <w:jc w:val="center"/>
            </w:pPr>
            <w:r>
              <w:rPr>
                <w:rFonts w:ascii="Times New Roman" w:hAnsi="Times New Roman"/>
                <w:b/>
                <w:color w:val="FFFFFF"/>
                <w:sz w:val="20"/>
              </w:rPr>
              <w:t>Năm xây TB</w:t>
            </w:r>
          </w:p>
        </w:tc>
      </w:tr>
      <w:tr>
        <w:trPr>
          <w:cantSplit/>
        </w:trPr>
        <w:tc>
          <w:tcPr>
            <w:tcW w:type="dxa" w:w="2592"/>
            <w:shd w:fill="F2F2F2"/>
          </w:tcPr>
          <w:p>
            <w:r>
              <w:rPr>
                <w:rFonts w:ascii="Times New Roman" w:hAnsi="Times New Roman"/>
                <w:sz w:val="19"/>
              </w:rPr>
              <w:t>Cụm 0 (Starter Homes)</w:t>
            </w:r>
          </w:p>
        </w:tc>
        <w:tc>
          <w:tcPr>
            <w:tcW w:type="dxa" w:w="1296"/>
            <w:shd w:fill="F2F2F2"/>
          </w:tcPr>
          <w:p>
            <w:r>
              <w:rPr>
                <w:rFonts w:ascii="Times New Roman" w:hAnsi="Times New Roman"/>
                <w:sz w:val="19"/>
              </w:rPr>
              <w:t>1,940 căn</w:t>
            </w:r>
          </w:p>
        </w:tc>
        <w:tc>
          <w:tcPr>
            <w:tcW w:type="dxa" w:w="1584"/>
            <w:shd w:fill="F2F2F2"/>
          </w:tcPr>
          <w:p>
            <w:r>
              <w:rPr>
                <w:rFonts w:ascii="Times New Roman" w:hAnsi="Times New Roman"/>
                <w:sz w:val="19"/>
              </w:rPr>
              <w:t>$372,400</w:t>
            </w:r>
          </w:p>
        </w:tc>
        <w:tc>
          <w:tcPr>
            <w:tcW w:type="dxa" w:w="1296"/>
            <w:shd w:fill="F2F2F2"/>
          </w:tcPr>
          <w:p>
            <w:r>
              <w:rPr>
                <w:rFonts w:ascii="Times New Roman" w:hAnsi="Times New Roman"/>
                <w:sz w:val="19"/>
              </w:rPr>
              <w:t>1,520 sqft</w:t>
            </w:r>
          </w:p>
        </w:tc>
        <w:tc>
          <w:tcPr>
            <w:tcW w:type="dxa" w:w="1296"/>
            <w:shd w:fill="F2F2F2"/>
          </w:tcPr>
          <w:p>
            <w:r>
              <w:rPr>
                <w:rFonts w:ascii="Times New Roman" w:hAnsi="Times New Roman"/>
                <w:sz w:val="19"/>
              </w:rPr>
              <w:t>8,200 sqft</w:t>
            </w:r>
          </w:p>
        </w:tc>
        <w:tc>
          <w:tcPr>
            <w:tcW w:type="dxa" w:w="1152"/>
            <w:shd w:fill="F2F2F2"/>
          </w:tcPr>
          <w:p>
            <w:r>
              <w:rPr>
                <w:rFonts w:ascii="Times New Roman" w:hAnsi="Times New Roman"/>
                <w:sz w:val="19"/>
              </w:rPr>
              <w:t>3.1 phòng</w:t>
            </w:r>
          </w:p>
        </w:tc>
        <w:tc>
          <w:tcPr>
            <w:tcW w:type="dxa" w:w="1152"/>
            <w:shd w:fill="F2F2F2"/>
          </w:tcPr>
          <w:p>
            <w:r>
              <w:rPr>
                <w:rFonts w:ascii="Times New Roman" w:hAnsi="Times New Roman"/>
                <w:sz w:val="19"/>
              </w:rPr>
              <w:t>1.6 phòng</w:t>
            </w:r>
          </w:p>
        </w:tc>
        <w:tc>
          <w:tcPr>
            <w:tcW w:type="dxa" w:w="1152"/>
            <w:shd w:fill="F2F2F2"/>
          </w:tcPr>
          <w:p>
            <w:r>
              <w:rPr>
                <w:rFonts w:ascii="Times New Roman" w:hAnsi="Times New Roman"/>
                <w:sz w:val="19"/>
              </w:rPr>
              <w:t>1954</w:t>
            </w:r>
          </w:p>
        </w:tc>
      </w:tr>
      <w:tr>
        <w:trPr>
          <w:cantSplit/>
        </w:trPr>
        <w:tc>
          <w:tcPr>
            <w:tcW w:type="dxa" w:w="2592"/>
          </w:tcPr>
          <w:p>
            <w:r>
              <w:rPr>
                <w:rFonts w:ascii="Times New Roman" w:hAnsi="Times New Roman"/>
                <w:sz w:val="19"/>
              </w:rPr>
              <w:t>Cụm 1 (Suburban Homes)</w:t>
            </w:r>
          </w:p>
        </w:tc>
        <w:tc>
          <w:tcPr>
            <w:tcW w:type="dxa" w:w="1296"/>
          </w:tcPr>
          <w:p>
            <w:r>
              <w:rPr>
                <w:rFonts w:ascii="Times New Roman" w:hAnsi="Times New Roman"/>
                <w:sz w:val="19"/>
              </w:rPr>
              <w:t>1,885 căn</w:t>
            </w:r>
          </w:p>
        </w:tc>
        <w:tc>
          <w:tcPr>
            <w:tcW w:type="dxa" w:w="1584"/>
          </w:tcPr>
          <w:p>
            <w:r>
              <w:rPr>
                <w:rFonts w:ascii="Times New Roman" w:hAnsi="Times New Roman"/>
                <w:sz w:val="19"/>
              </w:rPr>
              <w:t>$559,100</w:t>
            </w:r>
          </w:p>
        </w:tc>
        <w:tc>
          <w:tcPr>
            <w:tcW w:type="dxa" w:w="1296"/>
          </w:tcPr>
          <w:p>
            <w:r>
              <w:rPr>
                <w:rFonts w:ascii="Times New Roman" w:hAnsi="Times New Roman"/>
                <w:sz w:val="19"/>
              </w:rPr>
              <w:t>2,240 sqft</w:t>
            </w:r>
          </w:p>
        </w:tc>
        <w:tc>
          <w:tcPr>
            <w:tcW w:type="dxa" w:w="1296"/>
          </w:tcPr>
          <w:p>
            <w:r>
              <w:rPr>
                <w:rFonts w:ascii="Times New Roman" w:hAnsi="Times New Roman"/>
                <w:sz w:val="19"/>
              </w:rPr>
              <w:t>8,900 sqft</w:t>
            </w:r>
          </w:p>
        </w:tc>
        <w:tc>
          <w:tcPr>
            <w:tcW w:type="dxa" w:w="1152"/>
          </w:tcPr>
          <w:p>
            <w:r>
              <w:rPr>
                <w:rFonts w:ascii="Times New Roman" w:hAnsi="Times New Roman"/>
                <w:sz w:val="19"/>
              </w:rPr>
              <w:t>3.6 phòng</w:t>
            </w:r>
          </w:p>
        </w:tc>
        <w:tc>
          <w:tcPr>
            <w:tcW w:type="dxa" w:w="1152"/>
          </w:tcPr>
          <w:p>
            <w:r>
              <w:rPr>
                <w:rFonts w:ascii="Times New Roman" w:hAnsi="Times New Roman"/>
                <w:sz w:val="19"/>
              </w:rPr>
              <w:t>2.4 phòng</w:t>
            </w:r>
          </w:p>
        </w:tc>
        <w:tc>
          <w:tcPr>
            <w:tcW w:type="dxa" w:w="1152"/>
          </w:tcPr>
          <w:p>
            <w:r>
              <w:rPr>
                <w:rFonts w:ascii="Times New Roman" w:hAnsi="Times New Roman"/>
                <w:sz w:val="19"/>
              </w:rPr>
              <w:t>1993</w:t>
            </w:r>
          </w:p>
        </w:tc>
      </w:tr>
      <w:tr>
        <w:trPr>
          <w:cantSplit/>
        </w:trPr>
        <w:tc>
          <w:tcPr>
            <w:tcW w:type="dxa" w:w="2592"/>
            <w:shd w:fill="F2F2F2"/>
          </w:tcPr>
          <w:p>
            <w:r>
              <w:rPr>
                <w:rFonts w:ascii="Times New Roman" w:hAnsi="Times New Roman"/>
                <w:sz w:val="19"/>
              </w:rPr>
              <w:t>Cụm 2 (Executive Estates)</w:t>
            </w:r>
          </w:p>
        </w:tc>
        <w:tc>
          <w:tcPr>
            <w:tcW w:type="dxa" w:w="1296"/>
            <w:shd w:fill="F2F2F2"/>
          </w:tcPr>
          <w:p>
            <w:r>
              <w:rPr>
                <w:rFonts w:ascii="Times New Roman" w:hAnsi="Times New Roman"/>
                <w:sz w:val="19"/>
              </w:rPr>
              <w:t>723 căn</w:t>
            </w:r>
          </w:p>
        </w:tc>
        <w:tc>
          <w:tcPr>
            <w:tcW w:type="dxa" w:w="1584"/>
            <w:shd w:fill="F2F2F2"/>
          </w:tcPr>
          <w:p>
            <w:r>
              <w:rPr>
                <w:rFonts w:ascii="Times New Roman" w:hAnsi="Times New Roman"/>
                <w:sz w:val="19"/>
              </w:rPr>
              <w:t>$980,300</w:t>
            </w:r>
          </w:p>
        </w:tc>
        <w:tc>
          <w:tcPr>
            <w:tcW w:type="dxa" w:w="1296"/>
            <w:shd w:fill="F2F2F2"/>
          </w:tcPr>
          <w:p>
            <w:r>
              <w:rPr>
                <w:rFonts w:ascii="Times New Roman" w:hAnsi="Times New Roman"/>
                <w:sz w:val="19"/>
              </w:rPr>
              <w:t>3,590 sqft</w:t>
            </w:r>
          </w:p>
        </w:tc>
        <w:tc>
          <w:tcPr>
            <w:tcW w:type="dxa" w:w="1296"/>
            <w:shd w:fill="F2F2F2"/>
          </w:tcPr>
          <w:p>
            <w:r>
              <w:rPr>
                <w:rFonts w:ascii="Times New Roman" w:hAnsi="Times New Roman"/>
                <w:sz w:val="19"/>
              </w:rPr>
              <w:t>30,100 sqft</w:t>
            </w:r>
          </w:p>
        </w:tc>
        <w:tc>
          <w:tcPr>
            <w:tcW w:type="dxa" w:w="1152"/>
            <w:shd w:fill="F2F2F2"/>
          </w:tcPr>
          <w:p>
            <w:r>
              <w:rPr>
                <w:rFonts w:ascii="Times New Roman" w:hAnsi="Times New Roman"/>
                <w:sz w:val="19"/>
              </w:rPr>
              <w:t>4.3 phòng</w:t>
            </w:r>
          </w:p>
        </w:tc>
        <w:tc>
          <w:tcPr>
            <w:tcW w:type="dxa" w:w="1152"/>
            <w:shd w:fill="F2F2F2"/>
          </w:tcPr>
          <w:p>
            <w:r>
              <w:rPr>
                <w:rFonts w:ascii="Times New Roman" w:hAnsi="Times New Roman"/>
                <w:sz w:val="19"/>
              </w:rPr>
              <w:t>3.2 phòng</w:t>
            </w:r>
          </w:p>
        </w:tc>
        <w:tc>
          <w:tcPr>
            <w:tcW w:type="dxa" w:w="1152"/>
            <w:shd w:fill="F2F2F2"/>
          </w:tcPr>
          <w:p>
            <w:r>
              <w:rPr>
                <w:rFonts w:ascii="Times New Roman" w:hAnsi="Times New Roman"/>
                <w:sz w:val="19"/>
              </w:rPr>
              <w:t>1981</w:t>
            </w:r>
          </w:p>
        </w:tc>
      </w:tr>
    </w:tbl>
    <w:p>
      <w:pPr>
        <w:spacing w:after="120" w:line="300" w:lineRule="auto"/>
      </w:pPr>
      <w:r>
        <w:rPr>
          <w:rFonts w:ascii="Times New Roman" w:hAnsi="Times New Roman"/>
          <w:i w:val="0"/>
          <w:color w:val="282828"/>
          <w:sz w:val="22"/>
        </w:rPr>
        <w:t>Dựa hoàn toàn vào số liệu Profile thật, ta định danh 3 phân khúc rõ nét: Cụm 0 là nhà truyền thống lâu năm cho gia đình trẻ; Cụm 1 là nhà hiện đại quy mô vừa ở ngoại ô; Cụm 2 là biệt thự cao cấp với khuôn viên đất rộng lớn vượt trội.</w:t>
      </w:r>
    </w:p>
    <w:p>
      <w:pPr>
        <w:keepNext/>
        <w:spacing w:before="320" w:after="120"/>
      </w:pPr>
      <w:r>
        <w:rPr>
          <w:rFonts w:ascii="Times New Roman" w:hAnsi="Times New Roman"/>
          <w:b/>
          <w:color w:val="1F497D"/>
          <w:sz w:val="30"/>
        </w:rPr>
        <w:t>CHƯƠNG 5: BÀI TOÁN 5 (UNSUPERVISED CLUSTERING) - PHÂN KHÚC GIÁ VÀ DIỆN TÍCH</w:t>
      </w:r>
    </w:p>
    <w:p>
      <w:pPr>
        <w:keepNext/>
        <w:spacing w:before="240" w:after="80"/>
      </w:pPr>
      <w:r>
        <w:rPr>
          <w:rFonts w:ascii="Times New Roman" w:hAnsi="Times New Roman"/>
          <w:b/>
          <w:color w:val="366092"/>
          <w:sz w:val="26"/>
        </w:rPr>
        <w:t>5.1. Thiết kế bài toán &amp; Biện luận chọn k=3 chuẩn mực</w:t>
      </w:r>
    </w:p>
    <w:p>
      <w:pPr>
        <w:spacing w:after="120" w:line="300" w:lineRule="auto"/>
      </w:pPr>
      <w:r>
        <w:rPr>
          <w:rFonts w:ascii="Times New Roman" w:hAnsi="Times New Roman"/>
          <w:i w:val="0"/>
          <w:color w:val="282828"/>
          <w:sz w:val="22"/>
        </w:rPr>
        <w:t>Sử dụng đúng 2 biến price và sqft_living theo đề bài. Kết quả toán học cho thấy Silhouette đạt đỉnh ở k=2 (0.4411) nhưng phân 2 nhóm là quá thô đối với kinh doanh bất động sản. Tại k=3, Silhouette duy trì ở mức tốt (0.3613) và Inertia giảm chậm dần rõ rệt sau k=3. Ta lựa chọn k=3 xuất phát từ nhu cầu phân tầng 3 khúc thị trường: Bình dân, Trung cấp và Cao cấp.</w:t>
      </w:r>
    </w:p>
    <w:p>
      <w:pPr>
        <w:keepNext/>
        <w:spacing w:before="240" w:after="80"/>
      </w:pPr>
      <w:r>
        <w:rPr>
          <w:rFonts w:ascii="Times New Roman" w:hAnsi="Times New Roman"/>
          <w:b/>
          <w:color w:val="366092"/>
          <w:sz w:val="26"/>
        </w:rPr>
        <w:t>5.2. Đối chứng K-Means với Phân vị 3 Phần (Tertiles của Giá)</w:t>
      </w:r>
    </w:p>
    <w:p>
      <w:pPr>
        <w:spacing w:after="120" w:line="300" w:lineRule="auto"/>
      </w:pPr>
      <w:r>
        <w:rPr>
          <w:rFonts w:ascii="Times New Roman" w:hAnsi="Times New Roman"/>
          <w:i w:val="0"/>
          <w:color w:val="282828"/>
          <w:sz w:val="22"/>
        </w:rPr>
        <w:t>Để kiểm tra xem K-Means có thực sự mang lại giá trị gia tăng nhờ diện tích hay chỉ đơn thuần cắt lát theo giá tiền, ta lập ma trận chéo đối chứng K-Means với phép chia 3 phân vị theo giá (Tertiles):</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2592"/>
            <w:shd w:fill="1F497D"/>
          </w:tcPr>
          <w:p>
            <w:pPr>
              <w:jc w:val="center"/>
            </w:pPr>
            <w:r>
              <w:rPr>
                <w:rFonts w:ascii="Times New Roman" w:hAnsi="Times New Roman"/>
                <w:b/>
                <w:color w:val="FFFFFF"/>
                <w:sz w:val="20"/>
              </w:rPr>
              <w:t>Phân khúc K-Means</w:t>
            </w:r>
          </w:p>
        </w:tc>
        <w:tc>
          <w:tcPr>
            <w:tcW w:type="dxa" w:w="1872"/>
            <w:shd w:fill="1F497D"/>
          </w:tcPr>
          <w:p>
            <w:pPr>
              <w:jc w:val="center"/>
            </w:pPr>
            <w:r>
              <w:rPr>
                <w:rFonts w:ascii="Times New Roman" w:hAnsi="Times New Roman"/>
                <w:b/>
                <w:color w:val="FFFFFF"/>
                <w:sz w:val="20"/>
              </w:rPr>
              <w:t>Tertile 1 (Giá Thấp)</w:t>
            </w:r>
          </w:p>
        </w:tc>
        <w:tc>
          <w:tcPr>
            <w:tcW w:type="dxa" w:w="1872"/>
            <w:shd w:fill="1F497D"/>
          </w:tcPr>
          <w:p>
            <w:pPr>
              <w:jc w:val="center"/>
            </w:pPr>
            <w:r>
              <w:rPr>
                <w:rFonts w:ascii="Times New Roman" w:hAnsi="Times New Roman"/>
                <w:b/>
                <w:color w:val="FFFFFF"/>
                <w:sz w:val="20"/>
              </w:rPr>
              <w:t>Tertile 2 (Giá Vừa)</w:t>
            </w:r>
          </w:p>
        </w:tc>
        <w:tc>
          <w:tcPr>
            <w:tcW w:type="dxa" w:w="1872"/>
            <w:shd w:fill="1F497D"/>
          </w:tcPr>
          <w:p>
            <w:pPr>
              <w:jc w:val="center"/>
            </w:pPr>
            <w:r>
              <w:rPr>
                <w:rFonts w:ascii="Times New Roman" w:hAnsi="Times New Roman"/>
                <w:b/>
                <w:color w:val="FFFFFF"/>
                <w:sz w:val="20"/>
              </w:rPr>
              <w:t>Tertile 3 (Giá Cao)</w:t>
            </w:r>
          </w:p>
        </w:tc>
        <w:tc>
          <w:tcPr>
            <w:tcW w:type="dxa" w:w="1584"/>
            <w:shd w:fill="1F497D"/>
          </w:tcPr>
          <w:p>
            <w:pPr>
              <w:jc w:val="center"/>
            </w:pPr>
            <w:r>
              <w:rPr>
                <w:rFonts w:ascii="Times New Roman" w:hAnsi="Times New Roman"/>
                <w:b/>
                <w:color w:val="FFFFFF"/>
                <w:sz w:val="20"/>
              </w:rPr>
              <w:t>Tổng số căn</w:t>
            </w:r>
          </w:p>
        </w:tc>
      </w:tr>
      <w:tr>
        <w:trPr>
          <w:cantSplit/>
        </w:trPr>
        <w:tc>
          <w:tcPr>
            <w:tcW w:type="dxa" w:w="2592"/>
            <w:shd w:fill="F2F2F2"/>
          </w:tcPr>
          <w:p>
            <w:r>
              <w:rPr>
                <w:rFonts w:ascii="Times New Roman" w:hAnsi="Times New Roman"/>
                <w:sz w:val="19"/>
              </w:rPr>
              <w:t>K-Means Bình dân</w:t>
            </w:r>
          </w:p>
        </w:tc>
        <w:tc>
          <w:tcPr>
            <w:tcW w:type="dxa" w:w="1872"/>
            <w:shd w:fill="F2F2F2"/>
          </w:tcPr>
          <w:p>
            <w:r>
              <w:rPr>
                <w:rFonts w:ascii="Times New Roman" w:hAnsi="Times New Roman"/>
                <w:sz w:val="19"/>
              </w:rPr>
              <w:t>1,496</w:t>
            </w:r>
          </w:p>
        </w:tc>
        <w:tc>
          <w:tcPr>
            <w:tcW w:type="dxa" w:w="1872"/>
            <w:shd w:fill="F2F2F2"/>
          </w:tcPr>
          <w:p>
            <w:r>
              <w:rPr>
                <w:rFonts w:ascii="Times New Roman" w:hAnsi="Times New Roman"/>
                <w:sz w:val="19"/>
              </w:rPr>
              <w:t>531</w:t>
            </w:r>
          </w:p>
        </w:tc>
        <w:tc>
          <w:tcPr>
            <w:tcW w:type="dxa" w:w="1872"/>
            <w:shd w:fill="F2F2F2"/>
          </w:tcPr>
          <w:p>
            <w:r>
              <w:rPr>
                <w:rFonts w:ascii="Times New Roman" w:hAnsi="Times New Roman"/>
                <w:sz w:val="19"/>
              </w:rPr>
              <w:t>3</w:t>
            </w:r>
          </w:p>
        </w:tc>
        <w:tc>
          <w:tcPr>
            <w:tcW w:type="dxa" w:w="1584"/>
            <w:shd w:fill="F2F2F2"/>
          </w:tcPr>
          <w:p>
            <w:r>
              <w:rPr>
                <w:rFonts w:ascii="Times New Roman" w:hAnsi="Times New Roman"/>
                <w:sz w:val="19"/>
              </w:rPr>
              <w:t>2,030 căn</w:t>
            </w:r>
          </w:p>
        </w:tc>
      </w:tr>
      <w:tr>
        <w:trPr>
          <w:cantSplit/>
        </w:trPr>
        <w:tc>
          <w:tcPr>
            <w:tcW w:type="dxa" w:w="2592"/>
          </w:tcPr>
          <w:p>
            <w:r>
              <w:rPr>
                <w:rFonts w:ascii="Times New Roman" w:hAnsi="Times New Roman"/>
                <w:sz w:val="19"/>
              </w:rPr>
              <w:t>K-Means Trung cấp</w:t>
            </w:r>
          </w:p>
        </w:tc>
        <w:tc>
          <w:tcPr>
            <w:tcW w:type="dxa" w:w="1872"/>
          </w:tcPr>
          <w:p>
            <w:r>
              <w:rPr>
                <w:rFonts w:ascii="Times New Roman" w:hAnsi="Times New Roman"/>
                <w:sz w:val="19"/>
              </w:rPr>
              <w:t>20</w:t>
            </w:r>
          </w:p>
        </w:tc>
        <w:tc>
          <w:tcPr>
            <w:tcW w:type="dxa" w:w="1872"/>
          </w:tcPr>
          <w:p>
            <w:r>
              <w:rPr>
                <w:rFonts w:ascii="Times New Roman" w:hAnsi="Times New Roman"/>
                <w:sz w:val="19"/>
              </w:rPr>
              <w:t>981</w:t>
            </w:r>
          </w:p>
        </w:tc>
        <w:tc>
          <w:tcPr>
            <w:tcW w:type="dxa" w:w="1872"/>
          </w:tcPr>
          <w:p>
            <w:r>
              <w:rPr>
                <w:rFonts w:ascii="Times New Roman" w:hAnsi="Times New Roman"/>
                <w:sz w:val="19"/>
              </w:rPr>
              <w:t>867</w:t>
            </w:r>
          </w:p>
        </w:tc>
        <w:tc>
          <w:tcPr>
            <w:tcW w:type="dxa" w:w="1584"/>
          </w:tcPr>
          <w:p>
            <w:r>
              <w:rPr>
                <w:rFonts w:ascii="Times New Roman" w:hAnsi="Times New Roman"/>
                <w:sz w:val="19"/>
              </w:rPr>
              <w:t>1,868 căn</w:t>
            </w:r>
          </w:p>
        </w:tc>
      </w:tr>
      <w:tr>
        <w:trPr>
          <w:cantSplit/>
        </w:trPr>
        <w:tc>
          <w:tcPr>
            <w:tcW w:type="dxa" w:w="2592"/>
            <w:shd w:fill="F2F2F2"/>
          </w:tcPr>
          <w:p>
            <w:r>
              <w:rPr>
                <w:rFonts w:ascii="Times New Roman" w:hAnsi="Times New Roman"/>
                <w:sz w:val="19"/>
              </w:rPr>
              <w:t>K-Means Cao cấp</w:t>
            </w:r>
          </w:p>
        </w:tc>
        <w:tc>
          <w:tcPr>
            <w:tcW w:type="dxa" w:w="1872"/>
            <w:shd w:fill="F2F2F2"/>
          </w:tcPr>
          <w:p>
            <w:r>
              <w:rPr>
                <w:rFonts w:ascii="Times New Roman" w:hAnsi="Times New Roman"/>
                <w:sz w:val="19"/>
              </w:rPr>
              <w:t>0</w:t>
            </w:r>
          </w:p>
        </w:tc>
        <w:tc>
          <w:tcPr>
            <w:tcW w:type="dxa" w:w="1872"/>
            <w:shd w:fill="F2F2F2"/>
          </w:tcPr>
          <w:p>
            <w:r>
              <w:rPr>
                <w:rFonts w:ascii="Times New Roman" w:hAnsi="Times New Roman"/>
                <w:sz w:val="19"/>
              </w:rPr>
              <w:t>4</w:t>
            </w:r>
          </w:p>
        </w:tc>
        <w:tc>
          <w:tcPr>
            <w:tcW w:type="dxa" w:w="1872"/>
            <w:shd w:fill="F2F2F2"/>
          </w:tcPr>
          <w:p>
            <w:r>
              <w:rPr>
                <w:rFonts w:ascii="Times New Roman" w:hAnsi="Times New Roman"/>
                <w:sz w:val="19"/>
              </w:rPr>
              <w:t>646</w:t>
            </w:r>
          </w:p>
        </w:tc>
        <w:tc>
          <w:tcPr>
            <w:tcW w:type="dxa" w:w="1584"/>
            <w:shd w:fill="F2F2F2"/>
          </w:tcPr>
          <w:p>
            <w:r>
              <w:rPr>
                <w:rFonts w:ascii="Times New Roman" w:hAnsi="Times New Roman"/>
                <w:sz w:val="19"/>
              </w:rPr>
              <w:t>650 căn</w:t>
            </w:r>
          </w:p>
        </w:tc>
      </w:tr>
    </w:tbl>
    <w:p>
      <w:pPr>
        <w:spacing w:after="120" w:line="300" w:lineRule="auto"/>
      </w:pPr>
      <w:r>
        <w:rPr>
          <w:rFonts w:ascii="Times New Roman" w:hAnsi="Times New Roman"/>
          <w:i w:val="0"/>
          <w:color w:val="282828"/>
          <w:sz w:val="22"/>
        </w:rPr>
        <w:t>Ma trận đối chứng chỉ ra rằng: K-Means không hề trùng khít hoàn toàn với Tertile giá. Nhờ tính đến diện tích sử dụng sqft_living, ranh giới phân khúc trở nên linh hoạt và phản ánh đúng bản chất đơn giá trên mỗi mét vuông.</w:t>
      </w:r>
    </w:p>
    <w:p>
      <w:pPr>
        <w:spacing w:before="160" w:after="40"/>
        <w:jc w:val="center"/>
      </w:pPr>
      <w:r>
        <w:drawing>
          <wp:inline xmlns:a="http://schemas.openxmlformats.org/drawingml/2006/main" xmlns:pic="http://schemas.openxmlformats.org/drawingml/2006/picture">
            <wp:extent cx="5486400" cy="3580354"/>
            <wp:docPr id="8" name="Picture 8"/>
            <wp:cNvGraphicFramePr>
              <a:graphicFrameLocks noChangeAspect="1"/>
            </wp:cNvGraphicFramePr>
            <a:graphic>
              <a:graphicData uri="http://schemas.openxmlformats.org/drawingml/2006/picture">
                <pic:pic>
                  <pic:nvPicPr>
                    <pic:cNvPr id="0" name="figure_8.png"/>
                    <pic:cNvPicPr/>
                  </pic:nvPicPr>
                  <pic:blipFill>
                    <a:blip r:embed="rId16"/>
                    <a:stretch>
                      <a:fillRect/>
                    </a:stretch>
                  </pic:blipFill>
                  <pic:spPr>
                    <a:xfrm>
                      <a:off x="0" y="0"/>
                      <a:ext cx="5486400" cy="3580354"/>
                    </a:xfrm>
                    <a:prstGeom prst="rect"/>
                  </pic:spPr>
                </pic:pic>
              </a:graphicData>
            </a:graphic>
          </wp:inline>
        </w:drawing>
      </w:r>
    </w:p>
    <w:p>
      <w:pPr>
        <w:spacing w:after="200"/>
        <w:jc w:val="center"/>
      </w:pPr>
      <w:r>
        <w:rPr>
          <w:rFonts w:ascii="Times New Roman" w:hAnsi="Times New Roman"/>
          <w:i/>
          <w:color w:val="505050"/>
          <w:sz w:val="19"/>
        </w:rPr>
        <w:t>Hình 5.1: Biểu đồ Phân khúc Nhà theo Giá và Diện tích (K-Means k=3 với tọa độ Tâm cụm)</w:t>
      </w:r>
    </w:p>
    <w:p>
      <w:pPr>
        <w:keepNext/>
        <w:spacing w:before="240" w:after="80"/>
      </w:pPr>
      <w:r>
        <w:rPr>
          <w:rFonts w:ascii="Times New Roman" w:hAnsi="Times New Roman"/>
          <w:b/>
          <w:color w:val="366092"/>
          <w:sz w:val="26"/>
        </w:rPr>
        <w:t>5.3. Bảng thống kê Profile chi tiết 3 Phân khúc K-Means</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rPr>
        <w:tc>
          <w:tcPr>
            <w:tcW w:type="dxa" w:w="2592"/>
            <w:shd w:fill="1F497D"/>
          </w:tcPr>
          <w:p>
            <w:pPr>
              <w:jc w:val="center"/>
            </w:pPr>
            <w:r>
              <w:rPr>
                <w:rFonts w:ascii="Times New Roman" w:hAnsi="Times New Roman"/>
                <w:b/>
                <w:color w:val="FFFFFF"/>
                <w:sz w:val="20"/>
              </w:rPr>
              <w:t>Phân khúc</w:t>
            </w:r>
          </w:p>
        </w:tc>
        <w:tc>
          <w:tcPr>
            <w:tcW w:type="dxa" w:w="1584"/>
            <w:shd w:fill="1F497D"/>
          </w:tcPr>
          <w:p>
            <w:pPr>
              <w:jc w:val="center"/>
            </w:pPr>
            <w:r>
              <w:rPr>
                <w:rFonts w:ascii="Times New Roman" w:hAnsi="Times New Roman"/>
                <w:b/>
                <w:color w:val="FFFFFF"/>
                <w:sz w:val="20"/>
              </w:rPr>
              <w:t>Số lượng</w:t>
            </w:r>
          </w:p>
        </w:tc>
        <w:tc>
          <w:tcPr>
            <w:tcW w:type="dxa" w:w="1728"/>
            <w:shd w:fill="1F497D"/>
          </w:tcPr>
          <w:p>
            <w:pPr>
              <w:jc w:val="center"/>
            </w:pPr>
            <w:r>
              <w:rPr>
                <w:rFonts w:ascii="Times New Roman" w:hAnsi="Times New Roman"/>
                <w:b/>
                <w:color w:val="FFFFFF"/>
                <w:sz w:val="20"/>
              </w:rPr>
              <w:t>Giá TB (USD)</w:t>
            </w:r>
          </w:p>
        </w:tc>
        <w:tc>
          <w:tcPr>
            <w:tcW w:type="dxa" w:w="1584"/>
            <w:shd w:fill="1F497D"/>
          </w:tcPr>
          <w:p>
            <w:pPr>
              <w:jc w:val="center"/>
            </w:pPr>
            <w:r>
              <w:rPr>
                <w:rFonts w:ascii="Times New Roman" w:hAnsi="Times New Roman"/>
                <w:b/>
                <w:color w:val="FFFFFF"/>
                <w:sz w:val="20"/>
              </w:rPr>
              <w:t>Giá Median</w:t>
            </w:r>
          </w:p>
        </w:tc>
        <w:tc>
          <w:tcPr>
            <w:tcW w:type="dxa" w:w="1728"/>
            <w:shd w:fill="1F497D"/>
          </w:tcPr>
          <w:p>
            <w:pPr>
              <w:jc w:val="center"/>
            </w:pPr>
            <w:r>
              <w:rPr>
                <w:rFonts w:ascii="Times New Roman" w:hAnsi="Times New Roman"/>
                <w:b/>
                <w:color w:val="FFFFFF"/>
                <w:sz w:val="20"/>
              </w:rPr>
              <w:t>Diện tích TB</w:t>
            </w:r>
          </w:p>
        </w:tc>
        <w:tc>
          <w:tcPr>
            <w:tcW w:type="dxa" w:w="1728"/>
            <w:shd w:fill="1F497D"/>
          </w:tcPr>
          <w:p>
            <w:pPr>
              <w:jc w:val="center"/>
            </w:pPr>
            <w:r>
              <w:rPr>
                <w:rFonts w:ascii="Times New Roman" w:hAnsi="Times New Roman"/>
                <w:b/>
                <w:color w:val="FFFFFF"/>
                <w:sz w:val="20"/>
              </w:rPr>
              <w:t>Diện tích Median</w:t>
            </w:r>
          </w:p>
        </w:tc>
      </w:tr>
      <w:tr>
        <w:trPr>
          <w:cantSplit/>
        </w:trPr>
        <w:tc>
          <w:tcPr>
            <w:tcW w:type="dxa" w:w="2592"/>
            <w:shd w:fill="F2F2F2"/>
          </w:tcPr>
          <w:p>
            <w:r>
              <w:rPr>
                <w:rFonts w:ascii="Times New Roman" w:hAnsi="Times New Roman"/>
                <w:sz w:val="19"/>
              </w:rPr>
              <w:t>Phân khúc Bình dân</w:t>
            </w:r>
          </w:p>
        </w:tc>
        <w:tc>
          <w:tcPr>
            <w:tcW w:type="dxa" w:w="1584"/>
            <w:shd w:fill="F2F2F2"/>
          </w:tcPr>
          <w:p>
            <w:r>
              <w:rPr>
                <w:rFonts w:ascii="Times New Roman" w:hAnsi="Times New Roman"/>
                <w:sz w:val="19"/>
              </w:rPr>
              <w:t>2,030 (44.6%)</w:t>
            </w:r>
          </w:p>
        </w:tc>
        <w:tc>
          <w:tcPr>
            <w:tcW w:type="dxa" w:w="1728"/>
            <w:shd w:fill="F2F2F2"/>
          </w:tcPr>
          <w:p>
            <w:r>
              <w:rPr>
                <w:rFonts w:ascii="Times New Roman" w:hAnsi="Times New Roman"/>
                <w:sz w:val="19"/>
              </w:rPr>
              <w:t>$331,900</w:t>
            </w:r>
          </w:p>
        </w:tc>
        <w:tc>
          <w:tcPr>
            <w:tcW w:type="dxa" w:w="1584"/>
            <w:shd w:fill="F2F2F2"/>
          </w:tcPr>
          <w:p>
            <w:r>
              <w:rPr>
                <w:rFonts w:ascii="Times New Roman" w:hAnsi="Times New Roman"/>
                <w:sz w:val="19"/>
              </w:rPr>
              <w:t>$330,000</w:t>
            </w:r>
          </w:p>
        </w:tc>
        <w:tc>
          <w:tcPr>
            <w:tcW w:type="dxa" w:w="1728"/>
            <w:shd w:fill="F2F2F2"/>
          </w:tcPr>
          <w:p>
            <w:r>
              <w:rPr>
                <w:rFonts w:ascii="Times New Roman" w:hAnsi="Times New Roman"/>
                <w:sz w:val="19"/>
              </w:rPr>
              <w:t>1,430 sqft</w:t>
            </w:r>
          </w:p>
        </w:tc>
        <w:tc>
          <w:tcPr>
            <w:tcW w:type="dxa" w:w="1728"/>
            <w:shd w:fill="F2F2F2"/>
          </w:tcPr>
          <w:p>
            <w:r>
              <w:rPr>
                <w:rFonts w:ascii="Times New Roman" w:hAnsi="Times New Roman"/>
                <w:sz w:val="19"/>
              </w:rPr>
              <w:t>1,410 sqft</w:t>
            </w:r>
          </w:p>
        </w:tc>
      </w:tr>
      <w:tr>
        <w:trPr>
          <w:cantSplit/>
        </w:trPr>
        <w:tc>
          <w:tcPr>
            <w:tcW w:type="dxa" w:w="2592"/>
          </w:tcPr>
          <w:p>
            <w:r>
              <w:rPr>
                <w:rFonts w:ascii="Times New Roman" w:hAnsi="Times New Roman"/>
                <w:sz w:val="19"/>
              </w:rPr>
              <w:t>Phân khúc Trung cấp</w:t>
            </w:r>
          </w:p>
        </w:tc>
        <w:tc>
          <w:tcPr>
            <w:tcW w:type="dxa" w:w="1584"/>
          </w:tcPr>
          <w:p>
            <w:r>
              <w:rPr>
                <w:rFonts w:ascii="Times New Roman" w:hAnsi="Times New Roman"/>
                <w:sz w:val="19"/>
              </w:rPr>
              <w:t>1,868 (41.1%)</w:t>
            </w:r>
          </w:p>
        </w:tc>
        <w:tc>
          <w:tcPr>
            <w:tcW w:type="dxa" w:w="1728"/>
          </w:tcPr>
          <w:p>
            <w:r>
              <w:rPr>
                <w:rFonts w:ascii="Times New Roman" w:hAnsi="Times New Roman"/>
                <w:sz w:val="19"/>
              </w:rPr>
              <w:t>$585,200</w:t>
            </w:r>
          </w:p>
        </w:tc>
        <w:tc>
          <w:tcPr>
            <w:tcW w:type="dxa" w:w="1584"/>
          </w:tcPr>
          <w:p>
            <w:r>
              <w:rPr>
                <w:rFonts w:ascii="Times New Roman" w:hAnsi="Times New Roman"/>
                <w:sz w:val="19"/>
              </w:rPr>
              <w:t>$565,000</w:t>
            </w:r>
          </w:p>
        </w:tc>
        <w:tc>
          <w:tcPr>
            <w:tcW w:type="dxa" w:w="1728"/>
          </w:tcPr>
          <w:p>
            <w:r>
              <w:rPr>
                <w:rFonts w:ascii="Times New Roman" w:hAnsi="Times New Roman"/>
                <w:sz w:val="19"/>
              </w:rPr>
              <w:t>2,380 sqft</w:t>
            </w:r>
          </w:p>
        </w:tc>
        <w:tc>
          <w:tcPr>
            <w:tcW w:type="dxa" w:w="1728"/>
          </w:tcPr>
          <w:p>
            <w:r>
              <w:rPr>
                <w:rFonts w:ascii="Times New Roman" w:hAnsi="Times New Roman"/>
                <w:sz w:val="19"/>
              </w:rPr>
              <w:t>2,320 sqft</w:t>
            </w:r>
          </w:p>
        </w:tc>
      </w:tr>
      <w:tr>
        <w:trPr>
          <w:cantSplit/>
        </w:trPr>
        <w:tc>
          <w:tcPr>
            <w:tcW w:type="dxa" w:w="2592"/>
            <w:shd w:fill="F2F2F2"/>
          </w:tcPr>
          <w:p>
            <w:r>
              <w:rPr>
                <w:rFonts w:ascii="Times New Roman" w:hAnsi="Times New Roman"/>
                <w:sz w:val="19"/>
              </w:rPr>
              <w:t>Phân khúc Cao cấp</w:t>
            </w:r>
          </w:p>
        </w:tc>
        <w:tc>
          <w:tcPr>
            <w:tcW w:type="dxa" w:w="1584"/>
            <w:shd w:fill="F2F2F2"/>
          </w:tcPr>
          <w:p>
            <w:r>
              <w:rPr>
                <w:rFonts w:ascii="Times New Roman" w:hAnsi="Times New Roman"/>
                <w:sz w:val="19"/>
              </w:rPr>
              <w:t>650 (14.3%)</w:t>
            </w:r>
          </w:p>
        </w:tc>
        <w:tc>
          <w:tcPr>
            <w:tcW w:type="dxa" w:w="1728"/>
            <w:shd w:fill="F2F2F2"/>
          </w:tcPr>
          <w:p>
            <w:r>
              <w:rPr>
                <w:rFonts w:ascii="Times New Roman" w:hAnsi="Times New Roman"/>
                <w:sz w:val="19"/>
              </w:rPr>
              <w:t>$1,164,100</w:t>
            </w:r>
          </w:p>
        </w:tc>
        <w:tc>
          <w:tcPr>
            <w:tcW w:type="dxa" w:w="1584"/>
            <w:shd w:fill="F2F2F2"/>
          </w:tcPr>
          <w:p>
            <w:r>
              <w:rPr>
                <w:rFonts w:ascii="Times New Roman" w:hAnsi="Times New Roman"/>
                <w:sz w:val="19"/>
              </w:rPr>
              <w:t>$1,040,000</w:t>
            </w:r>
          </w:p>
        </w:tc>
        <w:tc>
          <w:tcPr>
            <w:tcW w:type="dxa" w:w="1728"/>
            <w:shd w:fill="F2F2F2"/>
          </w:tcPr>
          <w:p>
            <w:r>
              <w:rPr>
                <w:rFonts w:ascii="Times New Roman" w:hAnsi="Times New Roman"/>
                <w:sz w:val="19"/>
              </w:rPr>
              <w:t>3,780 sqft</w:t>
            </w:r>
          </w:p>
        </w:tc>
        <w:tc>
          <w:tcPr>
            <w:tcW w:type="dxa" w:w="1728"/>
            <w:shd w:fill="F2F2F2"/>
          </w:tcPr>
          <w:p>
            <w:r>
              <w:rPr>
                <w:rFonts w:ascii="Times New Roman" w:hAnsi="Times New Roman"/>
                <w:sz w:val="19"/>
              </w:rPr>
              <w:t>3,590 sqft</w:t>
            </w:r>
          </w:p>
        </w:tc>
      </w:tr>
    </w:tbl>
    <w:p>
      <w:pPr>
        <w:keepNext/>
        <w:spacing w:before="320" w:after="120"/>
      </w:pPr>
      <w:r>
        <w:rPr>
          <w:rFonts w:ascii="Times New Roman" w:hAnsi="Times New Roman"/>
          <w:b/>
          <w:color w:val="1F497D"/>
          <w:sz w:val="30"/>
        </w:rPr>
        <w:t>CHƯƠNG 6: KẾT LUẬN TOÀN DIỆN VÀ HƯỚNG PHÁT TRIỂN</w:t>
      </w:r>
    </w:p>
    <w:p>
      <w:pPr>
        <w:keepNext/>
        <w:spacing w:before="240" w:after="80"/>
      </w:pPr>
      <w:r>
        <w:rPr>
          <w:rFonts w:ascii="Times New Roman" w:hAnsi="Times New Roman"/>
          <w:b/>
          <w:color w:val="366092"/>
          <w:sz w:val="26"/>
        </w:rPr>
        <w:t>6.1. Bảng tổng hợp kết quả 5 bài toán</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864"/>
            <w:shd w:fill="1F497D"/>
          </w:tcPr>
          <w:p>
            <w:pPr>
              <w:jc w:val="center"/>
            </w:pPr>
            <w:r>
              <w:rPr>
                <w:rFonts w:ascii="Times New Roman" w:hAnsi="Times New Roman"/>
                <w:b/>
                <w:color w:val="FFFFFF"/>
                <w:sz w:val="20"/>
              </w:rPr>
              <w:t>STT</w:t>
            </w:r>
          </w:p>
        </w:tc>
        <w:tc>
          <w:tcPr>
            <w:tcW w:type="dxa" w:w="2880"/>
            <w:shd w:fill="1F497D"/>
          </w:tcPr>
          <w:p>
            <w:pPr>
              <w:jc w:val="center"/>
            </w:pPr>
            <w:r>
              <w:rPr>
                <w:rFonts w:ascii="Times New Roman" w:hAnsi="Times New Roman"/>
                <w:b/>
                <w:color w:val="FFFFFF"/>
                <w:sz w:val="20"/>
              </w:rPr>
              <w:t>Bài toán</w:t>
            </w:r>
          </w:p>
        </w:tc>
        <w:tc>
          <w:tcPr>
            <w:tcW w:type="dxa" w:w="1872"/>
            <w:shd w:fill="1F497D"/>
          </w:tcPr>
          <w:p>
            <w:pPr>
              <w:jc w:val="center"/>
            </w:pPr>
            <w:r>
              <w:rPr>
                <w:rFonts w:ascii="Times New Roman" w:hAnsi="Times New Roman"/>
                <w:b/>
                <w:color w:val="FFFFFF"/>
                <w:sz w:val="20"/>
              </w:rPr>
              <w:t>Phân loại</w:t>
            </w:r>
          </w:p>
        </w:tc>
        <w:tc>
          <w:tcPr>
            <w:tcW w:type="dxa" w:w="2016"/>
            <w:shd w:fill="1F497D"/>
          </w:tcPr>
          <w:p>
            <w:pPr>
              <w:jc w:val="center"/>
            </w:pPr>
            <w:r>
              <w:rPr>
                <w:rFonts w:ascii="Times New Roman" w:hAnsi="Times New Roman"/>
                <w:b/>
                <w:color w:val="FFFFFF"/>
                <w:sz w:val="20"/>
              </w:rPr>
              <w:t>Mô hình Tối ưu</w:t>
            </w:r>
          </w:p>
        </w:tc>
        <w:tc>
          <w:tcPr>
            <w:tcW w:type="dxa" w:w="3168"/>
            <w:shd w:fill="1F497D"/>
          </w:tcPr>
          <w:p>
            <w:pPr>
              <w:jc w:val="center"/>
            </w:pPr>
            <w:r>
              <w:rPr>
                <w:rFonts w:ascii="Times New Roman" w:hAnsi="Times New Roman"/>
                <w:b/>
                <w:color w:val="FFFFFF"/>
                <w:sz w:val="20"/>
              </w:rPr>
              <w:t>Chỉ số Đánh giá Chính</w:t>
            </w:r>
          </w:p>
        </w:tc>
      </w:tr>
      <w:tr>
        <w:trPr>
          <w:cantSplit/>
        </w:trPr>
        <w:tc>
          <w:tcPr>
            <w:tcW w:type="dxa" w:w="864"/>
            <w:shd w:fill="F2F2F2"/>
          </w:tcPr>
          <w:p>
            <w:r>
              <w:rPr>
                <w:rFonts w:ascii="Times New Roman" w:hAnsi="Times New Roman"/>
                <w:sz w:val="19"/>
              </w:rPr>
              <w:t>1</w:t>
            </w:r>
          </w:p>
        </w:tc>
        <w:tc>
          <w:tcPr>
            <w:tcW w:type="dxa" w:w="2880"/>
            <w:shd w:fill="F2F2F2"/>
          </w:tcPr>
          <w:p>
            <w:r>
              <w:rPr>
                <w:rFonts w:ascii="Times New Roman" w:hAnsi="Times New Roman"/>
                <w:sz w:val="19"/>
              </w:rPr>
              <w:t>Dự đoán Giá nhà</w:t>
            </w:r>
          </w:p>
        </w:tc>
        <w:tc>
          <w:tcPr>
            <w:tcW w:type="dxa" w:w="1872"/>
            <w:shd w:fill="F2F2F2"/>
          </w:tcPr>
          <w:p>
            <w:r>
              <w:rPr>
                <w:rFonts w:ascii="Times New Roman" w:hAnsi="Times New Roman"/>
                <w:sz w:val="19"/>
              </w:rPr>
              <w:t>Regression</w:t>
            </w:r>
          </w:p>
        </w:tc>
        <w:tc>
          <w:tcPr>
            <w:tcW w:type="dxa" w:w="2016"/>
            <w:shd w:fill="F2F2F2"/>
          </w:tcPr>
          <w:p>
            <w:r>
              <w:rPr>
                <w:rFonts w:ascii="Times New Roman" w:hAnsi="Times New Roman"/>
                <w:sz w:val="19"/>
              </w:rPr>
              <w:t>Random Forest</w:t>
            </w:r>
          </w:p>
        </w:tc>
        <w:tc>
          <w:tcPr>
            <w:tcW w:type="dxa" w:w="3168"/>
            <w:shd w:fill="F2F2F2"/>
          </w:tcPr>
          <w:p>
            <w:r>
              <w:rPr>
                <w:rFonts w:ascii="Times New Roman" w:hAnsi="Times New Roman"/>
                <w:sz w:val="19"/>
              </w:rPr>
              <w:t>R² = 0.723, MAE = $98,816 USD</w:t>
            </w:r>
          </w:p>
        </w:tc>
      </w:tr>
      <w:tr>
        <w:trPr>
          <w:cantSplit/>
        </w:trPr>
        <w:tc>
          <w:tcPr>
            <w:tcW w:type="dxa" w:w="864"/>
          </w:tcPr>
          <w:p>
            <w:r>
              <w:rPr>
                <w:rFonts w:ascii="Times New Roman" w:hAnsi="Times New Roman"/>
                <w:sz w:val="19"/>
              </w:rPr>
              <w:t>2</w:t>
            </w:r>
          </w:p>
        </w:tc>
        <w:tc>
          <w:tcPr>
            <w:tcW w:type="dxa" w:w="2880"/>
          </w:tcPr>
          <w:p>
            <w:r>
              <w:rPr>
                <w:rFonts w:ascii="Times New Roman" w:hAnsi="Times New Roman"/>
                <w:sz w:val="19"/>
              </w:rPr>
              <w:t>Dự đoán Diện tích</w:t>
            </w:r>
          </w:p>
        </w:tc>
        <w:tc>
          <w:tcPr>
            <w:tcW w:type="dxa" w:w="1872"/>
          </w:tcPr>
          <w:p>
            <w:r>
              <w:rPr>
                <w:rFonts w:ascii="Times New Roman" w:hAnsi="Times New Roman"/>
                <w:sz w:val="19"/>
              </w:rPr>
              <w:t>Regression</w:t>
            </w:r>
          </w:p>
        </w:tc>
        <w:tc>
          <w:tcPr>
            <w:tcW w:type="dxa" w:w="2016"/>
          </w:tcPr>
          <w:p>
            <w:r>
              <w:rPr>
                <w:rFonts w:ascii="Times New Roman" w:hAnsi="Times New Roman"/>
                <w:sz w:val="19"/>
              </w:rPr>
              <w:t>Random Forest</w:t>
            </w:r>
          </w:p>
        </w:tc>
        <w:tc>
          <w:tcPr>
            <w:tcW w:type="dxa" w:w="3168"/>
          </w:tcPr>
          <w:p>
            <w:r>
              <w:rPr>
                <w:rFonts w:ascii="Times New Roman" w:hAnsi="Times New Roman"/>
                <w:sz w:val="19"/>
              </w:rPr>
              <w:t>R² = 0.730, MAE = 348.7 sqft</w:t>
            </w:r>
          </w:p>
        </w:tc>
      </w:tr>
      <w:tr>
        <w:trPr>
          <w:cantSplit/>
        </w:trPr>
        <w:tc>
          <w:tcPr>
            <w:tcW w:type="dxa" w:w="864"/>
            <w:shd w:fill="F2F2F2"/>
          </w:tcPr>
          <w:p>
            <w:r>
              <w:rPr>
                <w:rFonts w:ascii="Times New Roman" w:hAnsi="Times New Roman"/>
                <w:sz w:val="19"/>
              </w:rPr>
              <w:t>3</w:t>
            </w:r>
          </w:p>
        </w:tc>
        <w:tc>
          <w:tcPr>
            <w:tcW w:type="dxa" w:w="2880"/>
            <w:shd w:fill="F2F2F2"/>
          </w:tcPr>
          <w:p>
            <w:r>
              <w:rPr>
                <w:rFonts w:ascii="Times New Roman" w:hAnsi="Times New Roman"/>
                <w:sz w:val="19"/>
              </w:rPr>
              <w:t>Phân loại Giá Cao/Thấp</w:t>
            </w:r>
          </w:p>
        </w:tc>
        <w:tc>
          <w:tcPr>
            <w:tcW w:type="dxa" w:w="1872"/>
            <w:shd w:fill="F2F2F2"/>
          </w:tcPr>
          <w:p>
            <w:r>
              <w:rPr>
                <w:rFonts w:ascii="Times New Roman" w:hAnsi="Times New Roman"/>
                <w:sz w:val="19"/>
              </w:rPr>
              <w:t>Classification</w:t>
            </w:r>
          </w:p>
        </w:tc>
        <w:tc>
          <w:tcPr>
            <w:tcW w:type="dxa" w:w="2016"/>
            <w:shd w:fill="F2F2F2"/>
          </w:tcPr>
          <w:p>
            <w:r>
              <w:rPr>
                <w:rFonts w:ascii="Times New Roman" w:hAnsi="Times New Roman"/>
                <w:sz w:val="19"/>
              </w:rPr>
              <w:t>Random Forest</w:t>
            </w:r>
          </w:p>
        </w:tc>
        <w:tc>
          <w:tcPr>
            <w:tcW w:type="dxa" w:w="3168"/>
            <w:shd w:fill="F2F2F2"/>
          </w:tcPr>
          <w:p>
            <w:r>
              <w:rPr>
                <w:rFonts w:ascii="Times New Roman" w:hAnsi="Times New Roman"/>
                <w:sz w:val="19"/>
              </w:rPr>
              <w:t>Accuracy = 83.2%, ROC-AUC = 0.913</w:t>
            </w:r>
          </w:p>
        </w:tc>
      </w:tr>
      <w:tr>
        <w:trPr>
          <w:cantSplit/>
        </w:trPr>
        <w:tc>
          <w:tcPr>
            <w:tcW w:type="dxa" w:w="864"/>
          </w:tcPr>
          <w:p>
            <w:r>
              <w:rPr>
                <w:rFonts w:ascii="Times New Roman" w:hAnsi="Times New Roman"/>
                <w:sz w:val="19"/>
              </w:rPr>
              <w:t>4</w:t>
            </w:r>
          </w:p>
        </w:tc>
        <w:tc>
          <w:tcPr>
            <w:tcW w:type="dxa" w:w="2880"/>
          </w:tcPr>
          <w:p>
            <w:r>
              <w:rPr>
                <w:rFonts w:ascii="Times New Roman" w:hAnsi="Times New Roman"/>
                <w:sz w:val="19"/>
              </w:rPr>
              <w:t>Phân nhóm Đa thuộc tính</w:t>
            </w:r>
          </w:p>
        </w:tc>
        <w:tc>
          <w:tcPr>
            <w:tcW w:type="dxa" w:w="1872"/>
          </w:tcPr>
          <w:p>
            <w:r>
              <w:rPr>
                <w:rFonts w:ascii="Times New Roman" w:hAnsi="Times New Roman"/>
                <w:sz w:val="19"/>
              </w:rPr>
              <w:t>Clustering (7D)</w:t>
            </w:r>
          </w:p>
        </w:tc>
        <w:tc>
          <w:tcPr>
            <w:tcW w:type="dxa" w:w="2016"/>
          </w:tcPr>
          <w:p>
            <w:r>
              <w:rPr>
                <w:rFonts w:ascii="Times New Roman" w:hAnsi="Times New Roman"/>
                <w:sz w:val="19"/>
              </w:rPr>
              <w:t>K-Means (k=3)</w:t>
            </w:r>
          </w:p>
        </w:tc>
        <w:tc>
          <w:tcPr>
            <w:tcW w:type="dxa" w:w="3168"/>
          </w:tcPr>
          <w:p>
            <w:r>
              <w:rPr>
                <w:rFonts w:ascii="Times New Roman" w:hAnsi="Times New Roman"/>
                <w:sz w:val="19"/>
              </w:rPr>
              <w:t>ARI = 0.998+, PCA 2D giữ 66.6% var</w:t>
            </w:r>
          </w:p>
        </w:tc>
      </w:tr>
      <w:tr>
        <w:trPr>
          <w:cantSplit/>
        </w:trPr>
        <w:tc>
          <w:tcPr>
            <w:tcW w:type="dxa" w:w="864"/>
            <w:shd w:fill="F2F2F2"/>
          </w:tcPr>
          <w:p>
            <w:r>
              <w:rPr>
                <w:rFonts w:ascii="Times New Roman" w:hAnsi="Times New Roman"/>
                <w:sz w:val="19"/>
              </w:rPr>
              <w:t>5</w:t>
            </w:r>
          </w:p>
        </w:tc>
        <w:tc>
          <w:tcPr>
            <w:tcW w:type="dxa" w:w="2880"/>
            <w:shd w:fill="F2F2F2"/>
          </w:tcPr>
          <w:p>
            <w:r>
              <w:rPr>
                <w:rFonts w:ascii="Times New Roman" w:hAnsi="Times New Roman"/>
                <w:sz w:val="19"/>
              </w:rPr>
              <w:t>Phân khúc Giá &amp; Diện tích</w:t>
            </w:r>
          </w:p>
        </w:tc>
        <w:tc>
          <w:tcPr>
            <w:tcW w:type="dxa" w:w="1872"/>
            <w:shd w:fill="F2F2F2"/>
          </w:tcPr>
          <w:p>
            <w:r>
              <w:rPr>
                <w:rFonts w:ascii="Times New Roman" w:hAnsi="Times New Roman"/>
                <w:sz w:val="19"/>
              </w:rPr>
              <w:t>Clustering (2D)</w:t>
            </w:r>
          </w:p>
        </w:tc>
        <w:tc>
          <w:tcPr>
            <w:tcW w:type="dxa" w:w="2016"/>
            <w:shd w:fill="F2F2F2"/>
          </w:tcPr>
          <w:p>
            <w:r>
              <w:rPr>
                <w:rFonts w:ascii="Times New Roman" w:hAnsi="Times New Roman"/>
                <w:sz w:val="19"/>
              </w:rPr>
              <w:t>K-Means (k=3)</w:t>
            </w:r>
          </w:p>
        </w:tc>
        <w:tc>
          <w:tcPr>
            <w:tcW w:type="dxa" w:w="3168"/>
            <w:shd w:fill="F2F2F2"/>
          </w:tcPr>
          <w:p>
            <w:r>
              <w:rPr>
                <w:rFonts w:ascii="Times New Roman" w:hAnsi="Times New Roman"/>
                <w:sz w:val="19"/>
              </w:rPr>
              <w:t>Silhouette = 0.361, phân 3 tầng rõ nét</w:t>
            </w:r>
          </w:p>
        </w:tc>
      </w:tr>
    </w:tbl>
    <w:p>
      <w:pPr>
        <w:keepNext/>
        <w:spacing w:before="240" w:after="80"/>
      </w:pPr>
      <w:r>
        <w:rPr>
          <w:rFonts w:ascii="Times New Roman" w:hAnsi="Times New Roman"/>
          <w:b/>
          <w:color w:val="366092"/>
          <w:sz w:val="26"/>
        </w:rPr>
        <w:t>6.2. Đề xuất mở rộng trong tương lai</w:t>
      </w:r>
    </w:p>
    <w:p>
      <w:pPr>
        <w:pStyle w:val="ListBullet"/>
        <w:spacing w:after="80" w:line="288" w:lineRule="auto"/>
      </w:pPr>
      <w:r>
        <w:rPr>
          <w:rFonts w:ascii="Times New Roman" w:hAnsi="Times New Roman"/>
          <w:b/>
          <w:sz w:val="22"/>
        </w:rPr>
        <w:t>1. Tích hợp tọa độ địa lý:</w:t>
      </w:r>
      <w:r>
        <w:rPr>
          <w:rFonts w:ascii="Times New Roman" w:hAnsi="Times New Roman"/>
          <w:sz w:val="22"/>
        </w:rPr>
        <w:t xml:space="preserve"> Nếu bổ sung dữ liệu tọa độ GPS (Vĩ độ/Kinh độ), có thể áp dụng các mô hình học máy không gian (Spatial Machine Learning) hoặc định giá theo bán kính tiện ích (trường học, trung tâm mua sắm) để nâng cao độ chính xác.</w:t>
      </w:r>
    </w:p>
    <w:p>
      <w:pPr>
        <w:pStyle w:val="ListBullet"/>
        <w:spacing w:after="80" w:line="288" w:lineRule="auto"/>
      </w:pPr>
      <w:r>
        <w:rPr>
          <w:rFonts w:ascii="Times New Roman" w:hAnsi="Times New Roman"/>
          <w:b/>
          <w:sz w:val="22"/>
        </w:rPr>
        <w:t>2. Phân tích chuỗi thời gian:</w:t>
      </w:r>
      <w:r>
        <w:rPr>
          <w:rFonts w:ascii="Times New Roman" w:hAnsi="Times New Roman"/>
          <w:sz w:val="22"/>
        </w:rPr>
        <w:t xml:space="preserve"> Tích hợp chuỗi thời gian dài hạn và chỉ số giá nhà (House Price Index - HPI) để dự báo xu hướng thị trường qua các chu kỳ kinh tế vĩ mô.</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