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</w:rPr>
        <w:t>CỘNG HÒA XÃ HỘI CHỦ NGHĨA VIỆT NAM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Độc lập - Tự do - Hạnh phúc</w:t>
      </w:r>
    </w:p>
    <w:p>
      <w:pPr>
        <w:pStyle w:val="Normal"/>
        <w:spacing w:before="0" w:after="160"/>
        <w:jc w:val="center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───────────────</w:t>
      </w:r>
    </w:p>
    <w:p>
      <w:pPr>
        <w:pStyle w:val="Normal"/>
        <w:spacing w:before="0" w:after="80"/>
        <w:jc w:val="center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>HỢP ĐỒNG LAO ĐỘNG</w:t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Số: 2024/HĐLĐ-TTS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Căn cứ Bộ luật Lao động số 45/2019/QH14 ngày 20 tháng 11 năm 2019;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Căn cứ Nghị định số 145/2020/NĐ-CP ngày 14 tháng 12 năm 2020 của Chính phủ;</w:t>
      </w:r>
    </w:p>
    <w:p>
      <w:pPr>
        <w:pStyle w:val="Normal"/>
        <w:spacing w:before="60" w:after="12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Căn cứ nhu cầu và khả năng của hai bên;</w:t>
      </w:r>
    </w:p>
    <w:p>
      <w:pPr>
        <w:pStyle w:val="Normal"/>
        <w:spacing w:before="60" w:after="12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Hôm nay, ngày 01 tháng 03 năm 2024, tại Công ty TNHH Tiến Thịnh Sơn, 45 Nguyễn Trãi, Quận Thanh Xuân, Hà Nội.</w:t>
      </w:r>
    </w:p>
    <w:p>
      <w:pPr>
        <w:pStyle w:val="Normal"/>
        <w:spacing w:before="220" w:after="80"/>
        <w:rPr>
          <w:color w:val="000000"/>
        </w:rPr>
      </w:pPr>
      <w:r>
        <w:rPr>
          <w:rFonts w:eastAsia="Times New Roman" w:cs="Times New Roman"/>
          <w:b/>
          <w:bCs/>
          <w:caps/>
          <w:color w:val="000000"/>
          <w:sz w:val="24"/>
          <w:szCs w:val="24"/>
        </w:rPr>
        <w:t>Bên A: Người sử dụng lao động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Tên doanh nghiệp: </w:t>
      </w:r>
      <w:r>
        <w:rPr>
          <w:rFonts w:eastAsia="Times New Roman" w:cs="Times New Roman"/>
          <w:color w:val="000000"/>
          <w:sz w:val="24"/>
          <w:szCs w:val="24"/>
        </w:rPr>
        <w:t>Công ty TNHH Tiến Thịnh Sơn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Địa chỉ: </w:t>
      </w:r>
      <w:r>
        <w:rPr>
          <w:rFonts w:eastAsia="Times New Roman" w:cs="Times New Roman"/>
          <w:color w:val="000000"/>
          <w:sz w:val="24"/>
          <w:szCs w:val="24"/>
        </w:rPr>
        <w:t>45 Nguyễn Trãi, Phường Thượng Đình, Quận Thanh Xuân, Hà Nội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Điện thoại: </w:t>
      </w:r>
      <w:r>
        <w:rPr>
          <w:rFonts w:eastAsia="Times New Roman" w:cs="Times New Roman"/>
          <w:color w:val="000000"/>
          <w:sz w:val="24"/>
          <w:szCs w:val="24"/>
        </w:rPr>
        <w:t>024 3859 1122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Mã số thuế: </w:t>
      </w:r>
      <w:r>
        <w:rPr>
          <w:rFonts w:eastAsia="Times New Roman" w:cs="Times New Roman"/>
          <w:color w:val="000000"/>
          <w:sz w:val="24"/>
          <w:szCs w:val="24"/>
        </w:rPr>
        <w:t>0109876543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Người đại diện theo pháp luật: </w:t>
      </w:r>
      <w:r>
        <w:rPr>
          <w:rFonts w:eastAsia="Times New Roman" w:cs="Times New Roman"/>
          <w:color w:val="000000"/>
          <w:sz w:val="24"/>
          <w:szCs w:val="24"/>
        </w:rPr>
        <w:t>Ông Trần Văn Đức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Chức vụ: </w:t>
      </w:r>
      <w:r>
        <w:rPr>
          <w:rFonts w:eastAsia="Times New Roman" w:cs="Times New Roman"/>
          <w:color w:val="000000"/>
          <w:sz w:val="24"/>
          <w:szCs w:val="24"/>
        </w:rPr>
        <w:t>Giám đốc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220" w:after="80"/>
        <w:rPr>
          <w:color w:val="000000"/>
        </w:rPr>
      </w:pPr>
      <w:r>
        <w:rPr>
          <w:rFonts w:eastAsia="Times New Roman" w:cs="Times New Roman"/>
          <w:b/>
          <w:bCs/>
          <w:caps/>
          <w:color w:val="000000"/>
          <w:sz w:val="24"/>
          <w:szCs w:val="24"/>
        </w:rPr>
        <w:t>Bên B: Người lao động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Họ và tên: </w:t>
      </w:r>
      <w:r>
        <w:rPr>
          <w:rFonts w:eastAsia="Times New Roman" w:cs="Times New Roman"/>
          <w:color w:val="000000"/>
          <w:sz w:val="24"/>
          <w:szCs w:val="24"/>
        </w:rPr>
        <w:t>Nguyễn Thị Lan Anh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Ngày tháng năm sinh: </w:t>
      </w:r>
      <w:r>
        <w:rPr>
          <w:rFonts w:eastAsia="Times New Roman" w:cs="Times New Roman"/>
          <w:color w:val="000000"/>
          <w:sz w:val="24"/>
          <w:szCs w:val="24"/>
        </w:rPr>
        <w:t>15/07/1998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Giới tính: </w:t>
      </w:r>
      <w:r>
        <w:rPr>
          <w:rFonts w:eastAsia="Times New Roman" w:cs="Times New Roman"/>
          <w:color w:val="000000"/>
          <w:sz w:val="24"/>
          <w:szCs w:val="24"/>
        </w:rPr>
        <w:t>Nữ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Số CCCD: </w:t>
      </w:r>
      <w:r>
        <w:rPr>
          <w:rFonts w:eastAsia="Times New Roman" w:cs="Times New Roman"/>
          <w:color w:val="000000"/>
          <w:sz w:val="24"/>
          <w:szCs w:val="24"/>
        </w:rPr>
        <w:t>001098765432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Ngày cấp: </w:t>
      </w:r>
      <w:r>
        <w:rPr>
          <w:rFonts w:eastAsia="Times New Roman" w:cs="Times New Roman"/>
          <w:color w:val="000000"/>
          <w:sz w:val="24"/>
          <w:szCs w:val="24"/>
        </w:rPr>
        <w:t>20/09/2021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Nơi cấp: </w:t>
      </w:r>
      <w:r>
        <w:rPr>
          <w:rFonts w:eastAsia="Times New Roman" w:cs="Times New Roman"/>
          <w:color w:val="000000"/>
          <w:sz w:val="24"/>
          <w:szCs w:val="24"/>
        </w:rPr>
        <w:t>Cục Cảnh sát quản lý hành chính về TTXH - Hà Nội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Địa chỉ thường trú: </w:t>
      </w:r>
      <w:r>
        <w:rPr>
          <w:rFonts w:eastAsia="Times New Roman" w:cs="Times New Roman"/>
          <w:color w:val="000000"/>
          <w:sz w:val="24"/>
          <w:szCs w:val="24"/>
        </w:rPr>
        <w:t>18 Ngõ 5, Đường Láng, Đống Đa, Hà Nội</w:t>
      </w:r>
    </w:p>
    <w:p>
      <w:pPr>
        <w:pStyle w:val="Normal"/>
        <w:spacing w:before="60" w:after="60"/>
        <w:ind w:left="360" w:hanging="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Số điện thoại: </w:t>
      </w:r>
      <w:r>
        <w:rPr>
          <w:rFonts w:eastAsia="Times New Roman" w:cs="Times New Roman"/>
          <w:color w:val="000000"/>
          <w:sz w:val="24"/>
          <w:szCs w:val="24"/>
        </w:rPr>
        <w:t>0912 345 678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100" w:after="12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Hai bên cùng thỏa thuận ký kết Hợp đồng lao động với các điều khoản sau: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1. Loại hợp đồng và thời hạn hợp đồng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1.1. Loại hợp đồng: Hợp đồng lao động xác định thời hạn.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1.2. Thời hạn hợp đồng: từ ngày 01 tháng 03 năm 2024 đến ngày 28 tháng 02 năm 2026 (24 tháng).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1.3. Thời gian thử việc: 03 tháng, tính từ ngày 01 tháng 03 năm 2024.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2. Công việc và địa điểm làm việc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2.1. Vị trí công việc: Nhân viên Kế toán Tổng hợp.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2.2. Chức danh nghề nghiệp: Kế toán viên.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2.3. Địa điểm làm việc: Tầng 3, 45 Nguyễn Trãi, Quận Thanh Xuân, Hà Nội.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2.4. Mô tả công việc: Thực hiện hạch toán kế toán tổng hợp, lập báo cáo tài chính theo tháng/quý/năm, khai báo thuế, và các nhiệm vụ khác theo phân công.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3. Tiền lương và chế độ đãi ngộ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3.1. Mức lương cơ bản: 8.000.000 đồng/tháng (Tám triệu đồng chẵn/tháng).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3.2. Phụ cấp: 500.000 đồng/tháng, bao gồm: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Phụ cấp đi lại: 300.000 đồng/tháng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Phụ cấp ăn trưa: 200.000 đồng/tháng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3.3. Hình thức trả lương: Chuyển khoản ngân hàng.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3.4. Kỳ trả lương: Vào ngày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mùng 10 của tháng tiếp theo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4. Thời giờ làm việc và nghỉ ngơi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4.1. Thời gian làm việc: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10 giờ/ngày, 6 ngày/tuần (60 giờ/tuần).</w:t>
      </w:r>
      <w:r>
        <w:rPr>
          <w:rFonts w:eastAsia="Times New Roman" w:cs="Times New Roman"/>
          <w:i/>
          <w:iCs/>
          <w:color w:val="000000"/>
          <w:sz w:val="20"/>
          <w:szCs w:val="20"/>
        </w:rPr>
        <w:t xml:space="preserve">  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4.2. Giờ làm việc cụ thể: Từ 7h30 đến 12h00 (buổi sáng); từ 13h00 đến 18h30 (buổi chiều).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4.3. Nghỉ hàng tuần: Nghỉ Chủ nhật hàng tuần.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4.4. Nghỉ phép năm: Người lao động được hưởng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08 ngày phép/năm</w:t>
      </w:r>
      <w:r>
        <w:rPr>
          <w:rFonts w:eastAsia="Times New Roman" w:cs="Times New Roman"/>
          <w:i/>
          <w:iCs/>
          <w:color w:val="000000"/>
          <w:sz w:val="20"/>
          <w:szCs w:val="20"/>
        </w:rPr>
        <w:t xml:space="preserve">  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4.5. Nghỉ lễ, Tết: Theo quy định của pháp luật hiện hành.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5. Bảo hiểm xã hội, bảo hiểm y tế và bảo hiểm thất nghiệp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5.1. Bên A có trách nhiệm tham gia bảo hiểm xã hội, bảo hiểm y tế, bảo hiểm thất nghiệp cho Bên B theo quy định của pháp luật hiện hành.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5.2. Tuy nhiên, trong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06 tháng đầu thử việc, Bên A không đóng bảo hiểm xã hội cho Bên B</w:t>
      </w:r>
      <w:r>
        <w:rPr>
          <w:rFonts w:eastAsia="Times New Roman" w:cs="Times New Roman"/>
          <w:i/>
          <w:iCs/>
          <w:color w:val="000000"/>
          <w:sz w:val="20"/>
          <w:szCs w:val="20"/>
        </w:rPr>
        <w:t xml:space="preserve">  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6. Quyền và nghĩa vụ của Bên B (Người lao động)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6.1. Quyền lợi của Người lao động: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Được hưởng lương, thưởng và các khoản phúc lợi theo thỏa thuận;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Được tham gia đào tạo, nâng cao kỹ năng nghề nghiệp;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Được hưởng các chế độ BHXH, BHYT, BHTN theo quy định;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Được nghỉ lễ, Tết theo quy định pháp luật;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6.2. Nghĩa vụ của Người lao động: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Thực hiện đúng và đầy đủ các công việc được giao;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Chấp hành nội quy lao động và quy chế Công ty;</w:t>
      </w:r>
    </w:p>
    <w:p>
      <w:pPr>
        <w:pStyle w:val="Normal"/>
        <w:spacing w:before="60" w:after="60"/>
        <w:ind w:left="1080" w:hanging="0"/>
        <w:rPr>
          <w:color w:val="000000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- Bảo vệ tài sản, bí mật kinh doanh của Công ty;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-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Không được mang thai hoặc sinh con trong thời hạn hợp đồng; nếu vi phạm Công ty có quyền chấm dứt hợp đồng.</w:t>
      </w:r>
      <w:r>
        <w:rPr>
          <w:rFonts w:eastAsia="Times New Roman" w:cs="Times New Roman"/>
          <w:i/>
          <w:iCs/>
          <w:color w:val="000000"/>
          <w:sz w:val="20"/>
          <w:szCs w:val="20"/>
        </w:rPr>
        <w:t xml:space="preserve">  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7. Quyền và nghĩa vụ của Bên A (Người sử dụng lao động)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7.1. Bên A có quyền điều hành, phân công công việc cho Bên B theo phạm vi hợp đồng.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7.2. Bên A có nghĩa vụ thanh toán đầy đủ, đúng hạn tiền lương và các chế độ phúc lợi khác.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7.3. Bên A bảo đảm điều kiện làm việc an toàn, vệ sinh cho Người lao động.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7.4. Bên A có quyền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khấu trừ lương tháng của Bên B để bù đắp chi phí đào tạo nội bộ theo quyết định của Giám đốc, tối đa không giới hạn.</w:t>
      </w:r>
      <w:r>
        <w:rPr>
          <w:rFonts w:eastAsia="Times New Roman" w:cs="Times New Roman"/>
          <w:i/>
          <w:iCs/>
          <w:color w:val="000000"/>
          <w:sz w:val="20"/>
          <w:szCs w:val="20"/>
        </w:rPr>
        <w:t xml:space="preserve"> 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8. Chấm dứt hợp đồng lao động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8.1. Hợp đồng chấm dứt trong các trường hợp: hết thời hạn; hai bên thỏa thuận; người lao động đủ điều kiện hưởng lương hưu; các trường hợp khác theo pháp luật.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8.2. Nếu Bên B đơn phương chấm dứt hợp đồng, Bên B phải </w:t>
      </w: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nộp phạt vi phạm bằng 03 tháng lương cho Bên A.</w:t>
      </w:r>
      <w:r>
        <w:rPr>
          <w:rFonts w:eastAsia="Times New Roman" w:cs="Times New Roman"/>
          <w:i/>
          <w:iCs/>
          <w:color w:val="000000"/>
          <w:sz w:val="20"/>
          <w:szCs w:val="20"/>
        </w:rPr>
        <w:t xml:space="preserve">  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8.3. Khi chấm dứt hợp đồng, Bên A thanh toán đầy đủ các khoản tiền lương còn lại và quyền lợi khác trong 14 ngày làm việc.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9. Giải quyết tranh chấp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9.1. Tranh chấp được giải quyết trước hết bằng thương lượng, hòa giải.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9.2. Nếu không thỏa thuận được, tranh chấp đưa ra Hội đồng trọng tài lao động hoặc Tòa án nhân dân có thẩm quyền.</w:t>
      </w:r>
    </w:p>
    <w:p>
      <w:pPr>
        <w:pStyle w:val="Normal"/>
        <w:spacing w:before="180" w:after="60"/>
        <w:rPr>
          <w:color w:val="000000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Điều 10. Các điều khoản khác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10.1. Hợp đồng lập thành 02 bản có giá trị pháp lý như nhau, mỗi bên giữ 01 bản.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10.2. Hợp đồng có hiệu lực từ ngày 01/03/2024.</w:t>
      </w:r>
    </w:p>
    <w:p>
      <w:pPr>
        <w:pStyle w:val="Normal"/>
        <w:spacing w:before="60" w:after="60"/>
        <w:ind w:left="720" w:hanging="0"/>
        <w:rPr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>10.3. Các vấn đề khác không đề cập trong hợp đồng thực hiện theo quy định của Bộ luật Lao động và các văn bản pháp luật liên quan.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ĐẠI DIỆN BÊN A</w:t>
            </w:r>
          </w:p>
          <w:p>
            <w:pPr>
              <w:pStyle w:val="Normal"/>
              <w:widowControl w:val="false"/>
              <w:spacing w:before="40" w:after="200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(Ký, ghi rõ họ tên, đóng dấu)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BÊN B</w:t>
            </w:r>
          </w:p>
          <w:p>
            <w:pPr>
              <w:pStyle w:val="Normal"/>
              <w:widowControl w:val="false"/>
              <w:spacing w:before="40" w:after="200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(Ký, ghi rõ họ tên)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 w:val="false"/>
              <w:spacing w:before="700" w:after="0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Trần Văn Đức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 w:val="false"/>
              <w:spacing w:before="700" w:after="0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Nguyễn Thị Lan Anh</w:t>
            </w:r>
          </w:p>
        </w:tc>
      </w:tr>
    </w:tbl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1001</Words>
  <Characters>3712</Characters>
  <CharactersWithSpaces>4640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2026-05-12T16:58:24Z</dcterms:created>
  <dc:creator>Un-named</dc:creator>
  <dc:description/>
  <dc:language>en-US</dc:language>
  <cp:lastModifiedBy/>
  <dcterms:modified xsi:type="dcterms:W3CDTF">2026-05-13T00:01:15Z</dcterms:modified>
  <cp:revision>3</cp:revision>
  <dc:subject/>
  <dc:title/>
</cp:coreProperties>
</file>