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r>
        <w:rPr>
          <w:b/>
          <w:bCs/>
        </w:rPr>
        <w:t>CỘNG HÒA XÃ HỘI CHỦ NGHĨA VIỆT NAM</w:t>
      </w:r>
    </w:p>
    <w:p>
      <w:pPr>
        <w:pStyle w:val="Normal"/>
        <w:spacing w:lineRule="auto" w:line="360"/>
        <w:jc w:val="center"/>
        <w:rPr/>
      </w:pPr>
      <w:r>
        <w:rPr>
          <w:b/>
          <w:bCs/>
          <w:u w:val="single"/>
        </w:rPr>
        <w:t>Độc lập - Tự do - Hạnh phúc</w:t>
      </w:r>
    </w:p>
    <w:p>
      <w:pPr>
        <w:pStyle w:val="Normal"/>
        <w:spacing w:lineRule="auto" w:line="360"/>
        <w:jc w:val="center"/>
        <w:rPr>
          <w:i/>
          <w:i/>
          <w:iCs/>
        </w:rPr>
      </w:pPr>
      <w:r>
        <w:rPr>
          <w:i/>
          <w:iCs/>
        </w:rPr>
      </w:r>
    </w:p>
    <w:p>
      <w:pPr>
        <w:pStyle w:val="Normal"/>
        <w:spacing w:lineRule="auto" w:line="360"/>
        <w:jc w:val="center"/>
        <w:rPr>
          <w:b/>
          <w:b/>
          <w:sz w:val="28"/>
          <w:szCs w:val="28"/>
        </w:rPr>
      </w:pPr>
      <w:r>
        <w:rPr>
          <w:b/>
          <w:sz w:val="28"/>
          <w:szCs w:val="28"/>
          <w:lang w:val="vi-VN"/>
        </w:rPr>
        <w:t>HỢP ĐỒNG LAO ĐỘNG</w:t>
      </w:r>
      <w:r>
        <w:rPr>
          <w:b/>
          <w:sz w:val="28"/>
          <w:szCs w:val="28"/>
        </w:rPr>
        <w:t xml:space="preserve"> XÁC ĐỊNH THỜI HẠN</w:t>
      </w:r>
    </w:p>
    <w:p>
      <w:pPr>
        <w:pStyle w:val="Normal"/>
        <w:spacing w:lineRule="auto" w:line="360"/>
        <w:jc w:val="center"/>
        <w:rPr>
          <w:sz w:val="28"/>
          <w:szCs w:val="28"/>
        </w:rPr>
      </w:pPr>
      <w:r>
        <w:rPr>
          <w:sz w:val="28"/>
          <w:szCs w:val="28"/>
        </w:rPr>
        <w:t>(Số 2508 /HĐLĐ)</w:t>
      </w:r>
    </w:p>
    <w:p>
      <w:pPr>
        <w:pStyle w:val="Normal"/>
        <w:spacing w:lineRule="auto" w:line="360" w:before="0" w:after="120"/>
        <w:rPr>
          <w:b/>
          <w:b/>
          <w:i/>
          <w:i/>
          <w:iCs/>
        </w:rPr>
      </w:pPr>
      <w:r>
        <w:rPr>
          <w:b/>
          <w:i/>
          <w:iCs/>
        </w:rPr>
        <w:t xml:space="preserve">Căn cứ: </w:t>
      </w:r>
    </w:p>
    <w:p>
      <w:pPr>
        <w:pStyle w:val="ListParagraph"/>
        <w:numPr>
          <w:ilvl w:val="0"/>
          <w:numId w:val="1"/>
        </w:numPr>
        <w:spacing w:lineRule="auto" w:line="360" w:before="0" w:after="120"/>
        <w:contextualSpacing/>
        <w:rPr>
          <w:i/>
          <w:i/>
          <w:iCs/>
          <w:lang w:val="vi-VN"/>
        </w:rPr>
      </w:pPr>
      <w:r>
        <w:rPr>
          <w:i/>
          <w:iCs/>
          <w:lang w:val="vi-VN"/>
        </w:rPr>
        <w:t xml:space="preserve">Bộ luật lao động </w:t>
      </w:r>
      <w:r>
        <w:rPr>
          <w:i/>
          <w:iCs/>
        </w:rPr>
        <w:t>2019</w:t>
      </w:r>
      <w:r>
        <w:rPr>
          <w:i/>
          <w:iCs/>
          <w:lang w:val="vi-VN"/>
        </w:rPr>
        <w:t xml:space="preserve"> &amp; </w:t>
      </w:r>
      <w:r>
        <w:rPr>
          <w:i/>
          <w:iCs/>
        </w:rPr>
        <w:t>các N</w:t>
      </w:r>
      <w:r>
        <w:rPr>
          <w:i/>
          <w:iCs/>
          <w:lang w:val="vi-VN"/>
        </w:rPr>
        <w:t>ghị định</w:t>
      </w:r>
      <w:r>
        <w:rPr>
          <w:i/>
          <w:iCs/>
        </w:rPr>
        <w:t xml:space="preserve"> hướng dẫn</w:t>
      </w:r>
    </w:p>
    <w:p>
      <w:pPr>
        <w:pStyle w:val="ListParagraph"/>
        <w:numPr>
          <w:ilvl w:val="0"/>
          <w:numId w:val="1"/>
        </w:numPr>
        <w:spacing w:lineRule="auto" w:line="360" w:before="0" w:after="120"/>
        <w:contextualSpacing/>
        <w:rPr>
          <w:i/>
          <w:i/>
          <w:iCs/>
          <w:lang w:val="vi-VN"/>
        </w:rPr>
      </w:pPr>
      <w:r>
        <w:rPr>
          <w:i/>
          <w:iCs/>
          <w:lang w:val="vi-VN"/>
        </w:rPr>
        <w:t>Khả năng và nhu cầu của các bên</w:t>
      </w:r>
    </w:p>
    <w:p>
      <w:pPr>
        <w:pStyle w:val="Normal"/>
        <w:spacing w:lineRule="auto" w:line="360" w:before="0" w:after="120"/>
        <w:jc w:val="both"/>
        <w:rPr>
          <w:lang w:val="vi-VN"/>
        </w:rPr>
      </w:pPr>
      <w:r>
        <w:rPr>
          <w:lang w:val="vi-VN"/>
        </w:rPr>
        <w:t>Hôm nay, ngày 25 tháng 08 năm 2020, tại Công ty Cổ phần Dược phẩm Á Châu, chúng tôi gồm:</w:t>
      </w:r>
    </w:p>
    <w:p>
      <w:pPr>
        <w:pStyle w:val="Normal"/>
        <w:ind w:firstLine="720"/>
        <w:jc w:val="both"/>
        <w:rPr>
          <w:b/>
          <w:b/>
          <w:bCs/>
          <w:u w:val="single"/>
          <w:lang w:val="vi-VN"/>
        </w:rPr>
      </w:pPr>
      <w:r>
        <w:rPr>
          <w:b/>
          <w:bCs/>
          <w:u w:val="single"/>
          <w:lang w:val="vi-VN"/>
        </w:rPr>
        <w:t>Bên A : Người sử dụng lao động</w:t>
      </w:r>
    </w:p>
    <w:p>
      <w:pPr>
        <w:pStyle w:val="Normal"/>
        <w:jc w:val="both"/>
        <w:rPr>
          <w:lang w:val="vi-VN"/>
        </w:rPr>
      </w:pPr>
      <w:r>
        <w:rPr>
          <w:lang w:val="vi-VN"/>
        </w:rPr>
        <w:t xml:space="preserve">Công ty </w:t>
        <w:tab/>
        <w:t>: CÔNG TY CỔ PHẦN DƯỢC PHẨM Á CHÂU</w:t>
      </w:r>
    </w:p>
    <w:p>
      <w:pPr>
        <w:pStyle w:val="Normal"/>
        <w:jc w:val="both"/>
        <w:rPr>
          <w:lang w:val="vi-VN"/>
        </w:rPr>
      </w:pPr>
      <w:r>
        <w:rPr>
          <w:lang w:val="vi-VN"/>
        </w:rPr>
        <w:t>Mã số thuế      : 1934803729</w:t>
      </w:r>
    </w:p>
    <w:p>
      <w:pPr>
        <w:pStyle w:val="Normal"/>
        <w:ind w:left="1418" w:hanging="1418"/>
        <w:jc w:val="both"/>
        <w:rPr>
          <w:lang w:val="vi-VN"/>
        </w:rPr>
      </w:pPr>
      <w:r>
        <w:rPr>
          <w:lang w:val="vi-VN"/>
        </w:rPr>
        <w:t>Đia chỉ</w:t>
        <w:tab/>
        <w:tab/>
        <w:t>: Số 188 Mai Dịch, Cầu Giấy, Hà Nội</w:t>
      </w:r>
    </w:p>
    <w:p>
      <w:pPr>
        <w:pStyle w:val="Normal"/>
        <w:jc w:val="both"/>
        <w:rPr>
          <w:lang w:val="vi-VN"/>
        </w:rPr>
      </w:pPr>
      <w:r>
        <w:rPr>
          <w:lang w:val="vi-VN"/>
        </w:rPr>
        <w:t>Điện thoại</w:t>
        <w:tab/>
        <w:t>: 0247593788</w:t>
      </w:r>
    </w:p>
    <w:p>
      <w:pPr>
        <w:pStyle w:val="Normal"/>
        <w:spacing w:before="0" w:after="120"/>
        <w:jc w:val="both"/>
        <w:rPr>
          <w:lang w:val="vi-VN"/>
        </w:rPr>
      </w:pPr>
      <w:r>
        <w:rPr>
          <w:lang w:val="vi-VN"/>
        </w:rPr>
        <w:t>Đại diện</w:t>
        <w:tab/>
        <w:t>: Bà Nguyễn Bảo Châu   Chức vụ: Giám đốc</w:t>
        <w:tab/>
      </w:r>
    </w:p>
    <w:p>
      <w:pPr>
        <w:pStyle w:val="Normal"/>
        <w:spacing w:before="0" w:after="120"/>
        <w:ind w:firstLine="720"/>
        <w:rPr>
          <w:b/>
          <w:b/>
          <w:bCs/>
          <w:u w:val="single"/>
          <w:lang w:val="vi-VN"/>
        </w:rPr>
      </w:pPr>
      <w:r>
        <w:rPr>
          <w:b/>
          <w:bCs/>
          <w:u w:val="single"/>
          <w:lang w:val="vi-VN"/>
        </w:rPr>
        <w:t xml:space="preserve">Bên B : </w:t>
      </w:r>
      <w:r>
        <w:rPr>
          <w:b/>
          <w:bCs/>
          <w:u w:val="single"/>
          <w:lang w:val="en-US"/>
        </w:rPr>
        <w:t>Ngư</w:t>
      </w:r>
      <w:r>
        <w:rPr>
          <w:b/>
          <w:bCs/>
          <w:u w:val="single"/>
          <w:lang w:val="vi-VN"/>
        </w:rPr>
        <w:t>ời lao động</w:t>
      </w:r>
    </w:p>
    <w:tbl>
      <w:tblPr>
        <w:tblStyle w:val="TableGrid"/>
        <w:tblW w:w="9327"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60"/>
        <w:gridCol w:w="4436"/>
        <w:gridCol w:w="3331"/>
      </w:tblGrid>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Họ và tên</w:t>
            </w:r>
          </w:p>
        </w:tc>
        <w:tc>
          <w:tcPr>
            <w:tcW w:w="4436"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rStyle w:val="Strong"/>
                <w:rFonts w:eastAsia="Tahoma"/>
                <w:color w:val="auto"/>
                <w:kern w:val="0"/>
                <w:szCs w:val="24"/>
                <w:lang w:val="en-US" w:bidi="ar-SA"/>
              </w:rPr>
              <w:t>:</w:t>
            </w:r>
            <w:r>
              <w:rPr>
                <w:kern w:val="0"/>
                <w:lang w:val="en-US" w:eastAsia="vi-VN" w:bidi="ar-SA"/>
              </w:rPr>
              <w:t xml:space="preserve"> HOÀNG THỊ NGỌC LAN</w:t>
            </w:r>
          </w:p>
        </w:tc>
        <w:tc>
          <w:tcPr>
            <w:tcW w:w="3331"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color w:val="auto"/>
                <w:kern w:val="0"/>
                <w:szCs w:val="24"/>
                <w:lang w:val="en-US" w:bidi="ar-SA"/>
              </w:rPr>
              <w:t xml:space="preserve">Giới tính: </w:t>
            </w:r>
            <w:r>
              <w:rPr>
                <w:rFonts w:eastAsia="Times New Roman"/>
                <w:bCs/>
                <w:color w:val="auto"/>
                <w:kern w:val="0"/>
                <w:szCs w:val="24"/>
                <w:lang w:val="en-US" w:bidi="ar-SA"/>
              </w:rPr>
              <w:t>Nữ</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Sinh ngày</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10</w:t>
            </w:r>
            <w:r>
              <w:rPr>
                <w:rFonts w:eastAsia="Times New Roman"/>
                <w:bCs/>
                <w:color w:val="auto"/>
                <w:kern w:val="0"/>
                <w:szCs w:val="24"/>
                <w:lang w:val="en-US" w:bidi="ar-SA"/>
              </w:rPr>
              <w:t xml:space="preserve"> /09/1990</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CMND số</w:t>
            </w:r>
          </w:p>
        </w:tc>
        <w:tc>
          <w:tcPr>
            <w:tcW w:w="7767" w:type="dxa"/>
            <w:gridSpan w:val="2"/>
            <w:tcBorders>
              <w:top w:val="nil"/>
              <w:left w:val="nil"/>
              <w:bottom w:val="nil"/>
              <w:right w:val="nil"/>
            </w:tcBorders>
          </w:tcPr>
          <w:p>
            <w:pPr>
              <w:pStyle w:val="Chu"/>
              <w:widowControl/>
              <w:tabs>
                <w:tab w:val="clear" w:pos="720"/>
                <w:tab w:val="left" w:pos="2289" w:leader="dot"/>
                <w:tab w:val="left" w:pos="4854" w:leader="dot"/>
                <w:tab w:val="right" w:pos="6838" w:leader="dot"/>
              </w:tabs>
              <w:spacing w:before="60" w:after="60"/>
              <w:rPr>
                <w:b/>
                <w:b/>
                <w:color w:val="auto"/>
                <w:szCs w:val="24"/>
              </w:rPr>
            </w:pPr>
            <w:r>
              <w:rPr>
                <w:rStyle w:val="Strong"/>
                <w:rFonts w:eastAsia="Tahoma"/>
                <w:color w:val="auto"/>
                <w:kern w:val="0"/>
                <w:szCs w:val="24"/>
                <w:lang w:val="en-US" w:bidi="ar-SA"/>
              </w:rPr>
              <w:t>:</w:t>
            </w:r>
            <w:r>
              <w:rPr>
                <w:rFonts w:eastAsia="Times New Roman"/>
                <w:b/>
                <w:color w:val="auto"/>
                <w:kern w:val="0"/>
                <w:szCs w:val="24"/>
                <w:lang w:val="en-US" w:bidi="ar-SA"/>
              </w:rPr>
              <w:t xml:space="preserve"> </w:t>
            </w:r>
            <w:r>
              <w:rPr>
                <w:rFonts w:eastAsia="Times New Roman"/>
                <w:bCs/>
                <w:color w:val="auto"/>
                <w:kern w:val="0"/>
                <w:szCs w:val="24"/>
                <w:lang w:val="en-US" w:bidi="ar-SA"/>
              </w:rPr>
              <w:t>0204783678 –</w:t>
            </w:r>
            <w:r>
              <w:rPr>
                <w:rFonts w:eastAsia="Times New Roman"/>
                <w:color w:val="auto"/>
                <w:kern w:val="0"/>
                <w:szCs w:val="24"/>
                <w:lang w:val="en-US" w:bidi="ar-SA"/>
              </w:rPr>
              <w:t xml:space="preserve"> </w:t>
            </w:r>
            <w:r>
              <w:rPr>
                <w:rStyle w:val="Strong"/>
                <w:rFonts w:eastAsia="Tahoma"/>
                <w:b w:val="false"/>
                <w:color w:val="auto"/>
                <w:kern w:val="0"/>
                <w:szCs w:val="24"/>
                <w:lang w:val="en-US" w:bidi="ar-SA"/>
              </w:rPr>
              <w:t>Ngày cấp:</w:t>
            </w:r>
            <w:r>
              <w:rPr>
                <w:rFonts w:eastAsia="Times New Roman"/>
                <w:bCs/>
                <w:color w:val="auto"/>
                <w:kern w:val="0"/>
                <w:szCs w:val="24"/>
                <w:lang w:val="en-US" w:bidi="ar-SA"/>
              </w:rPr>
              <w:t xml:space="preserve"> 20/2/2010– </w:t>
            </w:r>
            <w:r>
              <w:rPr>
                <w:rStyle w:val="Strong"/>
                <w:rFonts w:eastAsia="Tahoma"/>
                <w:b w:val="false"/>
                <w:color w:val="auto"/>
                <w:kern w:val="0"/>
                <w:szCs w:val="24"/>
                <w:lang w:val="en-US" w:bidi="ar-SA"/>
              </w:rPr>
              <w:t>Nơi cấp:</w:t>
            </w:r>
            <w:r>
              <w:rPr>
                <w:rStyle w:val="Strong"/>
                <w:rFonts w:eastAsia="Tahoma"/>
                <w:color w:val="auto"/>
                <w:kern w:val="0"/>
                <w:szCs w:val="24"/>
                <w:lang w:val="en-US" w:bidi="ar-SA"/>
              </w:rPr>
              <w:t xml:space="preserve"> </w:t>
            </w:r>
            <w:r>
              <w:rPr>
                <w:rFonts w:eastAsia="Times New Roman"/>
                <w:bCs/>
                <w:color w:val="auto"/>
                <w:kern w:val="0"/>
                <w:szCs w:val="24"/>
                <w:lang w:val="en-US" w:bidi="ar-SA"/>
              </w:rPr>
              <w:t>Công an thành phố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Địa chỉ</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Style w:val="Strong"/>
                <w:rFonts w:eastAsia="Tahoma"/>
                <w:b w:val="false"/>
                <w:color w:val="auto"/>
                <w:kern w:val="0"/>
                <w:szCs w:val="24"/>
                <w:lang w:val="en-US" w:bidi="ar-SA"/>
              </w:rPr>
              <w:t>phường Dịch Vọng, quận Cầu Giấy,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Điện thoại</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0857490394</w:t>
            </w:r>
          </w:p>
        </w:tc>
      </w:tr>
    </w:tbl>
    <w:p>
      <w:pPr>
        <w:pStyle w:val="Normal"/>
        <w:spacing w:before="0" w:after="120"/>
        <w:rPr>
          <w:i/>
          <w:i/>
          <w:iCs/>
          <w:lang w:val="en-US"/>
        </w:rPr>
      </w:pPr>
      <w:r>
        <w:rPr>
          <w:i/>
          <w:iCs/>
          <w:lang w:val="en-US"/>
        </w:rPr>
      </w:r>
    </w:p>
    <w:p>
      <w:pPr>
        <w:pStyle w:val="Normal"/>
        <w:spacing w:before="0" w:after="120"/>
        <w:rPr>
          <w:i/>
          <w:i/>
          <w:iCs/>
        </w:rPr>
      </w:pPr>
      <w:r>
        <w:rPr>
          <w:i/>
          <w:iCs/>
          <w:lang w:val="en-US"/>
        </w:rPr>
        <w:t>Cùng tho</w:t>
      </w:r>
      <w:r>
        <w:rPr>
          <w:i/>
          <w:iCs/>
          <w:lang w:val="vi-VN"/>
        </w:rPr>
        <w:t>ả thuận k</w:t>
      </w:r>
      <w:r>
        <w:rPr>
          <w:i/>
          <w:iCs/>
        </w:rPr>
        <w:t>ý k</w:t>
      </w:r>
      <w:r>
        <w:rPr>
          <w:i/>
          <w:iCs/>
          <w:lang w:val="vi-VN"/>
        </w:rPr>
        <w:t>ết hợp đồng lao động v</w:t>
      </w:r>
      <w:r>
        <w:rPr>
          <w:i/>
          <w:iCs/>
        </w:rPr>
        <w:t>à cam k</w:t>
      </w:r>
      <w:r>
        <w:rPr>
          <w:i/>
          <w:iCs/>
          <w:lang w:val="vi-VN"/>
        </w:rPr>
        <w:t>ết l</w:t>
      </w:r>
      <w:r>
        <w:rPr>
          <w:i/>
          <w:iCs/>
        </w:rPr>
        <w:t>àm đúng nh</w:t>
      </w:r>
      <w:r>
        <w:rPr>
          <w:i/>
          <w:iCs/>
          <w:lang w:val="vi-VN"/>
        </w:rPr>
        <w:t>ững điều khoản sau đ</w:t>
      </w:r>
      <w:r>
        <w:rPr>
          <w:i/>
          <w:iCs/>
        </w:rPr>
        <w:t>ây:</w:t>
      </w:r>
    </w:p>
    <w:p>
      <w:pPr>
        <w:pStyle w:val="Normal"/>
        <w:spacing w:lineRule="atLeast" w:line="312" w:before="0" w:after="120"/>
        <w:jc w:val="both"/>
        <w:rPr>
          <w:b/>
          <w:b/>
          <w:bCs/>
          <w:lang w:val="vi-VN"/>
        </w:rPr>
      </w:pPr>
      <w:r>
        <w:rPr>
          <w:b/>
          <w:bCs/>
          <w:u w:val="single"/>
          <w:lang w:val="en-US"/>
        </w:rPr>
        <w:t>Đi</w:t>
      </w:r>
      <w:r>
        <w:rPr>
          <w:b/>
          <w:bCs/>
          <w:u w:val="single"/>
          <w:lang w:val="vi-VN"/>
        </w:rPr>
        <w:t>ều 1</w:t>
      </w:r>
      <w:r>
        <w:rPr>
          <w:b/>
          <w:bCs/>
          <w:lang w:val="vi-VN"/>
        </w:rPr>
        <w:t>: C</w:t>
      </w:r>
      <w:r>
        <w:rPr>
          <w:b/>
          <w:bCs/>
        </w:rPr>
        <w:t>ông vi</w:t>
      </w:r>
      <w:r>
        <w:rPr>
          <w:b/>
          <w:bCs/>
          <w:lang w:val="vi-VN"/>
        </w:rPr>
        <w:t>ệc, địa điểm l</w:t>
      </w:r>
      <w:r>
        <w:rPr>
          <w:b/>
          <w:bCs/>
        </w:rPr>
        <w:t>àm vi</w:t>
      </w:r>
      <w:r>
        <w:rPr>
          <w:b/>
          <w:bCs/>
          <w:lang w:val="vi-VN"/>
        </w:rPr>
        <w:t>ệc v</w:t>
      </w:r>
      <w:r>
        <w:rPr>
          <w:b/>
          <w:bCs/>
        </w:rPr>
        <w:t>à th</w:t>
      </w:r>
      <w:r>
        <w:rPr>
          <w:b/>
          <w:bCs/>
          <w:lang w:val="vi-VN"/>
        </w:rPr>
        <w:t>ời hạn của Hợp đồng</w:t>
      </w:r>
    </w:p>
    <w:p>
      <w:pPr>
        <w:pStyle w:val="Normal"/>
        <w:spacing w:lineRule="auto" w:line="360"/>
        <w:jc w:val="both"/>
        <w:rPr>
          <w:lang w:val="vi-VN"/>
        </w:rPr>
      </w:pPr>
      <w:r>
        <w:rPr>
          <w:lang w:val="vi-VN"/>
        </w:rPr>
        <w:t>- Công việc phải làm: Nhân viên Kế Toán</w:t>
      </w:r>
    </w:p>
    <w:p>
      <w:pPr>
        <w:pStyle w:val="Normal"/>
        <w:spacing w:lineRule="auto" w:line="360" w:before="0" w:after="120"/>
        <w:jc w:val="both"/>
        <w:rPr>
          <w:lang w:val="vi-VN"/>
        </w:rPr>
      </w:pPr>
      <w:r>
        <w:rPr>
          <w:lang w:val="vi-VN"/>
        </w:rPr>
        <w:t>- Địa điểm làm việc: Số 188 Mai Dịch, Cầu Giấy, Hà Nội</w:t>
      </w:r>
    </w:p>
    <w:p>
      <w:pPr>
        <w:pStyle w:val="Normal"/>
        <w:spacing w:lineRule="atLeast" w:line="312" w:before="0" w:after="120"/>
        <w:jc w:val="both"/>
        <w:rPr>
          <w:lang w:val="vi-VN"/>
        </w:rPr>
      </w:pPr>
      <w:r>
        <w:rPr>
          <w:lang w:val="vi-VN"/>
        </w:rPr>
        <w:t>- Loại hợp đồng: Hợp đồng lao động xác định thời hạn – Ký lần thứ nhất</w:t>
      </w:r>
    </w:p>
    <w:p>
      <w:pPr>
        <w:pStyle w:val="Normal"/>
        <w:spacing w:lineRule="atLeast" w:line="312" w:before="0" w:after="120"/>
        <w:jc w:val="both"/>
        <w:rPr>
          <w:lang w:val="vi-VN"/>
        </w:rPr>
      </w:pPr>
      <w:r>
        <w:rPr>
          <w:lang w:val="vi-VN"/>
        </w:rPr>
        <w:t xml:space="preserve">- Thời hạn hợp đồng: 01 năm </w:t>
      </w:r>
    </w:p>
    <w:p>
      <w:pPr>
        <w:pStyle w:val="Normal"/>
        <w:spacing w:lineRule="atLeast" w:line="312" w:before="0" w:after="120"/>
        <w:jc w:val="both"/>
        <w:rPr>
          <w:lang w:val="vi-VN"/>
        </w:rPr>
      </w:pPr>
      <w:r>
        <w:rPr>
          <w:lang w:val="vi-VN"/>
        </w:rPr>
        <w:t>- Từ ngày 5 tháng 03 năm 2021 đến ngày 5 tháng 03 năm 2022</w:t>
      </w:r>
    </w:p>
    <w:p>
      <w:pPr>
        <w:pStyle w:val="Normal"/>
        <w:spacing w:lineRule="atLeast" w:line="312" w:before="120" w:after="120"/>
        <w:jc w:val="both"/>
        <w:rPr>
          <w:b/>
          <w:b/>
          <w:bCs/>
          <w:lang w:val="vi-VN"/>
        </w:rPr>
      </w:pPr>
      <w:r>
        <w:rPr>
          <w:b/>
          <w:bCs/>
          <w:u w:val="single"/>
          <w:lang w:val="vi-VN"/>
        </w:rPr>
        <w:t>Điều 2</w:t>
      </w:r>
      <w:r>
        <w:rPr>
          <w:b/>
          <w:bCs/>
          <w:lang w:val="vi-VN"/>
        </w:rPr>
        <w:t xml:space="preserve">: Lương, phụ cấp, các khoản bổ sung khác </w:t>
      </w:r>
    </w:p>
    <w:tbl>
      <w:tblPr>
        <w:tblW w:w="94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618"/>
        <w:gridCol w:w="2619"/>
        <w:gridCol w:w="1171"/>
        <w:gridCol w:w="3059"/>
      </w:tblGrid>
      <w:tr>
        <w:trPr>
          <w:trHeight w:val="1" w:hRule="atLeast"/>
        </w:trPr>
        <w:tc>
          <w:tcPr>
            <w:tcW w:w="2618" w:type="dxa"/>
            <w:tcBorders/>
            <w:shd w:color="000000" w:fill="FFFFFF" w:val="clear"/>
          </w:tcPr>
          <w:p>
            <w:pPr>
              <w:pStyle w:val="Normal"/>
              <w:widowControl w:val="false"/>
              <w:spacing w:before="0" w:after="120"/>
              <w:rPr>
                <w:lang w:val="en-US"/>
              </w:rPr>
            </w:pPr>
            <w:r>
              <w:rPr>
                <w:lang w:val="en-US"/>
              </w:rPr>
              <w:t>Lương căn b</w:t>
            </w:r>
            <w:r>
              <w:rPr>
                <w:lang w:val="vi-VN"/>
              </w:rPr>
              <w:t xml:space="preserve">ản:                </w:t>
            </w:r>
          </w:p>
        </w:tc>
        <w:tc>
          <w:tcPr>
            <w:tcW w:w="2619" w:type="dxa"/>
            <w:tcBorders/>
            <w:shd w:color="000000" w:fill="FFFFFF" w:val="clear"/>
          </w:tcPr>
          <w:p>
            <w:pPr>
              <w:pStyle w:val="Normal"/>
              <w:widowControl w:val="false"/>
              <w:tabs>
                <w:tab w:val="clear" w:pos="720"/>
                <w:tab w:val="right" w:pos="2403" w:leader="none"/>
              </w:tabs>
              <w:spacing w:before="0" w:after="120"/>
              <w:jc w:val="right"/>
              <w:rPr>
                <w:lang w:val="en-US"/>
              </w:rPr>
            </w:pPr>
            <w:r>
              <w:rPr>
                <w:lang w:val="en-US"/>
              </w:rPr>
              <w:t xml:space="preserve">7.000.000 </w:t>
            </w:r>
            <w:r>
              <w:rPr>
                <w:lang w:val="vi-VN"/>
              </w:rPr>
              <w:t>đồng/th</w:t>
            </w:r>
            <w:r>
              <w:rPr/>
              <w:t>áng</w:t>
              <w:tab/>
            </w:r>
          </w:p>
        </w:tc>
        <w:tc>
          <w:tcPr>
            <w:tcW w:w="1171" w:type="dxa"/>
            <w:tcBorders/>
            <w:shd w:color="000000" w:fill="FFFFFF" w:val="clear"/>
          </w:tcPr>
          <w:p>
            <w:pPr>
              <w:pStyle w:val="Normal"/>
              <w:widowControl w:val="false"/>
              <w:spacing w:before="0" w:after="120"/>
              <w:rPr>
                <w:lang w:val="en-US"/>
              </w:rPr>
            </w:pPr>
            <w:r>
              <w:rPr>
                <w:lang w:val="en-US"/>
              </w:rPr>
              <w:t>Ph</w:t>
            </w:r>
            <w:r>
              <w:rPr>
                <w:lang w:val="vi-VN"/>
              </w:rPr>
              <w:t xml:space="preserve">ụ cấp: </w:t>
            </w:r>
          </w:p>
        </w:tc>
        <w:tc>
          <w:tcPr>
            <w:tcW w:w="3059" w:type="dxa"/>
            <w:tcBorders/>
            <w:shd w:color="000000" w:fill="FFFFFF" w:val="clear"/>
          </w:tcPr>
          <w:p>
            <w:pPr>
              <w:pStyle w:val="Normal"/>
              <w:widowControl w:val="false"/>
              <w:spacing w:before="0" w:after="120"/>
              <w:rPr>
                <w:lang w:val="en-US"/>
              </w:rPr>
            </w:pPr>
            <w:r>
              <w:rPr>
                <w:lang w:val="en-US"/>
              </w:rPr>
              <w:t>300.000đ</w:t>
            </w:r>
            <w:r>
              <w:rPr>
                <w:lang w:val="vi-VN"/>
              </w:rPr>
              <w:t>ồng/th</w:t>
            </w:r>
            <w:r>
              <w:rPr/>
              <w:t>áng</w:t>
            </w:r>
          </w:p>
        </w:tc>
      </w:tr>
      <w:tr>
        <w:trPr>
          <w:trHeight w:val="215" w:hRule="atLeast"/>
        </w:trPr>
        <w:tc>
          <w:tcPr>
            <w:tcW w:w="9467" w:type="dxa"/>
            <w:gridSpan w:val="4"/>
            <w:tcBorders/>
            <w:shd w:color="000000" w:fill="FFFFFF" w:val="clear"/>
          </w:tcPr>
          <w:p>
            <w:pPr>
              <w:pStyle w:val="Normal"/>
              <w:widowControl w:val="false"/>
              <w:spacing w:before="0" w:after="120"/>
              <w:rPr>
                <w:lang w:val="en-US"/>
              </w:rPr>
            </w:pPr>
            <w:r>
              <w:rPr>
                <w:lang w:val="en-US"/>
              </w:rPr>
              <w:t>Các kho</w:t>
            </w:r>
            <w:r>
              <w:rPr>
                <w:lang w:val="vi-VN"/>
              </w:rPr>
              <w:t>ản bổ sung kh</w:t>
            </w:r>
            <w:r>
              <w:rPr/>
              <w:t>ác: tùy quy đ</w:t>
            </w:r>
            <w:r>
              <w:rPr>
                <w:lang w:val="vi-VN"/>
              </w:rPr>
              <w:t>ịnh cụ thể của C</w:t>
            </w:r>
            <w:r>
              <w:rPr/>
              <w:t>ông ty</w:t>
            </w:r>
          </w:p>
        </w:tc>
      </w:tr>
    </w:tbl>
    <w:p>
      <w:pPr>
        <w:pStyle w:val="Normal"/>
        <w:spacing w:lineRule="atLeast" w:line="312" w:before="120" w:after="120"/>
        <w:jc w:val="both"/>
        <w:rPr>
          <w:lang w:val="vi-VN"/>
        </w:rPr>
      </w:pPr>
      <w:r>
        <w:rPr>
          <w:lang w:val="en-US"/>
        </w:rPr>
        <w:t>- Hình th</w:t>
      </w:r>
      <w:r>
        <w:rPr>
          <w:lang w:val="vi-VN"/>
        </w:rPr>
        <w:t xml:space="preserve">ức trả lương: Tiền mặt hoặc chuyển khoản. Được trả lương vào ngày 10 của tháng. </w:t>
      </w:r>
    </w:p>
    <w:p>
      <w:pPr>
        <w:pStyle w:val="Normal"/>
        <w:spacing w:lineRule="atLeast" w:line="312" w:before="0" w:after="120"/>
        <w:jc w:val="both"/>
        <w:rPr>
          <w:lang w:val="vi-VN"/>
        </w:rPr>
      </w:pPr>
      <w:r>
        <w:rPr>
          <w:lang w:val="vi-VN"/>
        </w:rPr>
        <w:t>- Chế độ nâng bậc, nâng lương: Theo quy định công ty và theo kết quả làm việc.</w:t>
      </w:r>
    </w:p>
    <w:p>
      <w:pPr>
        <w:pStyle w:val="Normal"/>
        <w:spacing w:lineRule="atLeast" w:line="312" w:before="0" w:after="120"/>
        <w:jc w:val="both"/>
        <w:rPr>
          <w:b/>
          <w:b/>
          <w:bCs/>
          <w:lang w:val="vi-VN"/>
        </w:rPr>
      </w:pPr>
      <w:r>
        <w:rPr>
          <w:b/>
          <w:bCs/>
          <w:u w:val="single"/>
          <w:lang w:val="vi-VN"/>
        </w:rPr>
        <w:t>Điều 3</w:t>
      </w:r>
      <w:r>
        <w:rPr>
          <w:b/>
          <w:bCs/>
          <w:lang w:val="vi-VN"/>
        </w:rPr>
        <w:t>: Thời giờ làm việc, nghỉ ngơi, bảo hộ lao động, BHXH, BHYT, BHTN</w:t>
      </w:r>
    </w:p>
    <w:p>
      <w:pPr>
        <w:pStyle w:val="Normal"/>
        <w:spacing w:before="0" w:after="120"/>
        <w:jc w:val="both"/>
        <w:rPr>
          <w:lang w:val="vi-VN"/>
        </w:rPr>
      </w:pPr>
      <w:r>
        <w:rPr>
          <w:lang w:val="vi-VN"/>
        </w:rPr>
        <w:t xml:space="preserve">- Thời giờ làm việc: 8 giờ/ngày, 48 giờ/tuần, từ 07h45 đến 11h55 và 13h40 đến  17h30. Nghỉ hàng tuần: ngày Chủ nhật. </w:t>
      </w:r>
    </w:p>
    <w:p>
      <w:pPr>
        <w:pStyle w:val="Normal"/>
        <w:spacing w:lineRule="atLeast" w:line="312" w:before="0" w:after="120"/>
        <w:jc w:val="both"/>
        <w:rPr>
          <w:lang w:val="vi-VN"/>
        </w:rPr>
      </w:pPr>
      <w:r>
        <w:rPr>
          <w:lang w:val="vi-VN"/>
        </w:rPr>
        <w:t>- Chế độ nghỉ ngơi các ngày lễ, tết, phép năm: Được nghỉ phép 12 ngày/năm. Trong đó, có 6 ngày nghỉ phép theo lịch của Công ty (nghỉ thêm ngày tết, du lịch cùng công ty) và 6 ngày nghỉ phép theo lịch cá nhân (ốm, bận việc riêng,…). Trường hợp nghỉ phép theo lịch cá nhân thì phải có đơn xin phép theo Quy định của Công ty. Các chế độ nghỉ ngơi khác theo quy định cuả Luật Lao Động hiện hành;</w:t>
      </w:r>
    </w:p>
    <w:p>
      <w:pPr>
        <w:pStyle w:val="Normal"/>
        <w:spacing w:lineRule="atLeast" w:line="312" w:before="0" w:after="120"/>
        <w:jc w:val="both"/>
        <w:rPr>
          <w:lang w:val="vi-VN"/>
        </w:rPr>
      </w:pPr>
      <w:r>
        <w:rPr>
          <w:lang w:val="vi-VN"/>
        </w:rPr>
        <w:t>- Được cấp phát dụng cụ làm việc gồm: đồng phục, dụng cụ văn phòng,…</w:t>
      </w:r>
    </w:p>
    <w:p>
      <w:pPr>
        <w:pStyle w:val="Normal"/>
        <w:spacing w:lineRule="atLeast" w:line="312" w:before="0" w:after="120"/>
        <w:jc w:val="both"/>
        <w:rPr>
          <w:lang w:val="vi-VN"/>
        </w:rPr>
      </w:pPr>
      <w:r>
        <w:rPr>
          <w:lang w:val="vi-VN"/>
        </w:rPr>
        <w:t>- Được trang bị bảo hộ lao động: không</w:t>
      </w:r>
    </w:p>
    <w:p>
      <w:pPr>
        <w:pStyle w:val="Normal"/>
        <w:rPr>
          <w:lang w:val="vi-VN"/>
        </w:rPr>
      </w:pPr>
      <w:r>
        <w:rPr>
          <w:lang w:val="vi-VN"/>
        </w:rPr>
        <w:t>- Bảo hiểm xã hội, bảo hiểm y tế và bảo hiểm thất nghiệp: Người sử dụng lao động đóng 21.5% (BHXH 17.5%, BHYT 3%, BHTN 1%); người lao động đóng 10.5% (BHXH 8%, BHYT 1.5%,</w:t>
      </w:r>
    </w:p>
    <w:p>
      <w:pPr>
        <w:pStyle w:val="Normal"/>
        <w:spacing w:lineRule="atLeast" w:line="312" w:before="0" w:after="120"/>
        <w:jc w:val="both"/>
        <w:rPr>
          <w:lang w:val="vi-VN"/>
        </w:rPr>
      </w:pPr>
      <w:r>
        <w:rPr>
          <w:lang w:val="vi-VN"/>
        </w:rPr>
        <w:t>BHTN 1%) mức lương căn bản của Điều 2; tỉ lệ đóng của các năm tiếp theo sẽ được điều chỉnh theo đúng quy định pháp luật, nếu có.</w:t>
      </w:r>
    </w:p>
    <w:p>
      <w:pPr>
        <w:pStyle w:val="Normal"/>
        <w:spacing w:lineRule="atLeast" w:line="312" w:before="0" w:after="120"/>
        <w:jc w:val="both"/>
        <w:rPr>
          <w:b/>
          <w:b/>
          <w:bCs/>
          <w:lang w:val="vi-VN"/>
        </w:rPr>
      </w:pPr>
      <w:r>
        <w:rPr>
          <w:b/>
          <w:bCs/>
          <w:u w:val="single"/>
          <w:lang w:val="vi-VN"/>
        </w:rPr>
        <w:t>Điều 4</w:t>
      </w:r>
      <w:r>
        <w:rPr>
          <w:b/>
          <w:bCs/>
          <w:lang w:val="vi-VN"/>
        </w:rPr>
        <w:t>: Đào tạo, bồi dưỡng, các quyền lợi và nghĩa vụ liên quan của người lao động</w:t>
      </w:r>
    </w:p>
    <w:p>
      <w:pPr>
        <w:pStyle w:val="Normal"/>
        <w:spacing w:lineRule="atLeast" w:line="312" w:before="0" w:after="120"/>
        <w:jc w:val="both"/>
        <w:rPr>
          <w:lang w:val="vi-VN"/>
        </w:rPr>
      </w:pPr>
      <w:r>
        <w:rPr>
          <w:lang w:val="vi-VN"/>
        </w:rPr>
        <w:t>- Đào tạo, bồi dưỡng: Người lao động được huấn luyện, đào tạo tại Công ty.</w:t>
      </w:r>
    </w:p>
    <w:p>
      <w:pPr>
        <w:pStyle w:val="Normal"/>
        <w:spacing w:lineRule="atLeast" w:line="312" w:before="0" w:after="120"/>
        <w:jc w:val="both"/>
        <w:rPr>
          <w:lang w:val="vi-VN"/>
        </w:rPr>
      </w:pPr>
      <w:r>
        <w:rPr>
          <w:lang w:val="vi-VN"/>
        </w:rPr>
        <w:t xml:space="preserve">- Thưởng có điều kiện: phụ thuộc kết quả làm việc và hiệu quả của Công ty. </w:t>
      </w:r>
    </w:p>
    <w:p>
      <w:pPr>
        <w:pStyle w:val="Normal"/>
        <w:spacing w:lineRule="atLeast" w:line="312" w:before="0" w:after="120"/>
        <w:jc w:val="both"/>
        <w:rPr>
          <w:lang w:val="vi-VN"/>
        </w:rPr>
      </w:pPr>
      <w:r>
        <w:rPr>
          <w:lang w:val="vi-VN"/>
        </w:rPr>
        <w:t>- Các khoản thỏa thuận khác gồm: tiền cơm trưa, thưởng mặc định, hỗ trợ xăng xe, điện thoại theo quy định của Công ty.</w:t>
      </w:r>
    </w:p>
    <w:p>
      <w:pPr>
        <w:pStyle w:val="Normal"/>
        <w:spacing w:before="0" w:after="120"/>
        <w:jc w:val="both"/>
        <w:rPr>
          <w:lang w:val="vi-VN"/>
        </w:rPr>
      </w:pPr>
      <w:r>
        <w:rPr>
          <w:lang w:val="vi-VN"/>
        </w:rPr>
        <w:t xml:space="preserve">- </w:t>
      </w:r>
      <w:r>
        <w:rPr>
          <w:iCs/>
          <w:shd w:fill="FFFFFF" w:val="clear"/>
          <w:lang w:val="vi-VN"/>
        </w:rPr>
        <w:t>Trừ trường hợp có phản hồi bằng văn bản của người lao động, các Quyết định/Thông báo lương, thưởng của Công ty được xem là các phụ lục sửa đổi, bổ sung, điều chỉnh kèm theo HĐLĐ này, cụ thể các khoản trả cho người lao động trong suốt quá trình làm việc.</w:t>
      </w:r>
    </w:p>
    <w:p>
      <w:pPr>
        <w:pStyle w:val="Normal"/>
        <w:spacing w:lineRule="atLeast" w:line="312" w:before="0" w:after="120"/>
        <w:jc w:val="both"/>
        <w:rPr>
          <w:lang w:val="vi-VN"/>
        </w:rPr>
      </w:pPr>
      <w:r>
        <w:rPr>
          <w:lang w:val="vi-VN"/>
        </w:rPr>
        <w:t>- Nghĩa vụ liên quan của người lao động:</w:t>
      </w:r>
    </w:p>
    <w:p>
      <w:pPr>
        <w:pStyle w:val="Normal"/>
        <w:spacing w:before="0" w:after="120"/>
        <w:jc w:val="both"/>
        <w:rPr>
          <w:lang w:val="vi-VN"/>
        </w:rPr>
      </w:pPr>
      <w:r>
        <w:rPr>
          <w:lang w:val="vi-VN"/>
        </w:rPr>
        <w:t>+ Tuân thủ hợp đồng lao động;</w:t>
      </w:r>
    </w:p>
    <w:p>
      <w:pPr>
        <w:pStyle w:val="Normal"/>
        <w:spacing w:before="0" w:after="120"/>
        <w:jc w:val="both"/>
        <w:rPr>
          <w:lang w:val="vi-VN"/>
        </w:rPr>
      </w:pPr>
      <w:r>
        <w:rPr>
          <w:lang w:val="vi-VN"/>
        </w:rPr>
        <w:t>+ Hoàn thành ở mức hiệu quả nhất các công việc được Công ty giao, và hoàn thành ở mức hiệu quả nhất các công việc thuộc lĩnh vực công việc mình phụ trách;</w:t>
      </w:r>
    </w:p>
    <w:p>
      <w:pPr>
        <w:pStyle w:val="Normal"/>
        <w:spacing w:before="0" w:after="120"/>
        <w:jc w:val="both"/>
        <w:rPr>
          <w:lang w:val="vi-VN"/>
        </w:rPr>
      </w:pPr>
      <w:r>
        <w:rPr>
          <w:lang w:val="vi-VN"/>
        </w:rPr>
        <w:t>+ Chấp hành theo sự điều hành của cấp trên, phối hợp hiệu quả giữa các bộ phận, tuân thủ các quy định của công ty, chú tâm đến an toàn lao động và bảo quản tài sản công ty;</w:t>
      </w:r>
    </w:p>
    <w:p>
      <w:pPr>
        <w:pStyle w:val="Normal"/>
        <w:spacing w:before="0" w:after="120"/>
        <w:jc w:val="both"/>
        <w:rPr>
          <w:lang w:val="vi-VN"/>
        </w:rPr>
      </w:pPr>
      <w:r>
        <w:rPr>
          <w:lang w:val="vi-VN"/>
        </w:rPr>
        <w:t>+ Bồi thường chi phí học việc, chi phí đào tạo, các thiệt hại vật chất có thể chứng minh được, nếu đơn phương chấm dứt hợp đồng, vi phạm thời hạn báo trước;</w:t>
      </w:r>
    </w:p>
    <w:p>
      <w:pPr>
        <w:pStyle w:val="Normal"/>
        <w:spacing w:before="0" w:after="120"/>
        <w:jc w:val="both"/>
        <w:rPr>
          <w:lang w:val="vi-VN"/>
        </w:rPr>
      </w:pPr>
      <w:r>
        <w:rPr>
          <w:lang w:val="vi-VN"/>
        </w:rPr>
        <w:t>+ Bồi thường vi phạm vật chất: Theo quy định nội bộ cuả Công ty và quy định cuả pháp luật hiện hành;</w:t>
      </w:r>
    </w:p>
    <w:p>
      <w:pPr>
        <w:pStyle w:val="Normal"/>
        <w:spacing w:before="0" w:after="120"/>
        <w:jc w:val="both"/>
        <w:rPr>
          <w:lang w:val="vi-VN"/>
        </w:rPr>
      </w:pPr>
      <w:r>
        <w:rPr>
          <w:lang w:val="vi-VN"/>
        </w:rPr>
        <w:t>+ Có trách nhiệm đề xuất các giải pháp nâng cao hiệu quả công việc, giảm thiểu các rủi ro. Khuyến khích các đóng góp này được thực hiện bằng văn bản.</w:t>
      </w:r>
    </w:p>
    <w:p>
      <w:pPr>
        <w:pStyle w:val="Normal"/>
        <w:spacing w:before="0" w:after="120"/>
        <w:jc w:val="both"/>
        <w:rPr>
          <w:lang w:val="vi-VN"/>
        </w:rPr>
      </w:pPr>
      <w:r>
        <w:rPr>
          <w:lang w:val="vi-VN"/>
        </w:rPr>
        <w:t>+ Thuế TNCN, nếu có: do người lao động đóng. Công ty sẽ tạm khấu trừ trước khi chi trả cho người lao động theo quy định.</w:t>
      </w:r>
    </w:p>
    <w:p>
      <w:pPr>
        <w:pStyle w:val="Normal"/>
        <w:spacing w:before="0" w:after="120"/>
        <w:jc w:val="both"/>
        <w:rPr>
          <w:b/>
          <w:b/>
          <w:bCs/>
          <w:lang w:val="vi-VN"/>
        </w:rPr>
      </w:pPr>
      <w:r>
        <w:rPr>
          <w:b/>
          <w:bCs/>
          <w:u w:val="single"/>
          <w:lang w:val="vi-VN"/>
        </w:rPr>
        <w:t>Điều 5</w:t>
      </w:r>
      <w:r>
        <w:rPr>
          <w:b/>
          <w:bCs/>
          <w:lang w:val="vi-VN"/>
        </w:rPr>
        <w:t>: Nghĩa vụ và quyền lợi của người sử dụng lao động</w:t>
      </w:r>
    </w:p>
    <w:p>
      <w:pPr>
        <w:pStyle w:val="Normal"/>
        <w:spacing w:before="0" w:after="120"/>
        <w:ind w:firstLine="360"/>
        <w:jc w:val="both"/>
        <w:rPr>
          <w:b/>
          <w:b/>
          <w:bCs/>
          <w:i/>
          <w:i/>
          <w:iCs/>
          <w:lang w:val="vi-VN"/>
        </w:rPr>
      </w:pPr>
      <w:r>
        <w:rPr>
          <w:b/>
          <w:bCs/>
          <w:i/>
          <w:iCs/>
          <w:lang w:val="vi-VN"/>
        </w:rPr>
        <w:t>1.  Nghĩa vụ :</w:t>
      </w:r>
    </w:p>
    <w:p>
      <w:pPr>
        <w:pStyle w:val="Normal"/>
        <w:jc w:val="both"/>
        <w:rPr>
          <w:lang w:val="vi-VN"/>
        </w:rPr>
      </w:pPr>
      <w:r>
        <w:rPr>
          <w:lang w:val="vi-VN"/>
        </w:rPr>
        <w:t>- Bảo đảm có việc làm và thực hiện đầy đủ những điều đã cam kết trong hợp đồng lao động;</w:t>
      </w:r>
    </w:p>
    <w:p>
      <w:pPr>
        <w:pStyle w:val="Normal"/>
        <w:jc w:val="both"/>
        <w:rPr>
          <w:lang w:val="vi-VN"/>
        </w:rPr>
      </w:pPr>
      <w:r>
        <w:rPr>
          <w:lang w:val="vi-VN"/>
        </w:rPr>
        <w:t>- Thanh toán đầy đủ, đúng hạn các chế độ và quyền lợi cho người lao động theo hợp đồng lao động, thỏa ước lao động tập thể (nếu có);</w:t>
      </w:r>
    </w:p>
    <w:p>
      <w:pPr>
        <w:pStyle w:val="Normal"/>
        <w:jc w:val="both"/>
        <w:rPr>
          <w:lang w:val="vi-VN"/>
        </w:rPr>
      </w:pPr>
      <w:r>
        <w:rPr>
          <w:lang w:val="vi-VN"/>
        </w:rPr>
        <w:t>- Tùy theo kết quả hoạt động kinh doanh và điều kiện thực tế, người sử dụng lao động sẽ có các ưu đãi xứng đáng cho nhân viên.</w:t>
      </w:r>
    </w:p>
    <w:p>
      <w:pPr>
        <w:pStyle w:val="Normal"/>
        <w:spacing w:before="0" w:after="120"/>
        <w:ind w:firstLine="360"/>
        <w:jc w:val="both"/>
        <w:rPr>
          <w:b/>
          <w:b/>
          <w:bCs/>
          <w:i/>
          <w:i/>
          <w:iCs/>
          <w:lang w:val="vi-VN"/>
        </w:rPr>
      </w:pPr>
      <w:r>
        <w:rPr>
          <w:b/>
          <w:bCs/>
          <w:i/>
          <w:iCs/>
          <w:lang w:val="vi-VN"/>
        </w:rPr>
        <w:t>2. Quyền lợi:</w:t>
      </w:r>
    </w:p>
    <w:p>
      <w:pPr>
        <w:pStyle w:val="Normal"/>
        <w:jc w:val="both"/>
        <w:rPr>
          <w:lang w:val="vi-VN"/>
        </w:rPr>
      </w:pPr>
      <w:r>
        <w:rPr>
          <w:lang w:val="vi-VN"/>
        </w:rPr>
        <w:t>- Điều hành người lao động hoàn thành công việc theo hợp đồng (bố trí, điều chuyển, tạm ngừng công tác,…);</w:t>
      </w:r>
    </w:p>
    <w:p>
      <w:pPr>
        <w:pStyle w:val="Normal"/>
        <w:jc w:val="both"/>
        <w:rPr>
          <w:lang w:val="vi-VN"/>
        </w:rPr>
      </w:pPr>
      <w:r>
        <w:rPr>
          <w:lang w:val="vi-VN"/>
        </w:rPr>
        <w:t>- Tạm hoãn, chấm dứt hợp đồng lao động, kỷ luật người lao động theo quy định của pháp luật, thoả ước lao động tập thể (nếu có) và nội quy lao động cuả doanh nghiệp.</w:t>
      </w:r>
    </w:p>
    <w:p>
      <w:pPr>
        <w:pStyle w:val="Normal"/>
        <w:spacing w:before="0" w:after="120"/>
        <w:jc w:val="both"/>
        <w:rPr>
          <w:b/>
          <w:b/>
          <w:bCs/>
          <w:lang w:val="vi-VN"/>
        </w:rPr>
      </w:pPr>
      <w:r>
        <w:rPr>
          <w:b/>
          <w:bCs/>
          <w:u w:val="single"/>
          <w:lang w:val="vi-VN"/>
        </w:rPr>
        <w:t>Điều 7</w:t>
      </w:r>
      <w:r>
        <w:rPr>
          <w:b/>
          <w:bCs/>
          <w:lang w:val="vi-VN"/>
        </w:rPr>
        <w:t>: Điều khoản thi hành</w:t>
      </w:r>
    </w:p>
    <w:p>
      <w:pPr>
        <w:pStyle w:val="Normal"/>
        <w:jc w:val="both"/>
        <w:rPr>
          <w:lang w:val="vi-VN"/>
        </w:rPr>
      </w:pPr>
      <w:r>
        <w:rPr>
          <w:lang w:val="vi-VN"/>
        </w:rPr>
        <w:t>- Những vấn đề về lao động không ghi trong hợp đồng lao động này thì áp dụng quy định cuả thoả ước tập thể, trường hợp chưa có thoả ước thì áp dụng quy định của pháp luật lao động;</w:t>
      </w:r>
    </w:p>
    <w:p>
      <w:pPr>
        <w:pStyle w:val="Normal"/>
        <w:jc w:val="both"/>
        <w:rPr>
          <w:lang w:val="vi-VN"/>
        </w:rPr>
      </w:pPr>
      <w:r>
        <w:rPr>
          <w:lang w:val="vi-VN"/>
        </w:rPr>
        <w:t>- Hợp đồng này được lập thành 2 bản có giá trị pháp lý như nhau, mỗi bên giữ 1 bản và có hiệu lực kể từ ngày ký.</w:t>
      </w:r>
    </w:p>
    <w:p>
      <w:pPr>
        <w:pStyle w:val="Normal"/>
        <w:jc w:val="both"/>
        <w:rPr>
          <w:lang w:val="vi-VN"/>
        </w:rPr>
      </w:pPr>
      <w:r>
        <w:rPr>
          <w:lang w:val="vi-VN"/>
        </w:rPr>
        <w:t>- Khi ký kết các phụ lục hợp đồng lao động thì nội dung của phụ lục cũng có giá trị như các nội dung cuả bản hợp đồng này.</w:t>
      </w:r>
    </w:p>
    <w:p>
      <w:pPr>
        <w:pStyle w:val="Normal"/>
        <w:jc w:val="both"/>
        <w:rPr>
          <w:lang w:val="vi-VN"/>
        </w:rPr>
      </w:pPr>
      <w:r>
        <w:rPr>
          <w:lang w:val="vi-VN"/>
        </w:rPr>
      </w:r>
    </w:p>
    <w:tbl>
      <w:tblPr>
        <w:tblStyle w:val="TableGrid"/>
        <w:tblW w:w="921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5312"/>
        <w:gridCol w:w="3901"/>
      </w:tblGrid>
      <w:tr>
        <w:trPr>
          <w:trHeight w:val="590" w:hRule="atLeast"/>
        </w:trPr>
        <w:tc>
          <w:tcPr>
            <w:tcW w:w="5312" w:type="dxa"/>
            <w:tcBorders>
              <w:top w:val="nil"/>
              <w:left w:val="nil"/>
              <w:bottom w:val="nil"/>
              <w:right w:val="nil"/>
            </w:tcBorders>
          </w:tcPr>
          <w:p>
            <w:pPr>
              <w:pStyle w:val="NormalWeb"/>
              <w:widowControl/>
              <w:spacing w:before="120" w:after="120"/>
              <w:contextualSpacing/>
              <w:jc w:val="center"/>
              <w:rPr>
                <w:b/>
                <w:b/>
                <w:bCs/>
                <w:shd w:fill="FFFFFF" w:val="clear"/>
                <w:lang w:val="vi-VN"/>
              </w:rPr>
            </w:pPr>
            <w:r>
              <w:rPr>
                <w:b/>
                <w:bCs/>
                <w:kern w:val="0"/>
                <w:shd w:fill="FFFFFF" w:val="clear"/>
                <w:lang w:val="vi-VN" w:eastAsia="en-US" w:bidi="ar-SA"/>
              </w:rPr>
              <w:t>ĐẠI DIỆN VÀ NHÂN DANH NGƯỜI SỬ DỤNG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ghi rõ họ tên và đóng dấu)</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c>
          <w:tcPr>
            <w:tcW w:w="3901" w:type="dxa"/>
            <w:tcBorders>
              <w:top w:val="nil"/>
              <w:left w:val="nil"/>
              <w:bottom w:val="nil"/>
              <w:right w:val="nil"/>
            </w:tcBorders>
          </w:tcPr>
          <w:p>
            <w:pPr>
              <w:pStyle w:val="NormalWeb"/>
              <w:widowControl/>
              <w:spacing w:before="120" w:after="0"/>
              <w:jc w:val="center"/>
              <w:rPr>
                <w:b/>
                <w:b/>
                <w:bCs/>
                <w:shd w:fill="FFFFFF" w:val="clear"/>
                <w:lang w:val="vi-VN"/>
              </w:rPr>
            </w:pPr>
            <w:r>
              <w:rPr>
                <w:b/>
                <w:bCs/>
                <w:kern w:val="0"/>
                <w:shd w:fill="FFFFFF" w:val="clear"/>
                <w:lang w:val="vi-VN" w:eastAsia="en-US" w:bidi="ar-SA"/>
              </w:rPr>
              <w:t>NGƯỜI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và ghi rõ họ tên)</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r>
    </w:tbl>
    <w:p>
      <w:pPr>
        <w:pStyle w:val="Normal"/>
        <w:rPr>
          <w:lang w:val="vi-VN"/>
        </w:rPr>
      </w:pPr>
      <w:r>
        <w:rPr>
          <w:lang w:val="vi-VN"/>
        </w:rPr>
      </w:r>
    </w:p>
    <w:p>
      <w:pPr>
        <w:pStyle w:val="Normal"/>
        <w:rPr>
          <w:lang w:val="vi-VN"/>
        </w:rPr>
      </w:pPr>
      <w:r>
        <w:rPr>
          <w:lang w:val="vi-VN"/>
        </w:rPr>
      </w:r>
      <w:r>
        <w:br w:type="page"/>
      </w:r>
    </w:p>
    <w:p>
      <w:pPr>
        <w:pStyle w:val="Normal"/>
        <w:rPr>
          <w:lang w:val="vi-VN"/>
        </w:rPr>
      </w:pPr>
      <w:r>
        <w:rPr>
          <w:lang w:val="vi-VN"/>
        </w:rPr>
      </w:r>
    </w:p>
    <w:p>
      <w:pPr>
        <w:pStyle w:val="Normal"/>
        <w:spacing w:lineRule="auto" w:line="360"/>
        <w:rPr>
          <w:sz w:val="28"/>
          <w:szCs w:val="28"/>
          <w:lang w:val="vi-VN"/>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1f35"/>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a71f35"/>
    <w:rPr>
      <w:b/>
      <w:bCs/>
    </w:rPr>
  </w:style>
  <w:style w:type="character" w:styleId="ChuChar" w:customStyle="1">
    <w:name w:val="chu Char"/>
    <w:basedOn w:val="DefaultParagraphFont"/>
    <w:link w:val="Chu"/>
    <w:qFormat/>
    <w:rsid w:val="00a71f35"/>
    <w:rPr>
      <w:rFonts w:ascii="Times New Roman" w:hAnsi="Times New Roman" w:eastAsia="SimSun" w:cs="Times New Roman"/>
      <w:color w:val="000000"/>
      <w:sz w:val="24"/>
      <w:szCs w:val="26"/>
      <w:lang w:eastAsia="zh-CN"/>
    </w:rPr>
  </w:style>
  <w:style w:type="character" w:styleId="NormalWebChar" w:customStyle="1">
    <w:name w:val="Normal (Web) Char"/>
    <w:basedOn w:val="DefaultParagraphFont"/>
    <w:link w:val="NormalWeb"/>
    <w:uiPriority w:val="99"/>
    <w:qFormat/>
    <w:rsid w:val="00a71f35"/>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03282b"/>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03282b"/>
    <w:rPr>
      <w:rFonts w:ascii="Times New Roman" w:hAnsi="Times New Roman" w:eastAsia="Times New Roman"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u" w:customStyle="1">
    <w:name w:val="chu"/>
    <w:basedOn w:val="NormalWeb"/>
    <w:link w:val="ChuChar"/>
    <w:qFormat/>
    <w:rsid w:val="00a71f35"/>
    <w:pPr>
      <w:jc w:val="both"/>
    </w:pPr>
    <w:rPr>
      <w:rFonts w:eastAsia="SimSun"/>
      <w:color w:val="000000"/>
      <w:szCs w:val="26"/>
      <w:shd w:fill="FFFFFF" w:val="clear"/>
      <w:lang w:eastAsia="zh-CN"/>
    </w:rPr>
  </w:style>
  <w:style w:type="paragraph" w:styleId="NormalWeb">
    <w:name w:val="Normal (Web)"/>
    <w:basedOn w:val="Normal"/>
    <w:link w:val="NormalWebChar"/>
    <w:uiPriority w:val="99"/>
    <w:unhideWhenUsed/>
    <w:qFormat/>
    <w:rsid w:val="00a71f35"/>
    <w:pPr/>
    <w:rPr/>
  </w:style>
  <w:style w:type="paragraph" w:styleId="ListParagraph">
    <w:name w:val="List Paragraph"/>
    <w:basedOn w:val="Normal"/>
    <w:uiPriority w:val="34"/>
    <w:qFormat/>
    <w:rsid w:val="0092647c"/>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3282b"/>
    <w:pPr>
      <w:tabs>
        <w:tab w:val="clear" w:pos="720"/>
        <w:tab w:val="center" w:pos="4680" w:leader="none"/>
        <w:tab w:val="right" w:pos="9360" w:leader="none"/>
      </w:tabs>
    </w:pPr>
    <w:rPr/>
  </w:style>
  <w:style w:type="paragraph" w:styleId="Footer">
    <w:name w:val="Footer"/>
    <w:basedOn w:val="Normal"/>
    <w:link w:val="FooterChar"/>
    <w:uiPriority w:val="99"/>
    <w:unhideWhenUsed/>
    <w:rsid w:val="0003282b"/>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rsid w:val="00a71f35"/>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LibreOffice/7.3.7.2$Linux_X86_64 LibreOffice_project/30$Build-2</Application>
  <AppVersion>15.0000</AppVersion>
  <Pages>4</Pages>
  <Words>1170</Words>
  <Characters>4107</Characters>
  <CharactersWithSpaces>5236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2021-09-01T11:32:00Z</dcterms:created>
  <dc:creator>Admin</dc:creator>
  <dc:description/>
  <dc:language>en-US</dc:language>
  <cp:lastModifiedBy/>
  <dcterms:modified xsi:type="dcterms:W3CDTF">2026-05-12T23:39:08Z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7ac481736199511bc0f5491698534c3ced9a225c2aae9ac3cad3a65008b38b32</vt:lpwstr>
  </property>
</Properties>
</file>