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color w:val="003366"/>
          <w:sz w:val="32"/>
        </w:rPr>
        <w:t>Báo cáo M2 — Nhiệm vụ 8: Hồ sơ cụm K-Means Baseline</w:t>
      </w:r>
    </w:p>
    <w:p>
      <w:pPr>
        <w:spacing w:before="0" w:after="280"/>
      </w:pPr>
      <w:r>
        <w:rPr>
          <w:rFonts w:ascii="Times New Roman" w:hAnsi="Times New Roman"/>
          <w:i/>
          <w:color w:val="666666"/>
          <w:sz w:val="21"/>
        </w:rPr>
        <w:t>Theo Kế hoạch M2 | Nhóm DELTA | Global K=2</w:t>
      </w:r>
    </w:p>
    <w:p>
      <w:pPr>
        <w:keepNext/>
        <w:spacing w:before="280" w:after="120"/>
      </w:pPr>
      <w:r>
        <w:rPr>
          <w:rFonts w:ascii="Times New Roman" w:hAnsi="Times New Roman"/>
          <w:b/>
          <w:color w:val="003366"/>
          <w:sz w:val="26"/>
        </w:rPr>
        <w:t>Phạm vi và nguồn bằng chứng</w:t>
      </w:r>
    </w:p>
    <w:p>
      <w:pPr>
        <w:pStyle w:val="ListBullet"/>
        <w:spacing w:before="0" w:after="80" w:line="276" w:lineRule="auto"/>
      </w:pPr>
      <w:r>
        <w:rPr>
          <w:rFonts w:ascii="Times New Roman" w:hAnsi="Times New Roman"/>
          <w:b/>
          <w:color w:val="333333"/>
          <w:sz w:val="22"/>
        </w:rPr>
        <w:t xml:space="preserve">Mục tiêu nhiệm vụ: </w:t>
      </w:r>
      <w:r>
        <w:rPr>
          <w:rFonts w:ascii="Times New Roman" w:hAnsi="Times New Roman"/>
          <w:color w:val="333333"/>
          <w:sz w:val="22"/>
        </w:rPr>
        <w:t>Hiểu ý nghĩa kinh tế của từng cụm, xác định đặc điểm điển hình và các feature phân tách cốt lõi.</w:t>
      </w:r>
    </w:p>
    <w:p>
      <w:pPr>
        <w:pStyle w:val="ListBullet"/>
        <w:spacing w:before="0" w:after="80" w:line="276" w:lineRule="auto"/>
      </w:pPr>
      <w:r>
        <w:rPr>
          <w:rFonts w:ascii="Times New Roman" w:hAnsi="Times New Roman"/>
          <w:b/>
          <w:color w:val="333333"/>
          <w:sz w:val="22"/>
        </w:rPr>
        <w:t xml:space="preserve">Phạm vi: </w:t>
      </w:r>
      <w:r>
        <w:rPr>
          <w:rFonts w:ascii="Times New Roman" w:hAnsi="Times New Roman"/>
          <w:color w:val="333333"/>
          <w:sz w:val="22"/>
        </w:rPr>
        <w:t>Phần K-Means Baseline trong nhiệm vụ 8; cấu hình cố định Global K=2.</w:t>
      </w:r>
    </w:p>
    <w:p>
      <w:pPr>
        <w:pStyle w:val="ListBullet"/>
        <w:spacing w:before="0" w:after="80" w:line="276" w:lineRule="auto"/>
      </w:pPr>
      <w:r>
        <w:rPr>
          <w:rFonts w:ascii="Times New Roman" w:hAnsi="Times New Roman"/>
          <w:b/>
          <w:color w:val="333333"/>
          <w:sz w:val="22"/>
        </w:rPr>
        <w:t xml:space="preserve">Dữ liệu: </w:t>
      </w:r>
      <w:r>
        <w:rPr>
          <w:rFonts w:ascii="Times New Roman" w:hAnsi="Times New Roman"/>
          <w:color w:val="333333"/>
          <w:sz w:val="22"/>
        </w:rPr>
        <w:t>Giai đoạn development gồm 15 snapshot hàng tháng: 2023-11-30 đến 2025-01-24.</w:t>
      </w:r>
    </w:p>
    <w:p>
      <w:pPr>
        <w:pStyle w:val="ListBullet"/>
        <w:spacing w:before="0" w:after="80" w:line="276" w:lineRule="auto"/>
      </w:pPr>
      <w:r>
        <w:rPr>
          <w:rFonts w:ascii="Times New Roman" w:hAnsi="Times New Roman"/>
          <w:b/>
          <w:color w:val="333333"/>
          <w:sz w:val="22"/>
        </w:rPr>
        <w:t xml:space="preserve">Nguồn artifact: </w:t>
      </w:r>
      <w:r>
        <w:rPr>
          <w:rFonts w:ascii="Times New Roman" w:hAnsi="Times New Roman"/>
          <w:color w:val="333333"/>
          <w:sz w:val="22"/>
        </w:rPr>
        <w:t>Output báo cáo lưu trực tiếp tại M2/artifacts/m2-evaluation-kmeans/; đọc trực tiếp artifact đã có, không fit lại model, không backtest.</w:t>
      </w:r>
    </w:p>
    <w:p>
      <w:pPr>
        <w:keepNext/>
        <w:spacing w:before="280" w:after="120"/>
      </w:pPr>
      <w:r>
        <w:rPr>
          <w:rFonts w:ascii="Times New Roman" w:hAnsi="Times New Roman"/>
          <w:b/>
          <w:color w:val="003366"/>
          <w:sz w:val="26"/>
        </w:rPr>
        <w:t>Quy trình thực hiện</w:t>
      </w:r>
    </w:p>
    <w:p>
      <w:pPr>
        <w:pStyle w:val="ListBullet"/>
        <w:spacing w:before="0" w:after="80" w:line="276" w:lineRule="auto"/>
      </w:pPr>
      <w:r>
        <w:rPr>
          <w:rFonts w:ascii="Times New Roman" w:hAnsi="Times New Roman"/>
          <w:b/>
          <w:color w:val="333333"/>
          <w:sz w:val="22"/>
        </w:rPr>
        <w:t xml:space="preserve">Bước 1: </w:t>
      </w:r>
      <w:r>
        <w:rPr>
          <w:rFonts w:ascii="Times New Roman" w:hAnsi="Times New Roman"/>
          <w:color w:val="333333"/>
          <w:sz w:val="22"/>
        </w:rPr>
        <w:t>Đọc 30 bản ghi profile từ M2/artifacts/m2-evaluation-kmeans/cluster_profiles.csv và danh sách thành viên từ cluster_profile_members.csv.</w:t>
      </w:r>
    </w:p>
    <w:p>
      <w:pPr>
        <w:pStyle w:val="ListBullet"/>
        <w:spacing w:before="0" w:after="80" w:line="276" w:lineRule="auto"/>
      </w:pPr>
      <w:r>
        <w:rPr>
          <w:rFonts w:ascii="Times New Roman" w:hAnsi="Times New Roman"/>
          <w:b/>
          <w:color w:val="333333"/>
          <w:sz w:val="22"/>
        </w:rPr>
        <w:t xml:space="preserve">Bước 2: </w:t>
      </w:r>
      <w:r>
        <w:rPr>
          <w:rFonts w:ascii="Times New Roman" w:hAnsi="Times New Roman"/>
          <w:color w:val="333333"/>
          <w:sz w:val="22"/>
        </w:rPr>
        <w:t>Tổng hợp hồ sơ đặc trưng trung bình theo từng cụm qua toàn bộ 15 tháng development (8.1).</w:t>
      </w:r>
    </w:p>
    <w:p>
      <w:pPr>
        <w:pStyle w:val="ListBullet"/>
        <w:spacing w:before="0" w:after="80" w:line="276" w:lineRule="auto"/>
      </w:pPr>
      <w:r>
        <w:rPr>
          <w:rFonts w:ascii="Times New Roman" w:hAnsi="Times New Roman"/>
          <w:b/>
          <w:color w:val="333333"/>
          <w:sz w:val="22"/>
        </w:rPr>
        <w:t xml:space="preserve">Bước 3: </w:t>
      </w:r>
      <w:r>
        <w:rPr>
          <w:rFonts w:ascii="Times New Roman" w:hAnsi="Times New Roman"/>
          <w:color w:val="333333"/>
          <w:sz w:val="22"/>
        </w:rPr>
        <w:t>So sánh đối đầu giữa các cụm để xác định feature phân tách: động lượng, rủi ro, beta và thanh khoản (8.2).</w:t>
      </w:r>
    </w:p>
    <w:p>
      <w:pPr>
        <w:pStyle w:val="ListBullet"/>
        <w:spacing w:before="0" w:after="80" w:line="276" w:lineRule="auto"/>
      </w:pPr>
      <w:r>
        <w:rPr>
          <w:rFonts w:ascii="Times New Roman" w:hAnsi="Times New Roman"/>
          <w:b/>
          <w:color w:val="333333"/>
          <w:sz w:val="22"/>
        </w:rPr>
        <w:t xml:space="preserve">Bước 4: </w:t>
      </w:r>
      <w:r>
        <w:rPr>
          <w:rFonts w:ascii="Times New Roman" w:hAnsi="Times New Roman"/>
          <w:color w:val="333333"/>
          <w:sz w:val="22"/>
        </w:rPr>
        <w:t>Theo dõi chuỗi quy mô &amp; thanh khoản qua toàn bộ 15 snapshot development.</w:t>
      </w:r>
    </w:p>
    <w:p>
      <w:pPr>
        <w:pStyle w:val="ListBullet"/>
        <w:spacing w:before="0" w:after="80" w:line="276" w:lineRule="auto"/>
      </w:pPr>
      <w:r>
        <w:rPr>
          <w:rFonts w:ascii="Times New Roman" w:hAnsi="Times New Roman"/>
          <w:b/>
          <w:color w:val="333333"/>
          <w:sz w:val="22"/>
        </w:rPr>
        <w:t xml:space="preserve">Bước 5: </w:t>
      </w:r>
      <w:r>
        <w:rPr>
          <w:rFonts w:ascii="Times New Roman" w:hAnsi="Times New Roman"/>
          <w:color w:val="333333"/>
          <w:sz w:val="22"/>
        </w:rPr>
        <w:t>Xác lập các ranh giới phương pháp luận và giới hạn diễn giải học thuật (8.3).</w:t>
      </w:r>
    </w:p>
    <w:p>
      <w:pPr>
        <w:keepNext/>
        <w:spacing w:before="280" w:after="120"/>
      </w:pPr>
      <w:r>
        <w:rPr>
          <w:rFonts w:ascii="Times New Roman" w:hAnsi="Times New Roman"/>
          <w:b/>
          <w:color w:val="003366"/>
          <w:sz w:val="26"/>
        </w:rPr>
        <w:t>8.1 — Tổng hợp feature theo cụm</w:t>
      </w:r>
    </w:p>
    <w:p>
      <w:pPr>
        <w:spacing w:before="0" w:after="120" w:line="276" w:lineRule="auto"/>
      </w:pPr>
      <w:r>
        <w:rPr>
          <w:rFonts w:ascii="Times New Roman" w:hAnsi="Times New Roman"/>
          <w:color w:val="333333"/>
          <w:sz w:val="22"/>
        </w:rPr>
        <w:t>Mục đích của Phần 8.1 là xác định đặc điểm điển hình bằng cách tính trung bình 8 feature gốc của các thành viên trong từng cụm cùng quy mô và nhãn xuyên suốt 15 tháng development. Có tổng cộng 30 profile = 15 tháng × 2 cụm trên 5.615 lượt gán nhãn cổ phiếu.</w:t>
      </w:r>
    </w:p>
    <w:p>
      <w:pPr>
        <w:spacing w:before="0" w:after="120" w:line="276" w:lineRule="auto"/>
      </w:pPr>
      <w:r>
        <w:rPr>
          <w:rFonts w:ascii="Times New Roman" w:hAnsi="Times New Roman"/>
          <w:color w:val="333333"/>
          <w:sz w:val="22"/>
        </w:rPr>
        <w:t>Hệ nhãn được căn chỉnh (aligned ID) để đảm bảo tính liên tục qua các tháng. Tên gọi nhãn được giữ trung tính là Cụm 0 và Cụm 1.</w:t>
      </w:r>
    </w:p>
    <w:p>
      <w:pPr>
        <w:spacing w:before="0" w:after="120" w:line="276" w:lineRule="auto"/>
      </w:pPr>
      <w:r>
        <w:rPr>
          <w:rFonts w:ascii="Times New Roman" w:hAnsi="Times New Roman"/>
          <w:color w:val="333333"/>
          <w:sz w:val="22"/>
        </w:rPr>
        <w:t>Bảng tổng hợp hồ sơ 8 đặc trưng gốc trung bình qua 15 tháng development:</w:t>
      </w:r>
    </w:p>
    <w:tbl>
      <w:tblPr>
        <w:tblW w:type="auto" w:w="0"/>
        <w:jc w:val="center"/>
        <w:tblLook w:firstColumn="1" w:firstRow="1" w:lastColumn="0" w:lastRow="0" w:noHBand="0" w:noVBand="1" w:val="04A0"/>
      </w:tblPr>
      <w:tblGrid>
        <w:gridCol w:w="2880"/>
        <w:gridCol w:w="2880"/>
        <w:gridCol w:w="2880"/>
      </w:tblGrid>
      <w:tr>
        <w:trPr>
          <w:cantSplit/>
          <w:tblHeader/>
        </w:trPr>
        <w:tc>
          <w:tcPr>
            <w:tcW w:type="dxa" w:w="4464"/>
            <w:shd w:fill="1F4E79"/>
            <w:tcMar>
              <w:top w:w="120" w:type="dxa"/>
              <w:bottom w:w="120" w:type="dxa"/>
              <w:left w:w="140" w:type="dxa"/>
              <w:right w:w="140" w:type="dxa"/>
            </w:tcMar>
          </w:tcPr>
          <w:p>
            <w:pPr>
              <w:jc w:val="left"/>
            </w:pPr>
            <w:r>
              <w:rPr>
                <w:rFonts w:ascii="Times New Roman" w:hAnsi="Times New Roman"/>
                <w:b/>
                <w:color w:val="FFFFFF"/>
                <w:sz w:val="19"/>
              </w:rPr>
              <w:t>Đặc trưng</w:t>
            </w:r>
          </w:p>
        </w:tc>
        <w:tc>
          <w:tcPr>
            <w:tcW w:type="dxa" w:w="2448"/>
            <w:shd w:fill="1F4E79"/>
            <w:tcMar>
              <w:top w:w="120" w:type="dxa"/>
              <w:bottom w:w="120" w:type="dxa"/>
              <w:left w:w="140" w:type="dxa"/>
              <w:right w:w="140" w:type="dxa"/>
            </w:tcMar>
          </w:tcPr>
          <w:p>
            <w:pPr>
              <w:jc w:val="right"/>
            </w:pPr>
            <w:r>
              <w:rPr>
                <w:rFonts w:ascii="Times New Roman" w:hAnsi="Times New Roman"/>
                <w:b/>
                <w:color w:val="FFFFFF"/>
                <w:sz w:val="19"/>
              </w:rPr>
              <w:t>Cụm 0 (mean 15 tháng)</w:t>
            </w:r>
          </w:p>
        </w:tc>
        <w:tc>
          <w:tcPr>
            <w:tcW w:type="dxa" w:w="2448"/>
            <w:shd w:fill="1F4E79"/>
            <w:tcMar>
              <w:top w:w="120" w:type="dxa"/>
              <w:bottom w:w="120" w:type="dxa"/>
              <w:left w:w="140" w:type="dxa"/>
              <w:right w:w="140" w:type="dxa"/>
            </w:tcMar>
          </w:tcPr>
          <w:p>
            <w:pPr>
              <w:jc w:val="right"/>
            </w:pPr>
            <w:r>
              <w:rPr>
                <w:rFonts w:ascii="Times New Roman" w:hAnsi="Times New Roman"/>
                <w:b/>
                <w:color w:val="FFFFFF"/>
                <w:sz w:val="19"/>
              </w:rPr>
              <w:t>Cụm 1 (mean 15 tháng)</w:t>
            </w:r>
          </w:p>
        </w:tc>
      </w:tr>
      <w:tr>
        <w:trPr>
          <w:cantSplit/>
        </w:trPr>
        <w:tc>
          <w:tcPr>
            <w:tcW w:type="dxa" w:w="4464"/>
            <w:shd w:fill="FFFFFF"/>
            <w:tcMar>
              <w:top w:w="90" w:type="dxa"/>
              <w:bottom w:w="90" w:type="dxa"/>
              <w:left w:w="140" w:type="dxa"/>
              <w:right w:w="140" w:type="dxa"/>
            </w:tcMar>
          </w:tcPr>
          <w:p>
            <w:pPr>
              <w:jc w:val="left"/>
            </w:pPr>
            <w:r>
              <w:rPr>
                <w:rFonts w:ascii="Times New Roman" w:hAnsi="Times New Roman"/>
                <w:color w:val="333333"/>
                <w:sz w:val="19"/>
              </w:rPr>
              <w:t>Quy mô thành viên (size)</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14.7 mã</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359.6 mã</w:t>
            </w:r>
          </w:p>
        </w:tc>
      </w:tr>
      <w:tr>
        <w:trPr>
          <w:cantSplit/>
        </w:trPr>
        <w:tc>
          <w:tcPr>
            <w:tcW w:type="dxa" w:w="4464"/>
            <w:shd w:fill="F2F4F7"/>
            <w:tcMar>
              <w:top w:w="90" w:type="dxa"/>
              <w:bottom w:w="90" w:type="dxa"/>
              <w:left w:w="140" w:type="dxa"/>
              <w:right w:w="140" w:type="dxa"/>
            </w:tcMar>
          </w:tcPr>
          <w:p>
            <w:pPr>
              <w:jc w:val="left"/>
            </w:pPr>
            <w:r>
              <w:rPr>
                <w:rFonts w:ascii="Times New Roman" w:hAnsi="Times New Roman"/>
                <w:color w:val="333333"/>
                <w:sz w:val="19"/>
              </w:rPr>
              <w:t>Thanh khoản bình quân 21 phiên (liquidity_21)</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371.81 tỷ VND</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14.94 tỷ VND</w:t>
            </w:r>
          </w:p>
        </w:tc>
      </w:tr>
      <w:tr>
        <w:trPr>
          <w:cantSplit/>
        </w:trPr>
        <w:tc>
          <w:tcPr>
            <w:tcW w:type="dxa" w:w="4464"/>
            <w:shd w:fill="FFFFFF"/>
            <w:tcMar>
              <w:top w:w="90" w:type="dxa"/>
              <w:bottom w:w="90" w:type="dxa"/>
              <w:left w:w="140" w:type="dxa"/>
              <w:right w:w="140" w:type="dxa"/>
            </w:tcMar>
          </w:tcPr>
          <w:p>
            <w:pPr>
              <w:jc w:val="left"/>
            </w:pPr>
            <w:r>
              <w:rPr>
                <w:rFonts w:ascii="Times New Roman" w:hAnsi="Times New Roman"/>
                <w:color w:val="333333"/>
                <w:sz w:val="19"/>
              </w:rPr>
              <w:t>Hệ số Beta thị trường 126 phiên (beta_126)</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1.3013</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0.6080</w:t>
            </w:r>
          </w:p>
        </w:tc>
      </w:tr>
      <w:tr>
        <w:trPr>
          <w:cantSplit/>
        </w:trPr>
        <w:tc>
          <w:tcPr>
            <w:tcW w:type="dxa" w:w="4464"/>
            <w:shd w:fill="F2F4F7"/>
            <w:tcMar>
              <w:top w:w="90" w:type="dxa"/>
              <w:bottom w:w="90" w:type="dxa"/>
              <w:left w:w="140" w:type="dxa"/>
              <w:right w:w="140" w:type="dxa"/>
            </w:tcMar>
          </w:tcPr>
          <w:p>
            <w:pPr>
              <w:jc w:val="left"/>
            </w:pPr>
            <w:r>
              <w:rPr>
                <w:rFonts w:ascii="Times New Roman" w:hAnsi="Times New Roman"/>
                <w:color w:val="333333"/>
                <w:sz w:val="19"/>
              </w:rPr>
              <w:t>Độ biến động 63 phiên (vol_63)</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29.72%</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35.37%</w:t>
            </w:r>
          </w:p>
        </w:tc>
      </w:tr>
      <w:tr>
        <w:trPr>
          <w:cantSplit/>
        </w:trPr>
        <w:tc>
          <w:tcPr>
            <w:tcW w:type="dxa" w:w="4464"/>
            <w:shd w:fill="FFFFFF"/>
            <w:tcMar>
              <w:top w:w="90" w:type="dxa"/>
              <w:bottom w:w="90" w:type="dxa"/>
              <w:left w:w="140" w:type="dxa"/>
              <w:right w:w="140" w:type="dxa"/>
            </w:tcMar>
          </w:tcPr>
          <w:p>
            <w:pPr>
              <w:jc w:val="left"/>
            </w:pPr>
            <w:r>
              <w:rPr>
                <w:rFonts w:ascii="Times New Roman" w:hAnsi="Times New Roman"/>
                <w:color w:val="333333"/>
                <w:sz w:val="19"/>
              </w:rPr>
              <w:t>Sụt giảm tối đa 126 phiên (mdd_126)</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-19.28%</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-21.09%</w:t>
            </w:r>
          </w:p>
        </w:tc>
      </w:tr>
      <w:tr>
        <w:trPr>
          <w:cantSplit/>
        </w:trPr>
        <w:tc>
          <w:tcPr>
            <w:tcW w:type="dxa" w:w="4464"/>
            <w:shd w:fill="F2F4F7"/>
            <w:tcMar>
              <w:top w:w="90" w:type="dxa"/>
              <w:bottom w:w="90" w:type="dxa"/>
              <w:left w:w="140" w:type="dxa"/>
              <w:right w:w="140" w:type="dxa"/>
            </w:tcMar>
          </w:tcPr>
          <w:p>
            <w:pPr>
              <w:jc w:val="left"/>
            </w:pPr>
            <w:r>
              <w:rPr>
                <w:rFonts w:ascii="Times New Roman" w:hAnsi="Times New Roman"/>
                <w:color w:val="333333"/>
                <w:sz w:val="19"/>
              </w:rPr>
              <w:t>Động lượng giá 1 tháng (mom_21)</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+2.65%</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+1.38%</w:t>
            </w:r>
          </w:p>
        </w:tc>
      </w:tr>
      <w:tr>
        <w:trPr>
          <w:cantSplit/>
        </w:trPr>
        <w:tc>
          <w:tcPr>
            <w:tcW w:type="dxa" w:w="4464"/>
            <w:shd w:fill="FFFFFF"/>
            <w:tcMar>
              <w:top w:w="90" w:type="dxa"/>
              <w:bottom w:w="90" w:type="dxa"/>
              <w:left w:w="140" w:type="dxa"/>
              <w:right w:w="140" w:type="dxa"/>
            </w:tcMar>
          </w:tcPr>
          <w:p>
            <w:pPr>
              <w:jc w:val="left"/>
            </w:pPr>
            <w:r>
              <w:rPr>
                <w:rFonts w:ascii="Times New Roman" w:hAnsi="Times New Roman"/>
                <w:color w:val="333333"/>
                <w:sz w:val="19"/>
              </w:rPr>
              <w:t>Động lượng giá 3 tháng (mom_63)</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+7.85%</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+2.90%</w:t>
            </w:r>
          </w:p>
        </w:tc>
      </w:tr>
      <w:tr>
        <w:trPr>
          <w:cantSplit/>
        </w:trPr>
        <w:tc>
          <w:tcPr>
            <w:tcW w:type="dxa" w:w="4464"/>
            <w:shd w:fill="F2F4F7"/>
            <w:tcMar>
              <w:top w:w="90" w:type="dxa"/>
              <w:bottom w:w="90" w:type="dxa"/>
              <w:left w:w="140" w:type="dxa"/>
              <w:right w:w="140" w:type="dxa"/>
            </w:tcMar>
          </w:tcPr>
          <w:p>
            <w:pPr>
              <w:jc w:val="left"/>
            </w:pPr>
            <w:r>
              <w:rPr>
                <w:rFonts w:ascii="Times New Roman" w:hAnsi="Times New Roman"/>
                <w:color w:val="333333"/>
                <w:sz w:val="19"/>
              </w:rPr>
              <w:t>Động lượng giá 6 tháng (mom_126)</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+13.35%</w:t>
            </w:r>
          </w:p>
        </w:tc>
        <w:tc>
          <w:tcPr>
            <w:tcW w:type="dxa" w:w="2448"/>
            <w:shd w:fill="F2F4F7"/>
            <w:tcMar>
              <w:top w:w="90" w:type="dxa"/>
              <w:bottom w:w="90" w:type="dxa"/>
              <w:left w:w="140" w:type="dxa"/>
              <w:right w:w="140" w:type="dxa"/>
            </w:tcMar>
          </w:tcPr>
          <w:p>
            <w:pPr>
              <w:jc w:val="right"/>
            </w:pPr>
            <w:r>
              <w:rPr>
                <w:rFonts w:ascii="Times New Roman" w:hAnsi="Times New Roman"/>
                <w:color w:val="333333"/>
                <w:sz w:val="19"/>
              </w:rPr>
              <w:t>+5.55%</w:t>
            </w:r>
          </w:p>
        </w:tc>
      </w:tr>
      <w:tr>
        <w:trPr>
          <w:cantSplit/>
        </w:trPr>
        <w:tc>
          <w:tcPr>
            <w:tcW w:type="dxa" w:w="4464"/>
            <w:shd w:fill="FFFFFF"/>
            <w:tcMar>
              <w:top w:w="90" w:type="dxa"/>
              <w:bottom w:w="90" w:type="dxa"/>
              <w:left w:w="140" w:type="dxa"/>
              <w:right w:w="140" w:type="dxa"/>
            </w:tcMar>
          </w:tcPr>
          <w:p>
            <w:pPr>
              <w:jc w:val="left"/>
            </w:pPr>
            <w:r>
              <w:rPr>
                <w:rFonts w:ascii="Times New Roman" w:hAnsi="Times New Roman"/>
                <w:color w:val="333333"/>
                <w:sz w:val="19"/>
              </w:rPr>
              <w:t>Động lượng giá 12 tháng (mom_252)</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+39.38%</w:t>
            </w:r>
          </w:p>
        </w:tc>
        <w:tc>
          <w:tcPr>
            <w:tcW w:type="dxa" w:w="2448"/>
            <w:shd w:fill="FFFFFF"/>
            <w:tcMar>
              <w:top w:w="90" w:type="dxa"/>
              <w:bottom w:w="90" w:type="dxa"/>
              <w:left w:w="140" w:type="dxa"/>
              <w:right w:w="140" w:type="dxa"/>
            </w:tcMar>
          </w:tcPr>
          <w:p>
            <w:pPr>
              <w:jc w:val="right"/>
            </w:pPr>
            <w:r>
              <w:rPr>
                <w:rFonts w:ascii="Times New Roman" w:hAnsi="Times New Roman"/>
                <w:color w:val="333333"/>
                <w:sz w:val="19"/>
              </w:rPr>
              <w:t>+18.77%</w:t>
            </w:r>
          </w:p>
        </w:tc>
      </w:tr>
    </w:tbl>
    <w:p>
      <w:pPr>
        <w:spacing w:after="160"/>
      </w:pPr>
    </w:p>
    <w:p>
      <w:pPr>
        <w:keepNext/>
        <w:spacing w:before="280" w:after="120"/>
      </w:pPr>
      <w:r>
        <w:rPr>
          <w:rFonts w:ascii="Times New Roman" w:hAnsi="Times New Roman"/>
          <w:b/>
          <w:color w:val="003366"/>
          <w:sz w:val="26"/>
        </w:rPr>
        <w:t>8.2 — So sánh giữa các cụm</w:t>
      </w:r>
    </w:p>
    <w:p>
      <w:pPr>
        <w:spacing w:before="0" w:after="120" w:line="276" w:lineRule="auto"/>
      </w:pPr>
      <w:r>
        <w:rPr>
          <w:rFonts w:ascii="Times New Roman" w:hAnsi="Times New Roman"/>
          <w:color w:val="333333"/>
          <w:sz w:val="22"/>
        </w:rPr>
        <w:t>Mục đích của Phần 8.2 theo đúng Kế hoạch M2 là xác định feature nào làm các cụm khác nhau; so sánh động lượng, rủi ro, beta và thanh khoản giữa các cụm.</w:t>
      </w:r>
    </w:p>
    <w:p>
      <w:pPr>
        <w:spacing w:before="0" w:after="120" w:line="276" w:lineRule="auto"/>
      </w:pPr>
      <w:r>
        <w:rPr>
          <w:rFonts w:ascii="Times New Roman" w:hAnsi="Times New Roman"/>
          <w:color w:val="333333"/>
          <w:sz w:val="22"/>
        </w:rPr>
        <w:t>Từ bảng tổng hợp 8.1, các động lực phân tách cốt lõi giữa hai cụm được xác định rõ rệt:</w:t>
      </w:r>
    </w:p>
    <w:p>
      <w:pPr>
        <w:pStyle w:val="ListBullet"/>
        <w:spacing w:before="0" w:after="80" w:line="276" w:lineRule="auto"/>
      </w:pPr>
      <w:r>
        <w:rPr>
          <w:rFonts w:ascii="Times New Roman" w:hAnsi="Times New Roman"/>
          <w:b/>
          <w:color w:val="333333"/>
          <w:sz w:val="22"/>
        </w:rPr>
        <w:t xml:space="preserve">1. Thanh khoản (liquidity_21): </w:t>
      </w:r>
      <w:r>
        <w:rPr>
          <w:rFonts w:ascii="Times New Roman" w:hAnsi="Times New Roman"/>
          <w:color w:val="333333"/>
          <w:sz w:val="22"/>
        </w:rPr>
        <w:t>Thanh khoản là yếu tố phân tách lớn nhất giữa 2 cụm. Cụm 0 có thanh khoản bình quân 371.81 tỷ VND/phiên, gấp 24.9 lần so với 14.94 tỷ VND/phiên của Cụm 1. Đây là chiều phân tách chi phối lớn nhất hàm mục tiêu của mô hình.</w:t>
      </w:r>
    </w:p>
    <w:p>
      <w:pPr>
        <w:pStyle w:val="ListBullet"/>
        <w:spacing w:before="0" w:after="80" w:line="276" w:lineRule="auto"/>
      </w:pPr>
      <w:r>
        <w:rPr>
          <w:rFonts w:ascii="Times New Roman" w:hAnsi="Times New Roman"/>
          <w:b/>
          <w:color w:val="333333"/>
          <w:sz w:val="22"/>
        </w:rPr>
        <w:t xml:space="preserve">2. Hệ số Beta thị trường (beta_126): </w:t>
      </w:r>
      <w:r>
        <w:rPr>
          <w:rFonts w:ascii="Times New Roman" w:hAnsi="Times New Roman"/>
          <w:color w:val="333333"/>
          <w:sz w:val="22"/>
        </w:rPr>
        <w:t>Cụm 0 có Beta trung bình 1.3013, thể hiện mức độ tương quan và độ nhạy rất cao với chỉ số chung VN-Index. Trong khi đó, Cụm 1 có Beta trung bình chỉ 0.6080.</w:t>
      </w:r>
    </w:p>
    <w:p>
      <w:pPr>
        <w:pStyle w:val="ListBullet"/>
        <w:spacing w:before="0" w:after="80" w:line="276" w:lineRule="auto"/>
      </w:pPr>
      <w:r>
        <w:rPr>
          <w:rFonts w:ascii="Times New Roman" w:hAnsi="Times New Roman"/>
          <w:b/>
          <w:color w:val="333333"/>
          <w:sz w:val="22"/>
        </w:rPr>
        <w:t xml:space="preserve">3. Động lượng giá (Momentum): </w:t>
      </w:r>
      <w:r>
        <w:rPr>
          <w:rFonts w:ascii="Times New Roman" w:hAnsi="Times New Roman"/>
          <w:color w:val="333333"/>
          <w:sz w:val="22"/>
        </w:rPr>
        <w:t>Cụm 0 vượt trội ở tất cả các khung thời gian: Mom 1M (+2.65% vs +1.38%), Mom 3M (+7.85% vs +2.90%), Mom 6M (+13.35% vs +5.55%) và đặc biệt Mom 12M (+39.38% vs +18.77%, gấp hơn 2 lần).</w:t>
      </w:r>
    </w:p>
    <w:p>
      <w:pPr>
        <w:pStyle w:val="ListBullet"/>
        <w:spacing w:before="0" w:after="80" w:line="276" w:lineRule="auto"/>
      </w:pPr>
      <w:r>
        <w:rPr>
          <w:rFonts w:ascii="Times New Roman" w:hAnsi="Times New Roman"/>
          <w:b/>
          <w:color w:val="333333"/>
          <w:sz w:val="22"/>
        </w:rPr>
        <w:t xml:space="preserve">4. Rủi ro biến động và sụt giảm (vol_63, mdd_126): </w:t>
      </w:r>
      <w:r>
        <w:rPr>
          <w:rFonts w:ascii="Times New Roman" w:hAnsi="Times New Roman"/>
          <w:color w:val="333333"/>
          <w:sz w:val="22"/>
        </w:rPr>
        <w:t>Cụm 0 có độ biến động thấp hơn Cụm 1 (29.72% vs 35.37%) và mức sụt giảm tối đa 6M nông hơn (-19.28% vs -21.09%), cho thấy khả năng chống chịu điều chỉnh tốt hơn.</w:t>
      </w:r>
    </w:p>
    <w:p>
      <w:pPr>
        <w:keepNext/>
        <w:spacing w:before="280" w:after="120"/>
      </w:pPr>
      <w:r>
        <w:rPr>
          <w:rFonts w:ascii="Times New Roman" w:hAnsi="Times New Roman"/>
          <w:b/>
          <w:color w:val="003366"/>
          <w:sz w:val="26"/>
        </w:rPr>
        <w:t>Quy mô và mean liquidity qua toàn development</w:t>
      </w:r>
    </w:p>
    <w:p>
      <w:pPr>
        <w:spacing w:before="0" w:after="120" w:line="276" w:lineRule="auto"/>
      </w:pPr>
      <w:r>
        <w:rPr>
          <w:rFonts w:ascii="Times New Roman" w:hAnsi="Times New Roman"/>
          <w:color w:val="333333"/>
          <w:sz w:val="22"/>
        </w:rPr>
        <w:t>Bảng theo dõi sự phân bổ số lượng mã và giá trị thanh khoản bình quân của Cụm 0 và Cụm 1 qua từng snapshot:</w:t>
      </w:r>
    </w:p>
    <w:tbl>
      <w:tblPr>
        <w:tblW w:type="auto" w:w="0"/>
        <w:jc w:val="center"/>
        <w:tblLook w:firstColumn="1" w:firstRow="1" w:lastColumn="0" w:lastRow="0" w:noHBand="0" w:noVBand="1" w:val="04A0"/>
      </w:tblPr>
      <w:tblGrid>
        <w:gridCol w:w="1728"/>
        <w:gridCol w:w="1728"/>
        <w:gridCol w:w="1728"/>
        <w:gridCol w:w="1728"/>
        <w:gridCol w:w="1728"/>
      </w:tblGrid>
      <w:tr>
        <w:trPr>
          <w:cantSplit/>
          <w:tblHeader/>
        </w:trPr>
        <w:tc>
          <w:tcPr>
            <w:tcW w:type="dxa" w:w="1728"/>
            <w:shd w:fill="1F4E79"/>
            <w:tcMar>
              <w:top w:w="120" w:type="dxa"/>
              <w:bottom w:w="120" w:type="dxa"/>
              <w:left w:w="140" w:type="dxa"/>
              <w:right w:w="140" w:type="dxa"/>
            </w:tcMar>
          </w:tcPr>
          <w:p>
            <w:pPr>
              <w:jc w:val="center"/>
            </w:pPr>
            <w:r>
              <w:rPr>
                <w:rFonts w:ascii="Times New Roman" w:hAnsi="Times New Roman"/>
                <w:b/>
                <w:color w:val="FFFFFF"/>
                <w:sz w:val="19"/>
              </w:rPr>
              <w:t>Snapshot</w:t>
            </w:r>
          </w:p>
        </w:tc>
        <w:tc>
          <w:tcPr>
            <w:tcW w:type="dxa" w:w="1440"/>
            <w:shd w:fill="1F4E79"/>
            <w:tcMar>
              <w:top w:w="120" w:type="dxa"/>
              <w:bottom w:w="120" w:type="dxa"/>
              <w:left w:w="140" w:type="dxa"/>
              <w:right w:w="140" w:type="dxa"/>
            </w:tcMar>
          </w:tcPr>
          <w:p>
            <w:pPr>
              <w:jc w:val="right"/>
            </w:pPr>
            <w:r>
              <w:rPr>
                <w:rFonts w:ascii="Times New Roman" w:hAnsi="Times New Roman"/>
                <w:b/>
                <w:color w:val="FFFFFF"/>
                <w:sz w:val="19"/>
              </w:rPr>
              <w:t>Size cụm 0</w:t>
            </w:r>
          </w:p>
        </w:tc>
        <w:tc>
          <w:tcPr>
            <w:tcW w:type="dxa" w:w="1440"/>
            <w:shd w:fill="1F4E79"/>
            <w:tcMar>
              <w:top w:w="120" w:type="dxa"/>
              <w:bottom w:w="120" w:type="dxa"/>
              <w:left w:w="140" w:type="dxa"/>
              <w:right w:w="140" w:type="dxa"/>
            </w:tcMar>
          </w:tcPr>
          <w:p>
            <w:pPr>
              <w:jc w:val="right"/>
            </w:pPr>
            <w:r>
              <w:rPr>
                <w:rFonts w:ascii="Times New Roman" w:hAnsi="Times New Roman"/>
                <w:b/>
                <w:color w:val="FFFFFF"/>
                <w:sz w:val="19"/>
              </w:rPr>
              <w:t>Size cụm 1</w:t>
            </w:r>
          </w:p>
        </w:tc>
        <w:tc>
          <w:tcPr>
            <w:tcW w:type="dxa" w:w="2880"/>
            <w:shd w:fill="1F4E79"/>
            <w:tcMar>
              <w:top w:w="120" w:type="dxa"/>
              <w:bottom w:w="120" w:type="dxa"/>
              <w:left w:w="140" w:type="dxa"/>
              <w:right w:w="140" w:type="dxa"/>
            </w:tcMar>
          </w:tcPr>
          <w:p>
            <w:pPr>
              <w:jc w:val="right"/>
            </w:pPr>
            <w:r>
              <w:rPr>
                <w:rFonts w:ascii="Times New Roman" w:hAnsi="Times New Roman"/>
                <w:b/>
                <w:color w:val="FFFFFF"/>
                <w:sz w:val="19"/>
              </w:rPr>
              <w:t>Liquidity cụm 0 — tỷ VND/phiên</w:t>
            </w:r>
          </w:p>
        </w:tc>
        <w:tc>
          <w:tcPr>
            <w:tcW w:type="dxa" w:w="2880"/>
            <w:shd w:fill="1F4E79"/>
            <w:tcMar>
              <w:top w:w="120" w:type="dxa"/>
              <w:bottom w:w="120" w:type="dxa"/>
              <w:left w:w="140" w:type="dxa"/>
              <w:right w:w="140" w:type="dxa"/>
            </w:tcMar>
          </w:tcPr>
          <w:p>
            <w:pPr>
              <w:jc w:val="right"/>
            </w:pPr>
            <w:r>
              <w:rPr>
                <w:rFonts w:ascii="Times New Roman" w:hAnsi="Times New Roman"/>
                <w:b/>
                <w:color w:val="FFFFFF"/>
                <w:sz w:val="19"/>
              </w:rPr>
              <w:t>Liquidity cụm 1 — tỷ VND/phiên</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2023-11-30</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9</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133</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201.227713</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8.895114</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2023-12-29</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16</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179</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332.434746</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14.506566</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2024-01-31</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17</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179</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295.174249</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14.266154</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2024-02-29</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17</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179</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359.151771</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16.682277</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2024-03-29</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15</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182</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492.019377</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26.096221</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2024-04-26</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14</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200</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475.605616</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23.666850</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2024-05-31</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15</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206</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419.718682</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24.656235</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2024-06-28</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229</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576.264143</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29.329016</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2024-07-31</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17</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230</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323.080154</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20.244948</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2024-08-30</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21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574</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288.095511</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6.731501</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2024-09-30</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16</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590</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371.034221</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7.289974</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2024-10-31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13</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595</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421.114025</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7.658658</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2024-11-29</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8</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772</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462.587972</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7.832804</w:t>
            </w:r>
          </w:p>
        </w:tc>
      </w:tr>
      <w:tr>
        <w:trPr>
          <w:cantSplit/>
        </w:trPr>
        <w:tc>
          <w:tcPr>
            <w:tcW w:type="dxa" w:w="1728"/>
            <w:shd w:fill="F2F4F7"/>
            <w:tcMar>
              <w:top w:w="90" w:type="dxa"/>
              <w:bottom w:w="90" w:type="dxa"/>
              <w:left w:w="140" w:type="dxa"/>
              <w:right w:w="140" w:type="dxa"/>
            </w:tcMar>
          </w:tcPr>
          <w:p>
            <w:pPr>
              <w:jc w:val="center"/>
            </w:pPr>
            <w:r>
              <w:rPr>
                <w:rFonts w:ascii="Times New Roman" w:hAnsi="Times New Roman"/>
                <w:color w:val="333333"/>
                <w:sz w:val="19"/>
              </w:rPr>
              <w:t>2024-12-31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11</w:t>
            </w:r>
          </w:p>
        </w:tc>
        <w:tc>
          <w:tcPr>
            <w:tcW w:type="dxa" w:w="1440"/>
            <w:shd w:fill="F2F4F7"/>
            <w:tcMar>
              <w:top w:w="90" w:type="dxa"/>
              <w:bottom w:w="90" w:type="dxa"/>
              <w:left w:w="140" w:type="dxa"/>
              <w:right w:w="140" w:type="dxa"/>
            </w:tcMar>
          </w:tcPr>
          <w:p>
            <w:pPr>
              <w:jc w:val="right"/>
            </w:pPr>
            <w:r>
              <w:rPr>
                <w:rFonts w:ascii="Times New Roman" w:hAnsi="Times New Roman"/>
                <w:color w:val="333333"/>
                <w:sz w:val="19"/>
              </w:rPr>
              <w:t>578</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357.878668</w:t>
            </w:r>
          </w:p>
        </w:tc>
        <w:tc>
          <w:tcPr>
            <w:tcW w:type="dxa" w:w="2880"/>
            <w:shd w:fill="F2F4F7"/>
            <w:tcMar>
              <w:top w:w="90" w:type="dxa"/>
              <w:bottom w:w="90" w:type="dxa"/>
              <w:left w:w="140" w:type="dxa"/>
              <w:right w:w="140" w:type="dxa"/>
            </w:tcMar>
          </w:tcPr>
          <w:p>
            <w:pPr>
              <w:jc w:val="right"/>
            </w:pPr>
            <w:r>
              <w:rPr>
                <w:rFonts w:ascii="Times New Roman" w:hAnsi="Times New Roman"/>
                <w:color w:val="333333"/>
                <w:sz w:val="19"/>
              </w:rPr>
              <w:t>10.118749</w:t>
            </w:r>
          </w:p>
        </w:tc>
      </w:tr>
      <w:tr>
        <w:trPr>
          <w:cantSplit/>
        </w:trPr>
        <w:tc>
          <w:tcPr>
            <w:tcW w:type="dxa" w:w="1728"/>
            <w:shd w:fill="FFFFFF"/>
            <w:tcMar>
              <w:top w:w="90" w:type="dxa"/>
              <w:bottom w:w="90" w:type="dxa"/>
              <w:left w:w="140" w:type="dxa"/>
              <w:right w:w="140" w:type="dxa"/>
            </w:tcMar>
          </w:tcPr>
          <w:p>
            <w:pPr>
              <w:jc w:val="center"/>
            </w:pPr>
            <w:r>
              <w:rPr>
                <w:rFonts w:ascii="Times New Roman" w:hAnsi="Times New Roman"/>
                <w:color w:val="333333"/>
                <w:sz w:val="19"/>
              </w:rPr>
              <w:t>2025-01-24</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21</w:t>
            </w:r>
          </w:p>
        </w:tc>
        <w:tc>
          <w:tcPr>
            <w:tcW w:type="dxa" w:w="1440"/>
            <w:shd w:fill="FFFFFF"/>
            <w:tcMar>
              <w:top w:w="90" w:type="dxa"/>
              <w:bottom w:w="90" w:type="dxa"/>
              <w:left w:w="140" w:type="dxa"/>
              <w:right w:w="140" w:type="dxa"/>
            </w:tcMar>
          </w:tcPr>
          <w:p>
            <w:pPr>
              <w:jc w:val="right"/>
            </w:pPr>
            <w:r>
              <w:rPr>
                <w:rFonts w:ascii="Times New Roman" w:hAnsi="Times New Roman"/>
                <w:color w:val="333333"/>
                <w:sz w:val="19"/>
              </w:rPr>
              <w:t>568</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201.761082</w:t>
            </w:r>
          </w:p>
        </w:tc>
        <w:tc>
          <w:tcPr>
            <w:tcW w:type="dxa" w:w="2880"/>
            <w:shd w:fill="FFFFFF"/>
            <w:tcMar>
              <w:top w:w="90" w:type="dxa"/>
              <w:bottom w:w="90" w:type="dxa"/>
              <w:left w:w="140" w:type="dxa"/>
              <w:right w:w="140" w:type="dxa"/>
            </w:tcMar>
          </w:tcPr>
          <w:p>
            <w:pPr>
              <w:jc w:val="right"/>
            </w:pPr>
            <w:r>
              <w:rPr>
                <w:rFonts w:ascii="Times New Roman" w:hAnsi="Times New Roman"/>
                <w:color w:val="333333"/>
                <w:sz w:val="19"/>
              </w:rPr>
              <w:t>6.187727</w:t>
            </w:r>
          </w:p>
        </w:tc>
      </w:tr>
    </w:tbl>
    <w:p>
      <w:pPr>
        <w:spacing w:after="160"/>
      </w:pPr>
    </w:p>
    <w:p>
      <w:pPr>
        <w:keepNext/>
        <w:spacing w:before="280" w:after="120"/>
      </w:pPr>
      <w:r>
        <w:rPr>
          <w:rFonts w:ascii="Times New Roman" w:hAnsi="Times New Roman"/>
          <w:b/>
          <w:color w:val="003366"/>
          <w:sz w:val="26"/>
        </w:rPr>
        <w:t>Đồ thị trực quan hóa so sánh đặc trưng và thanh khoản</w:t>
      </w:r>
    </w:p>
    <w:p>
      <w:pPr>
        <w:spacing w:before="80" w:after="160"/>
        <w:jc w:val="center"/>
      </w:pPr>
      <w:r>
        <w:drawing>
          <wp:inline xmlns:a="http://schemas.openxmlformats.org/drawingml/2006/main" xmlns:pic="http://schemas.openxmlformats.org/drawingml/2006/picture">
            <wp:extent cx="5669280" cy="1998523"/>
            <wp:docPr id="1" name="Picture 1"/>
            <wp:cNvGraphicFramePr>
              <a:graphicFrameLocks noChangeAspect="1"/>
            </wp:cNvGraphicFramePr>
            <a:graphic>
              <a:graphicData uri="http://schemas.openxmlformats.org/drawingml/2006/picture">
                <pic:pic>
                  <pic:nvPicPr>
                    <pic:cNvPr id="0" name="nv8_cluster_profiling.png"/>
                    <pic:cNvPicPr/>
                  </pic:nvPicPr>
                  <pic:blipFill>
                    <a:blip r:embed="rId9"/>
                    <a:stretch>
                      <a:fillRect/>
                    </a:stretch>
                  </pic:blipFill>
                  <pic:spPr>
                    <a:xfrm>
                      <a:off x="0" y="0"/>
                      <a:ext cx="5669280" cy="1998523"/>
                    </a:xfrm>
                    <a:prstGeom prst="rect"/>
                  </pic:spPr>
                </pic:pic>
              </a:graphicData>
            </a:graphic>
          </wp:inline>
        </w:drawing>
      </w:r>
    </w:p>
    <w:p>
      <w:pPr>
        <w:keepNext/>
        <w:spacing w:before="280" w:after="120"/>
      </w:pPr>
      <w:r>
        <w:rPr>
          <w:rFonts w:ascii="Times New Roman" w:hAnsi="Times New Roman"/>
          <w:b/>
          <w:color w:val="003366"/>
          <w:sz w:val="26"/>
        </w:rPr>
        <w:t>8.3 — Giới hạn diễn giải</w:t>
      </w:r>
    </w:p>
    <w:p>
      <w:pPr>
        <w:pStyle w:val="ListBullet"/>
        <w:spacing w:before="0" w:after="80" w:line="276" w:lineRule="auto"/>
      </w:pPr>
      <w:r>
        <w:rPr>
          <w:rFonts w:ascii="Times New Roman" w:hAnsi="Times New Roman"/>
          <w:b/>
          <w:color w:val="333333"/>
          <w:sz w:val="22"/>
        </w:rPr>
        <w:t xml:space="preserve">Tính chất của số bình quân: </w:t>
      </w:r>
      <w:r>
        <w:rPr>
          <w:rFonts w:ascii="Times New Roman" w:hAnsi="Times New Roman"/>
          <w:color w:val="333333"/>
          <w:sz w:val="22"/>
        </w:rPr>
        <w:t>Mean nhạy với quan sát cực đoan. Không suy ra phân phối của từng cổ phiếu chỉ từ giá trị mean cụm.</w:t>
      </w:r>
    </w:p>
    <w:p>
      <w:pPr>
        <w:pStyle w:val="ListBullet"/>
        <w:spacing w:before="0" w:after="80" w:line="276" w:lineRule="auto"/>
      </w:pPr>
      <w:r>
        <w:rPr>
          <w:rFonts w:ascii="Times New Roman" w:hAnsi="Times New Roman"/>
          <w:b/>
          <w:color w:val="333333"/>
          <w:sz w:val="22"/>
        </w:rPr>
        <w:t xml:space="preserve">Không suy diễn đầu tư: </w:t>
      </w:r>
      <w:r>
        <w:rPr>
          <w:rFonts w:ascii="Times New Roman" w:hAnsi="Times New Roman"/>
          <w:color w:val="333333"/>
          <w:sz w:val="22"/>
        </w:rPr>
        <w:t>Chênh lệch đặc trưng giữa các cụm mang tính chất mô tả cấu trúc dữ liệu lịch sử, không chứng minh nguyên nhân kinh tế và không xác lập tín hiệu đầu tư.</w:t>
      </w:r>
    </w:p>
    <w:p>
      <w:pPr>
        <w:pStyle w:val="ListBullet"/>
        <w:spacing w:before="0" w:after="80" w:line="276" w:lineRule="auto"/>
      </w:pPr>
      <w:r>
        <w:rPr>
          <w:rFonts w:ascii="Times New Roman" w:hAnsi="Times New Roman"/>
          <w:b/>
          <w:color w:val="333333"/>
          <w:sz w:val="22"/>
        </w:rPr>
        <w:t xml:space="preserve">Nhãn trung tính: </w:t>
      </w:r>
      <w:r>
        <w:rPr>
          <w:rFonts w:ascii="Times New Roman" w:hAnsi="Times New Roman"/>
          <w:color w:val="333333"/>
          <w:sz w:val="22"/>
        </w:rPr>
        <w:t>Không đặt tên chủ quan như 'siêu cổ phiếu' hay 'penny', giữ nguyên tên gọi trung tính 'Cụm 0' và 'Cụm 1'.</w:t>
      </w:r>
    </w:p>
    <w:p>
      <w:pPr>
        <w:pStyle w:val="ListBullet"/>
        <w:spacing w:before="0" w:after="80" w:line="276" w:lineRule="auto"/>
      </w:pPr>
      <w:r>
        <w:rPr>
          <w:rFonts w:ascii="Times New Roman" w:hAnsi="Times New Roman"/>
          <w:b/>
          <w:color w:val="333333"/>
          <w:sz w:val="22"/>
        </w:rPr>
        <w:t xml:space="preserve">Ranh giới M2/M3: </w:t>
      </w:r>
      <w:r>
        <w:rPr>
          <w:rFonts w:ascii="Times New Roman" w:hAnsi="Times New Roman"/>
          <w:color w:val="333333"/>
          <w:sz w:val="22"/>
        </w:rPr>
        <w:t>Đánh giá tỷ suất sinh lời danh mục và Sharpe ratio thuộc về phạm vi Milestone M3 (Backtest), không tham gia vào đánh giá cụm ở M2.</w:t>
      </w:r>
    </w:p>
    <w:p>
      <w:pPr>
        <w:keepNext/>
        <w:spacing w:before="280" w:after="120"/>
      </w:pPr>
      <w:r>
        <w:rPr>
          <w:rFonts w:ascii="Times New Roman" w:hAnsi="Times New Roman"/>
          <w:b/>
          <w:color w:val="003366"/>
          <w:sz w:val="26"/>
        </w:rPr>
        <w:t>Đầu ra bàn giao</w:t>
      </w:r>
    </w:p>
    <w:p>
      <w:pPr>
        <w:pStyle w:val="ListBullet"/>
        <w:spacing w:before="0" w:after="80" w:line="276" w:lineRule="auto"/>
      </w:pPr>
      <w:r>
        <w:rPr>
          <w:rFonts w:ascii="Times New Roman" w:hAnsi="Times New Roman"/>
          <w:b/>
          <w:color w:val="333333"/>
          <w:sz w:val="22"/>
        </w:rPr>
        <w:t xml:space="preserve">Notebook nhiệm vụ 8: </w:t>
      </w:r>
      <w:r>
        <w:rPr>
          <w:rFonts w:ascii="Times New Roman" w:hAnsi="Times New Roman"/>
          <w:color w:val="333333"/>
          <w:sz w:val="22"/>
        </w:rPr>
        <w:t>M2/notebooks/08_cluster_profiling_kmeans.ipynb (chạy đầy đủ cell và có biểu đồ nhúng)</w:t>
      </w:r>
    </w:p>
    <w:p>
      <w:pPr>
        <w:pStyle w:val="ListBullet"/>
        <w:spacing w:before="0" w:after="80" w:line="276" w:lineRule="auto"/>
      </w:pPr>
      <w:r>
        <w:rPr>
          <w:rFonts w:ascii="Times New Roman" w:hAnsi="Times New Roman"/>
          <w:b/>
          <w:color w:val="333333"/>
          <w:sz w:val="22"/>
        </w:rPr>
        <w:t xml:space="preserve">File báo cáo Word: </w:t>
      </w:r>
      <w:r>
        <w:rPr>
          <w:rFonts w:ascii="Times New Roman" w:hAnsi="Times New Roman"/>
          <w:color w:val="333333"/>
          <w:sz w:val="22"/>
        </w:rPr>
        <w:t>M2/reports/Bao_cao_M2_Nhiem_vu_8_Ho_so_cum_kmeans.docx</w:t>
      </w:r>
    </w:p>
    <w:p>
      <w:pPr>
        <w:pStyle w:val="ListBullet"/>
        <w:spacing w:before="0" w:after="80" w:line="276" w:lineRule="auto"/>
      </w:pPr>
      <w:r>
        <w:rPr>
          <w:rFonts w:ascii="Times New Roman" w:hAnsi="Times New Roman"/>
          <w:b/>
          <w:color w:val="333333"/>
          <w:sz w:val="22"/>
        </w:rPr>
        <w:t xml:space="preserve">Hồ sơ cụm: </w:t>
      </w:r>
      <w:r>
        <w:rPr>
          <w:rFonts w:ascii="Times New Roman" w:hAnsi="Times New Roman"/>
          <w:color w:val="333333"/>
          <w:sz w:val="22"/>
        </w:rPr>
        <w:t>M2/artifacts/m2-evaluation-kmeans/cluster_profiles.csv (đủ 30 profile 15 tháng x 2 cụm)</w:t>
      </w:r>
    </w:p>
    <w:p>
      <w:pPr>
        <w:pStyle w:val="ListBullet"/>
        <w:spacing w:before="0" w:after="80" w:line="276" w:lineRule="auto"/>
      </w:pPr>
      <w:r>
        <w:rPr>
          <w:rFonts w:ascii="Times New Roman" w:hAnsi="Times New Roman"/>
          <w:b/>
          <w:color w:val="333333"/>
          <w:sz w:val="22"/>
        </w:rPr>
        <w:t xml:space="preserve">Thành viên từng cụm: </w:t>
      </w:r>
      <w:r>
        <w:rPr>
          <w:rFonts w:ascii="Times New Roman" w:hAnsi="Times New Roman"/>
          <w:color w:val="333333"/>
          <w:sz w:val="22"/>
        </w:rPr>
        <w:t>M2/artifacts/m2-evaluation-kmeans/cluster_profile_members.csv (danh sách thành viên chi tiết theo tháng)</w:t>
      </w:r>
    </w:p>
    <w:p>
      <w:pPr>
        <w:pStyle w:val="ListBullet"/>
        <w:spacing w:before="0" w:after="80" w:line="276" w:lineRule="auto"/>
      </w:pPr>
      <w:r>
        <w:rPr>
          <w:rFonts w:ascii="Times New Roman" w:hAnsi="Times New Roman"/>
          <w:b/>
          <w:color w:val="333333"/>
          <w:sz w:val="22"/>
        </w:rPr>
        <w:t xml:space="preserve">Đối chiếu scaler: </w:t>
      </w:r>
      <w:r>
        <w:rPr>
          <w:rFonts w:ascii="Times New Roman" w:hAnsi="Times New Roman"/>
          <w:color w:val="333333"/>
          <w:sz w:val="22"/>
        </w:rPr>
        <w:t>M2/artifacts/m2-evaluation-kmeans/profile_scaler_reference.csv (đối chiếu unscaled mean với scaler)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