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color w:val="003366"/>
          <w:sz w:val="32"/>
        </w:rPr>
        <w:t>Báo cáo M2 — Nhiệm vụ 9: Độ ổn định theo thời gian của K-Means Baseline</w:t>
      </w:r>
    </w:p>
    <w:p>
      <w:pPr>
        <w:spacing w:before="0" w:after="280"/>
      </w:pPr>
      <w:r>
        <w:rPr>
          <w:rFonts w:ascii="Times New Roman" w:hAnsi="Times New Roman"/>
          <w:i/>
          <w:color w:val="666666"/>
          <w:sz w:val="21"/>
        </w:rPr>
        <w:t>Theo Kế hoạch M2 | Nhóm DELTA | Global K=2</w:t>
      </w:r>
    </w:p>
    <w:p>
      <w:pPr>
        <w:keepNext/>
        <w:spacing w:before="280" w:after="120"/>
      </w:pPr>
      <w:r>
        <w:rPr>
          <w:rFonts w:ascii="Times New Roman" w:hAnsi="Times New Roman"/>
          <w:b/>
          <w:color w:val="003366"/>
          <w:sz w:val="26"/>
        </w:rPr>
        <w:t>Phạm vi và nguồn bằng chứng</w:t>
      </w:r>
    </w:p>
    <w:p>
      <w:pPr>
        <w:pStyle w:val="ListBullet"/>
        <w:spacing w:before="0" w:after="80" w:line="276" w:lineRule="auto"/>
      </w:pPr>
      <w:r>
        <w:rPr>
          <w:rFonts w:ascii="Times New Roman" w:hAnsi="Times New Roman"/>
          <w:b/>
          <w:color w:val="333333"/>
          <w:sz w:val="22"/>
        </w:rPr>
        <w:t xml:space="preserve">Mục tiêu nhiệm vụ: </w:t>
      </w:r>
      <w:r>
        <w:rPr>
          <w:rFonts w:ascii="Times New Roman" w:hAnsi="Times New Roman"/>
          <w:color w:val="333333"/>
          <w:sz w:val="22"/>
        </w:rPr>
        <w:t>Đánh giá mức độ bền vững và tính nhất quán của cấu hình phân cụm K-Means Baseline (K=2) qua chuỗi 15 snapshots development liên tiếp.</w:t>
      </w:r>
    </w:p>
    <w:p>
      <w:pPr>
        <w:pStyle w:val="ListBullet"/>
        <w:spacing w:before="0" w:after="80" w:line="276" w:lineRule="auto"/>
      </w:pPr>
      <w:r>
        <w:rPr>
          <w:rFonts w:ascii="Times New Roman" w:hAnsi="Times New Roman"/>
          <w:b/>
          <w:color w:val="333333"/>
          <w:sz w:val="22"/>
        </w:rPr>
        <w:t xml:space="preserve">Phạm vi: </w:t>
      </w:r>
      <w:r>
        <w:rPr>
          <w:rFonts w:ascii="Times New Roman" w:hAnsi="Times New Roman"/>
          <w:color w:val="333333"/>
          <w:sz w:val="22"/>
        </w:rPr>
        <w:t>Phần K-Means Baseline trong nhiệm vụ 9; cấu hình cố định Global K=2.</w:t>
      </w:r>
    </w:p>
    <w:p>
      <w:pPr>
        <w:pStyle w:val="ListBullet"/>
        <w:spacing w:before="0" w:after="80" w:line="276" w:lineRule="auto"/>
      </w:pPr>
      <w:r>
        <w:rPr>
          <w:rFonts w:ascii="Times New Roman" w:hAnsi="Times New Roman"/>
          <w:b/>
          <w:color w:val="333333"/>
          <w:sz w:val="22"/>
        </w:rPr>
        <w:t xml:space="preserve">Dữ liệu: </w:t>
      </w:r>
      <w:r>
        <w:rPr>
          <w:rFonts w:ascii="Times New Roman" w:hAnsi="Times New Roman"/>
          <w:color w:val="333333"/>
          <w:sz w:val="22"/>
        </w:rPr>
        <w:t>Dữ liệu gồm 15 snapshot hàng tháng giai đoạn development: 2023-11-30 đến 2025-01-24 (tạo thành 14 cặp tháng liên tiếp).</w:t>
      </w:r>
    </w:p>
    <w:p>
      <w:pPr>
        <w:pStyle w:val="ListBullet"/>
        <w:spacing w:before="0" w:after="80" w:line="276" w:lineRule="auto"/>
      </w:pPr>
      <w:r>
        <w:rPr>
          <w:rFonts w:ascii="Times New Roman" w:hAnsi="Times New Roman"/>
          <w:b/>
          <w:color w:val="333333"/>
          <w:sz w:val="22"/>
        </w:rPr>
        <w:t xml:space="preserve">Nguồn artifact: </w:t>
      </w:r>
      <w:r>
        <w:rPr>
          <w:rFonts w:ascii="Times New Roman" w:hAnsi="Times New Roman"/>
          <w:color w:val="333333"/>
          <w:sz w:val="22"/>
        </w:rPr>
        <w:t>Output báo cáo lưu trực tiếp tại M2/artifacts/m2-evaluation-kmeans/; đọc trực tiếp artifact đã hoàn thành.</w:t>
      </w:r>
    </w:p>
    <w:p>
      <w:pPr>
        <w:keepNext/>
        <w:spacing w:before="280" w:after="120"/>
      </w:pPr>
      <w:r>
        <w:rPr>
          <w:rFonts w:ascii="Times New Roman" w:hAnsi="Times New Roman"/>
          <w:b/>
          <w:color w:val="003366"/>
          <w:sz w:val="26"/>
        </w:rPr>
        <w:t>Quy trình thực hiện</w:t>
      </w:r>
    </w:p>
    <w:p>
      <w:pPr>
        <w:pStyle w:val="ListBullet"/>
        <w:spacing w:before="0" w:after="80" w:line="276" w:lineRule="auto"/>
      </w:pPr>
      <w:r>
        <w:rPr>
          <w:rFonts w:ascii="Times New Roman" w:hAnsi="Times New Roman"/>
          <w:b/>
          <w:color w:val="333333"/>
          <w:sz w:val="22"/>
        </w:rPr>
        <w:t xml:space="preserve">Bước 1: </w:t>
      </w:r>
      <w:r>
        <w:rPr>
          <w:rFonts w:ascii="Times New Roman" w:hAnsi="Times New Roman"/>
          <w:color w:val="333333"/>
          <w:sz w:val="22"/>
        </w:rPr>
        <w:t>Đọc dữ liệu ổn định từ temporal_stability.csv, temporal_summary.csv, centroid_drift.csv và entry_exit.csv.</w:t>
      </w:r>
    </w:p>
    <w:p>
      <w:pPr>
        <w:pStyle w:val="ListBullet"/>
        <w:spacing w:before="0" w:after="80" w:line="276" w:lineRule="auto"/>
      </w:pPr>
      <w:r>
        <w:rPr>
          <w:rFonts w:ascii="Times New Roman" w:hAnsi="Times New Roman"/>
          <w:b/>
          <w:color w:val="333333"/>
          <w:sz w:val="22"/>
        </w:rPr>
        <w:t xml:space="preserve">Bước 2: </w:t>
      </w:r>
      <w:r>
        <w:rPr>
          <w:rFonts w:ascii="Times New Roman" w:hAnsi="Times New Roman"/>
          <w:color w:val="333333"/>
          <w:sz w:val="22"/>
        </w:rPr>
        <w:t>Phân tích 4 chỉ số temporal cốt lõi qua 14 cặp tháng: 9.1 ARI, 9.2 NMI, 9.3 Persistence, 9.4 Migration.</w:t>
      </w:r>
    </w:p>
    <w:p>
      <w:pPr>
        <w:pStyle w:val="ListBullet"/>
        <w:spacing w:before="0" w:after="80" w:line="276" w:lineRule="auto"/>
      </w:pPr>
      <w:r>
        <w:t>Bước 3: Thiết lập ma trận chuyển dịch (Transition Matrix) tổng hợp tích lũy qua toàn bộ 14 cặp tháng development và phân tích độ bền vững thành viên (9.5).</w:t>
      </w:r>
    </w:p>
    <w:p>
      <w:pPr>
        <w:pStyle w:val="ListBullet"/>
        <w:spacing w:before="0" w:after="80" w:line="276" w:lineRule="auto"/>
      </w:pPr>
      <w:r>
        <w:t>Bước 4: Tính toán Centroid Drift trung bình tuyệt đối trên 8 đặc trưng gốc qua 14 cặp tháng (9.6) và phân tích tổng hợp biến động thành viên Entry / Exit (9.7).</w:t>
      </w:r>
    </w:p>
    <w:p>
      <w:pPr>
        <w:pStyle w:val="ListBullet"/>
        <w:spacing w:before="0" w:after="80" w:line="276" w:lineRule="auto"/>
      </w:pPr>
      <w:r>
        <w:rPr>
          <w:rFonts w:ascii="Times New Roman" w:hAnsi="Times New Roman"/>
          <w:b/>
          <w:color w:val="333333"/>
          <w:sz w:val="22"/>
        </w:rPr>
        <w:t xml:space="preserve">Bước 5: </w:t>
      </w:r>
      <w:r>
        <w:rPr>
          <w:rFonts w:ascii="Times New Roman" w:hAnsi="Times New Roman"/>
          <w:color w:val="333333"/>
          <w:sz w:val="22"/>
        </w:rPr>
        <w:t>Kiểm định tính liên tục và thiết lập quy tắc ngắt chuỗi tại data gap (9.8).</w:t>
      </w:r>
    </w:p>
    <w:p>
      <w:pPr>
        <w:keepNext/>
        <w:spacing w:before="280" w:after="120"/>
      </w:pPr>
      <w:r>
        <w:rPr>
          <w:rFonts w:ascii="Times New Roman" w:hAnsi="Times New Roman"/>
          <w:b/>
          <w:color w:val="003366"/>
          <w:sz w:val="26"/>
        </w:rPr>
        <w:t>Bảng theo dõi chuỗi thời gian 14 cặp tháng (Temporal Stability)</w:t>
      </w:r>
    </w:p>
    <w:p>
      <w:pPr>
        <w:spacing w:before="0" w:after="120" w:line="276" w:lineRule="auto"/>
      </w:pPr>
      <w:r>
        <w:rPr>
          <w:rFonts w:ascii="Times New Roman" w:hAnsi="Times New Roman"/>
          <w:color w:val="333333"/>
          <w:sz w:val="22"/>
        </w:rPr>
        <w:t>15 snapshot liên tiếp tạo thành 14 cặp tháng liên tục. Toàn bộ các chỉ số được đo lường trên tập giao các mã cổ phiếu chung giữa hai tháng:</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440"/>
            <w:shd w:fill="1F4E79"/>
            <w:tcMar>
              <w:top w:w="120" w:type="dxa"/>
              <w:bottom w:w="120" w:type="dxa"/>
              <w:left w:w="140" w:type="dxa"/>
              <w:right w:w="140" w:type="dxa"/>
            </w:tcMar>
          </w:tcPr>
          <w:p>
            <w:pPr>
              <w:jc w:val="center"/>
            </w:pPr>
            <w:r>
              <w:rPr>
                <w:rFonts w:ascii="Times New Roman" w:hAnsi="Times New Roman"/>
                <w:b/>
                <w:color w:val="FFFFFF"/>
                <w:sz w:val="19"/>
              </w:rPr>
              <w:t>Từ tháng</w:t>
            </w:r>
          </w:p>
        </w:tc>
        <w:tc>
          <w:tcPr>
            <w:tcW w:type="dxa" w:w="1440"/>
            <w:shd w:fill="1F4E79"/>
            <w:tcMar>
              <w:top w:w="120" w:type="dxa"/>
              <w:bottom w:w="120" w:type="dxa"/>
              <w:left w:w="140" w:type="dxa"/>
              <w:right w:w="140" w:type="dxa"/>
            </w:tcMar>
          </w:tcPr>
          <w:p>
            <w:pPr>
              <w:jc w:val="center"/>
            </w:pPr>
            <w:r>
              <w:rPr>
                <w:rFonts w:ascii="Times New Roman" w:hAnsi="Times New Roman"/>
                <w:b/>
                <w:color w:val="FFFFFF"/>
                <w:sz w:val="19"/>
              </w:rPr>
              <w:t>Đến tháng</w:t>
            </w:r>
          </w:p>
        </w:tc>
        <w:tc>
          <w:tcPr>
            <w:tcW w:type="dxa" w:w="1296"/>
            <w:shd w:fill="1F4E79"/>
            <w:tcMar>
              <w:top w:w="120" w:type="dxa"/>
              <w:bottom w:w="120" w:type="dxa"/>
              <w:left w:w="140" w:type="dxa"/>
              <w:right w:w="140" w:type="dxa"/>
            </w:tcMar>
          </w:tcPr>
          <w:p>
            <w:pPr>
              <w:jc w:val="right"/>
            </w:pPr>
            <w:r>
              <w:rPr>
                <w:rFonts w:ascii="Times New Roman" w:hAnsi="Times New Roman"/>
                <w:b/>
                <w:color w:val="FFFFFF"/>
                <w:sz w:val="19"/>
              </w:rPr>
              <w:t>Mã chung</w:t>
            </w:r>
          </w:p>
        </w:tc>
        <w:tc>
          <w:tcPr>
            <w:tcW w:type="dxa" w:w="1440"/>
            <w:shd w:fill="1F4E79"/>
            <w:tcMar>
              <w:top w:w="120" w:type="dxa"/>
              <w:bottom w:w="120" w:type="dxa"/>
              <w:left w:w="140" w:type="dxa"/>
              <w:right w:w="140" w:type="dxa"/>
            </w:tcMar>
          </w:tcPr>
          <w:p>
            <w:pPr>
              <w:jc w:val="right"/>
            </w:pPr>
            <w:r>
              <w:rPr>
                <w:rFonts w:ascii="Times New Roman" w:hAnsi="Times New Roman"/>
                <w:b/>
                <w:color w:val="FFFFFF"/>
                <w:sz w:val="19"/>
              </w:rPr>
              <w:t>ARI</w:t>
            </w:r>
          </w:p>
        </w:tc>
        <w:tc>
          <w:tcPr>
            <w:tcW w:type="dxa" w:w="1440"/>
            <w:shd w:fill="1F4E79"/>
            <w:tcMar>
              <w:top w:w="120" w:type="dxa"/>
              <w:bottom w:w="120" w:type="dxa"/>
              <w:left w:w="140" w:type="dxa"/>
              <w:right w:w="140" w:type="dxa"/>
            </w:tcMar>
          </w:tcPr>
          <w:p>
            <w:pPr>
              <w:jc w:val="right"/>
            </w:pPr>
            <w:r>
              <w:rPr>
                <w:rFonts w:ascii="Times New Roman" w:hAnsi="Times New Roman"/>
                <w:b/>
                <w:color w:val="FFFFFF"/>
                <w:sz w:val="19"/>
              </w:rPr>
              <w:t>NMI</w:t>
            </w:r>
          </w:p>
        </w:tc>
        <w:tc>
          <w:tcPr>
            <w:tcW w:type="dxa" w:w="1584"/>
            <w:shd w:fill="1F4E79"/>
            <w:tcMar>
              <w:top w:w="120" w:type="dxa"/>
              <w:bottom w:w="120" w:type="dxa"/>
              <w:left w:w="140" w:type="dxa"/>
              <w:right w:w="140" w:type="dxa"/>
            </w:tcMar>
          </w:tcPr>
          <w:p>
            <w:pPr>
              <w:jc w:val="right"/>
            </w:pPr>
            <w:r>
              <w:rPr>
                <w:rFonts w:ascii="Times New Roman" w:hAnsi="Times New Roman"/>
                <w:b/>
                <w:color w:val="FFFFFF"/>
                <w:sz w:val="19"/>
              </w:rPr>
              <w:t>Persistence (%)</w:t>
            </w:r>
          </w:p>
        </w:tc>
        <w:tc>
          <w:tcPr>
            <w:tcW w:type="dxa" w:w="1584"/>
            <w:shd w:fill="1F4E79"/>
            <w:tcMar>
              <w:top w:w="120" w:type="dxa"/>
              <w:bottom w:w="120" w:type="dxa"/>
              <w:left w:w="140" w:type="dxa"/>
              <w:right w:w="140" w:type="dxa"/>
            </w:tcMar>
          </w:tcPr>
          <w:p>
            <w:pPr>
              <w:jc w:val="right"/>
            </w:pPr>
            <w:r>
              <w:rPr>
                <w:rFonts w:ascii="Times New Roman" w:hAnsi="Times New Roman"/>
                <w:b/>
                <w:color w:val="FFFFFF"/>
                <w:sz w:val="19"/>
              </w:rPr>
              <w:t>Migration (%)</w:t>
            </w:r>
          </w:p>
        </w:tc>
      </w:tr>
      <w:tr>
        <w:trPr>
          <w:cantSplit/>
        </w:trPr>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2023-11-30</w:t>
            </w:r>
          </w:p>
        </w:tc>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2023-12-29</w:t>
            </w:r>
          </w:p>
        </w:tc>
        <w:tc>
          <w:tcPr>
            <w:tcW w:type="dxa" w:w="1296"/>
            <w:shd w:fill="FFFFFF"/>
            <w:tcMar>
              <w:top w:w="90" w:type="dxa"/>
              <w:bottom w:w="90" w:type="dxa"/>
              <w:left w:w="140" w:type="dxa"/>
              <w:right w:w="140" w:type="dxa"/>
            </w:tcMar>
          </w:tcPr>
          <w:p>
            <w:pPr>
              <w:jc w:val="right"/>
            </w:pPr>
            <w:r>
              <w:rPr>
                <w:rFonts w:ascii="Times New Roman" w:hAnsi="Times New Roman"/>
                <w:color w:val="333333"/>
                <w:sz w:val="19"/>
              </w:rPr>
              <w:t>140</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0.575783</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0.464672</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96.43%</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3.57%</w:t>
            </w:r>
          </w:p>
        </w:tc>
      </w:tr>
      <w:tr>
        <w:trPr>
          <w:cantSplit/>
        </w:trPr>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2023-12-29</w:t>
            </w:r>
          </w:p>
        </w:tc>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2024-01-31</w:t>
            </w:r>
          </w:p>
        </w:tc>
        <w:tc>
          <w:tcPr>
            <w:tcW w:type="dxa" w:w="1296"/>
            <w:shd w:fill="F2F4F7"/>
            <w:tcMar>
              <w:top w:w="90" w:type="dxa"/>
              <w:bottom w:w="90" w:type="dxa"/>
              <w:left w:w="140" w:type="dxa"/>
              <w:right w:w="140" w:type="dxa"/>
            </w:tcMar>
          </w:tcPr>
          <w:p>
            <w:pPr>
              <w:jc w:val="right"/>
            </w:pPr>
            <w:r>
              <w:rPr>
                <w:rFonts w:ascii="Times New Roman" w:hAnsi="Times New Roman"/>
                <w:color w:val="333333"/>
                <w:sz w:val="19"/>
              </w:rPr>
              <w:t>191</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0.960785</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0.911286</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99.48%</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0.52%</w:t>
            </w:r>
          </w:p>
        </w:tc>
      </w:tr>
      <w:tr>
        <w:trPr>
          <w:cantSplit/>
        </w:trPr>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2024-01-31</w:t>
            </w:r>
          </w:p>
        </w:tc>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2024-02-29</w:t>
            </w:r>
          </w:p>
        </w:tc>
        <w:tc>
          <w:tcPr>
            <w:tcW w:type="dxa" w:w="1296"/>
            <w:shd w:fill="FFFFFF"/>
            <w:tcMar>
              <w:top w:w="90" w:type="dxa"/>
              <w:bottom w:w="90" w:type="dxa"/>
              <w:left w:w="140" w:type="dxa"/>
              <w:right w:w="140" w:type="dxa"/>
            </w:tcMar>
          </w:tcPr>
          <w:p>
            <w:pPr>
              <w:jc w:val="right"/>
            </w:pPr>
            <w:r>
              <w:rPr>
                <w:rFonts w:ascii="Times New Roman" w:hAnsi="Times New Roman"/>
                <w:color w:val="333333"/>
                <w:sz w:val="19"/>
              </w:rPr>
              <w:t>196</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0.924173</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0.827212</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98.98%</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1.02%</w:t>
            </w:r>
          </w:p>
        </w:tc>
      </w:tr>
      <w:tr>
        <w:trPr>
          <w:cantSplit/>
        </w:trPr>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2024-02-29</w:t>
            </w:r>
          </w:p>
        </w:tc>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2024-03-29</w:t>
            </w:r>
          </w:p>
        </w:tc>
        <w:tc>
          <w:tcPr>
            <w:tcW w:type="dxa" w:w="1296"/>
            <w:shd w:fill="F2F4F7"/>
            <w:tcMar>
              <w:top w:w="90" w:type="dxa"/>
              <w:bottom w:w="90" w:type="dxa"/>
              <w:left w:w="140" w:type="dxa"/>
              <w:right w:w="140" w:type="dxa"/>
            </w:tcMar>
          </w:tcPr>
          <w:p>
            <w:pPr>
              <w:jc w:val="right"/>
            </w:pPr>
            <w:r>
              <w:rPr>
                <w:rFonts w:ascii="Times New Roman" w:hAnsi="Times New Roman"/>
                <w:color w:val="333333"/>
                <w:sz w:val="19"/>
              </w:rPr>
              <w:t>196</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0.920709</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0.845104</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98.98%</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1.02%</w:t>
            </w:r>
          </w:p>
        </w:tc>
      </w:tr>
      <w:tr>
        <w:trPr>
          <w:cantSplit/>
        </w:trPr>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2024-03-29</w:t>
            </w:r>
          </w:p>
        </w:tc>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2024-04-26</w:t>
            </w:r>
          </w:p>
        </w:tc>
        <w:tc>
          <w:tcPr>
            <w:tcW w:type="dxa" w:w="1296"/>
            <w:shd w:fill="FFFFFF"/>
            <w:tcMar>
              <w:top w:w="90" w:type="dxa"/>
              <w:bottom w:w="90" w:type="dxa"/>
              <w:left w:w="140" w:type="dxa"/>
              <w:right w:w="140" w:type="dxa"/>
            </w:tcMar>
          </w:tcPr>
          <w:p>
            <w:pPr>
              <w:jc w:val="right"/>
            </w:pPr>
            <w:r>
              <w:rPr>
                <w:rFonts w:ascii="Times New Roman" w:hAnsi="Times New Roman"/>
                <w:color w:val="333333"/>
                <w:sz w:val="19"/>
              </w:rPr>
              <w:t>197</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0.865345</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0.767457</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98.48%</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1.52%</w:t>
            </w:r>
          </w:p>
        </w:tc>
      </w:tr>
      <w:tr>
        <w:trPr>
          <w:cantSplit/>
        </w:trPr>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2024-04-26</w:t>
            </w:r>
          </w:p>
        </w:tc>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2024-05-31</w:t>
            </w:r>
          </w:p>
        </w:tc>
        <w:tc>
          <w:tcPr>
            <w:tcW w:type="dxa" w:w="1296"/>
            <w:shd w:fill="F2F4F7"/>
            <w:tcMar>
              <w:top w:w="90" w:type="dxa"/>
              <w:bottom w:w="90" w:type="dxa"/>
              <w:left w:w="140" w:type="dxa"/>
              <w:right w:w="140" w:type="dxa"/>
            </w:tcMar>
          </w:tcPr>
          <w:p>
            <w:pPr>
              <w:jc w:val="right"/>
            </w:pPr>
            <w:r>
              <w:rPr>
                <w:rFonts w:ascii="Times New Roman" w:hAnsi="Times New Roman"/>
                <w:color w:val="333333"/>
                <w:sz w:val="19"/>
              </w:rPr>
              <w:t>210</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0.780257</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0.605301</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97.62%</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2.38%</w:t>
            </w:r>
          </w:p>
        </w:tc>
      </w:tr>
      <w:tr>
        <w:trPr>
          <w:cantSplit/>
        </w:trPr>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2024-05-31</w:t>
            </w:r>
          </w:p>
        </w:tc>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2024-06-28</w:t>
            </w:r>
          </w:p>
        </w:tc>
        <w:tc>
          <w:tcPr>
            <w:tcW w:type="dxa" w:w="1296"/>
            <w:shd w:fill="FFFFFF"/>
            <w:tcMar>
              <w:top w:w="90" w:type="dxa"/>
              <w:bottom w:w="90" w:type="dxa"/>
              <w:left w:w="140" w:type="dxa"/>
              <w:right w:w="140" w:type="dxa"/>
            </w:tcMar>
          </w:tcPr>
          <w:p>
            <w:pPr>
              <w:jc w:val="right"/>
            </w:pPr>
            <w:r>
              <w:rPr>
                <w:rFonts w:ascii="Times New Roman" w:hAnsi="Times New Roman"/>
                <w:color w:val="333333"/>
                <w:sz w:val="19"/>
              </w:rPr>
              <w:t>221</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0.731963</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0.565193</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97.29%</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2.71%</w:t>
            </w:r>
          </w:p>
        </w:tc>
      </w:tr>
      <w:tr>
        <w:trPr>
          <w:cantSplit/>
        </w:trPr>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2024-06-28</w:t>
            </w:r>
          </w:p>
        </w:tc>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2024-07-31</w:t>
            </w:r>
          </w:p>
        </w:tc>
        <w:tc>
          <w:tcPr>
            <w:tcW w:type="dxa" w:w="1296"/>
            <w:shd w:fill="F2F4F7"/>
            <w:tcMar>
              <w:top w:w="90" w:type="dxa"/>
              <w:bottom w:w="90" w:type="dxa"/>
              <w:left w:w="140" w:type="dxa"/>
              <w:right w:w="140" w:type="dxa"/>
            </w:tcMar>
          </w:tcPr>
          <w:p>
            <w:pPr>
              <w:jc w:val="right"/>
            </w:pPr>
            <w:r>
              <w:rPr>
                <w:rFonts w:ascii="Times New Roman" w:hAnsi="Times New Roman"/>
                <w:color w:val="333333"/>
                <w:sz w:val="19"/>
              </w:rPr>
              <w:t>238</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0.821704</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0.713370</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98.32%</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1.68%</w:t>
            </w:r>
          </w:p>
        </w:tc>
      </w:tr>
      <w:tr>
        <w:trPr>
          <w:cantSplit/>
        </w:trPr>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2024-07-31</w:t>
            </w:r>
          </w:p>
        </w:tc>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2024-08-30</w:t>
            </w:r>
          </w:p>
        </w:tc>
        <w:tc>
          <w:tcPr>
            <w:tcW w:type="dxa" w:w="1296"/>
            <w:shd w:fill="FFFFFF"/>
            <w:tcMar>
              <w:top w:w="90" w:type="dxa"/>
              <w:bottom w:w="90" w:type="dxa"/>
              <w:left w:w="140" w:type="dxa"/>
              <w:right w:w="140" w:type="dxa"/>
            </w:tcMar>
          </w:tcPr>
          <w:p>
            <w:pPr>
              <w:jc w:val="right"/>
            </w:pPr>
            <w:r>
              <w:rPr>
                <w:rFonts w:ascii="Times New Roman" w:hAnsi="Times New Roman"/>
                <w:color w:val="333333"/>
                <w:sz w:val="19"/>
              </w:rPr>
              <w:t>246</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0.643210</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0.438698</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95.53%</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4.47%</w:t>
            </w:r>
          </w:p>
        </w:tc>
      </w:tr>
      <w:tr>
        <w:trPr>
          <w:cantSplit/>
        </w:trPr>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2024-08-30</w:t>
            </w:r>
          </w:p>
        </w:tc>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2024-09-30</w:t>
            </w:r>
          </w:p>
        </w:tc>
        <w:tc>
          <w:tcPr>
            <w:tcW w:type="dxa" w:w="1296"/>
            <w:shd w:fill="F2F4F7"/>
            <w:tcMar>
              <w:top w:w="90" w:type="dxa"/>
              <w:bottom w:w="90" w:type="dxa"/>
              <w:left w:w="140" w:type="dxa"/>
              <w:right w:w="140" w:type="dxa"/>
            </w:tcMar>
          </w:tcPr>
          <w:p>
            <w:pPr>
              <w:jc w:val="right"/>
            </w:pPr>
            <w:r>
              <w:rPr>
                <w:rFonts w:ascii="Times New Roman" w:hAnsi="Times New Roman"/>
                <w:color w:val="333333"/>
                <w:sz w:val="19"/>
              </w:rPr>
              <w:t>591</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0.759880</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0.612662</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98.65%</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1.35%</w:t>
            </w:r>
          </w:p>
        </w:tc>
      </w:tr>
      <w:tr>
        <w:trPr>
          <w:cantSplit/>
        </w:trPr>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2024-09-30</w:t>
            </w:r>
          </w:p>
        </w:tc>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2024-10-31</w:t>
            </w:r>
          </w:p>
        </w:tc>
        <w:tc>
          <w:tcPr>
            <w:tcW w:type="dxa" w:w="1296"/>
            <w:shd w:fill="FFFFFF"/>
            <w:tcMar>
              <w:top w:w="90" w:type="dxa"/>
              <w:bottom w:w="90" w:type="dxa"/>
              <w:left w:w="140" w:type="dxa"/>
              <w:right w:w="140" w:type="dxa"/>
            </w:tcMar>
          </w:tcPr>
          <w:p>
            <w:pPr>
              <w:jc w:val="right"/>
            </w:pPr>
            <w:r>
              <w:rPr>
                <w:rFonts w:ascii="Times New Roman" w:hAnsi="Times New Roman"/>
                <w:color w:val="333333"/>
                <w:sz w:val="19"/>
              </w:rPr>
              <w:t>605</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0.816245</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0.679017</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99.17%</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0.83%</w:t>
            </w:r>
          </w:p>
        </w:tc>
      </w:tr>
      <w:tr>
        <w:trPr>
          <w:cantSplit/>
        </w:trPr>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2024-10-31</w:t>
            </w:r>
          </w:p>
        </w:tc>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2024-11-29</w:t>
            </w:r>
          </w:p>
        </w:tc>
        <w:tc>
          <w:tcPr>
            <w:tcW w:type="dxa" w:w="1296"/>
            <w:shd w:fill="F2F4F7"/>
            <w:tcMar>
              <w:top w:w="90" w:type="dxa"/>
              <w:bottom w:w="90" w:type="dxa"/>
              <w:left w:w="140" w:type="dxa"/>
              <w:right w:w="140" w:type="dxa"/>
            </w:tcMar>
          </w:tcPr>
          <w:p>
            <w:pPr>
              <w:jc w:val="right"/>
            </w:pPr>
            <w:r>
              <w:rPr>
                <w:rFonts w:ascii="Times New Roman" w:hAnsi="Times New Roman"/>
                <w:color w:val="333333"/>
                <w:sz w:val="19"/>
              </w:rPr>
              <w:t>608</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0.751496</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0.643609</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99.18%</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0.82%</w:t>
            </w:r>
          </w:p>
        </w:tc>
      </w:tr>
      <w:tr>
        <w:trPr>
          <w:cantSplit/>
        </w:trPr>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2024-11-29</w:t>
            </w:r>
          </w:p>
        </w:tc>
        <w:tc>
          <w:tcPr>
            <w:tcW w:type="dxa" w:w="1440"/>
            <w:shd w:fill="FFFFFF"/>
            <w:tcMar>
              <w:top w:w="90" w:type="dxa"/>
              <w:bottom w:w="90" w:type="dxa"/>
              <w:left w:w="140" w:type="dxa"/>
              <w:right w:w="140" w:type="dxa"/>
            </w:tcMar>
          </w:tcPr>
          <w:p>
            <w:pPr>
              <w:jc w:val="center"/>
            </w:pPr>
            <w:r>
              <w:rPr>
                <w:rFonts w:ascii="Times New Roman" w:hAnsi="Times New Roman"/>
                <w:color w:val="333333"/>
                <w:sz w:val="19"/>
              </w:rPr>
              <w:t>2024-12-31</w:t>
            </w:r>
          </w:p>
        </w:tc>
        <w:tc>
          <w:tcPr>
            <w:tcW w:type="dxa" w:w="1296"/>
            <w:shd w:fill="FFFFFF"/>
            <w:tcMar>
              <w:top w:w="90" w:type="dxa"/>
              <w:bottom w:w="90" w:type="dxa"/>
              <w:left w:w="140" w:type="dxa"/>
              <w:right w:w="140" w:type="dxa"/>
            </w:tcMar>
          </w:tcPr>
          <w:p>
            <w:pPr>
              <w:jc w:val="right"/>
            </w:pPr>
            <w:r>
              <w:rPr>
                <w:rFonts w:ascii="Times New Roman" w:hAnsi="Times New Roman"/>
                <w:color w:val="333333"/>
                <w:sz w:val="19"/>
              </w:rPr>
              <w:t>584</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0.835096</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0.739716</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99.49%</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0.51%</w:t>
            </w:r>
          </w:p>
        </w:tc>
      </w:tr>
      <w:tr>
        <w:trPr>
          <w:cantSplit/>
        </w:trPr>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2024-12-31</w:t>
            </w:r>
          </w:p>
        </w:tc>
        <w:tc>
          <w:tcPr>
            <w:tcW w:type="dxa" w:w="1440"/>
            <w:shd w:fill="F2F4F7"/>
            <w:tcMar>
              <w:top w:w="90" w:type="dxa"/>
              <w:bottom w:w="90" w:type="dxa"/>
              <w:left w:w="140" w:type="dxa"/>
              <w:right w:w="140" w:type="dxa"/>
            </w:tcMar>
          </w:tcPr>
          <w:p>
            <w:pPr>
              <w:jc w:val="center"/>
            </w:pPr>
            <w:r>
              <w:rPr>
                <w:rFonts w:ascii="Times New Roman" w:hAnsi="Times New Roman"/>
                <w:color w:val="333333"/>
                <w:sz w:val="19"/>
              </w:rPr>
              <w:t>2025-01-24</w:t>
            </w:r>
          </w:p>
        </w:tc>
        <w:tc>
          <w:tcPr>
            <w:tcW w:type="dxa" w:w="1296"/>
            <w:shd w:fill="F2F4F7"/>
            <w:tcMar>
              <w:top w:w="90" w:type="dxa"/>
              <w:bottom w:w="90" w:type="dxa"/>
              <w:left w:w="140" w:type="dxa"/>
              <w:right w:w="140" w:type="dxa"/>
            </w:tcMar>
          </w:tcPr>
          <w:p>
            <w:pPr>
              <w:jc w:val="right"/>
            </w:pPr>
            <w:r>
              <w:rPr>
                <w:rFonts w:ascii="Times New Roman" w:hAnsi="Times New Roman"/>
                <w:color w:val="333333"/>
                <w:sz w:val="19"/>
              </w:rPr>
              <w:t>582</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0.667184</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0.552242</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98.28%</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1.72%</w:t>
            </w:r>
          </w:p>
        </w:tc>
      </w:tr>
    </w:tbl>
    <w:p>
      <w:pPr>
        <w:spacing w:after="160"/>
      </w:pPr>
    </w:p>
    <w:p>
      <w:pPr>
        <w:keepNext/>
        <w:spacing w:before="280" w:after="120"/>
      </w:pPr>
      <w:r>
        <w:rPr>
          <w:rFonts w:ascii="Times New Roman" w:hAnsi="Times New Roman"/>
          <w:b/>
          <w:color w:val="003366"/>
          <w:sz w:val="26"/>
        </w:rPr>
        <w:t>Tổng hợp thống kê các chỉ số temporal (14 cặp tháng)</w:t>
      </w:r>
    </w:p>
    <w:p>
      <w:pPr>
        <w:spacing w:before="0" w:after="120" w:line="276" w:lineRule="auto"/>
      </w:pPr>
      <w:r>
        <w:rPr>
          <w:rFonts w:ascii="Times New Roman" w:hAnsi="Times New Roman"/>
          <w:color w:val="333333"/>
          <w:sz w:val="22"/>
        </w:rPr>
        <w:t>Bảng tổng hợp không trọng số trên toàn bộ 14 cặp tháng liên tiếp:</w:t>
      </w:r>
    </w:p>
    <w:tbl>
      <w:tblPr>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3168"/>
            <w:shd w:fill="1F4E79"/>
            <w:tcMar>
              <w:top w:w="120" w:type="dxa"/>
              <w:bottom w:w="120" w:type="dxa"/>
              <w:left w:w="140" w:type="dxa"/>
              <w:right w:w="140" w:type="dxa"/>
            </w:tcMar>
          </w:tcPr>
          <w:p>
            <w:pPr>
              <w:jc w:val="left"/>
            </w:pPr>
            <w:r>
              <w:rPr>
                <w:rFonts w:ascii="Times New Roman" w:hAnsi="Times New Roman"/>
                <w:b/>
                <w:color w:val="FFFFFF"/>
                <w:sz w:val="19"/>
              </w:rPr>
              <w:t>Metric</w:t>
            </w:r>
          </w:p>
        </w:tc>
        <w:tc>
          <w:tcPr>
            <w:tcW w:type="dxa" w:w="1440"/>
            <w:shd w:fill="1F4E79"/>
            <w:tcMar>
              <w:top w:w="120" w:type="dxa"/>
              <w:bottom w:w="120" w:type="dxa"/>
              <w:left w:w="140" w:type="dxa"/>
              <w:right w:w="140" w:type="dxa"/>
            </w:tcMar>
          </w:tcPr>
          <w:p>
            <w:pPr>
              <w:jc w:val="right"/>
            </w:pPr>
            <w:r>
              <w:rPr>
                <w:rFonts w:ascii="Times New Roman" w:hAnsi="Times New Roman"/>
                <w:b/>
                <w:color w:val="FFFFFF"/>
                <w:sz w:val="19"/>
              </w:rPr>
              <w:t>Số quan sát</w:t>
            </w:r>
          </w:p>
        </w:tc>
        <w:tc>
          <w:tcPr>
            <w:tcW w:type="dxa" w:w="1584"/>
            <w:shd w:fill="1F4E79"/>
            <w:tcMar>
              <w:top w:w="120" w:type="dxa"/>
              <w:bottom w:w="120" w:type="dxa"/>
              <w:left w:w="140" w:type="dxa"/>
              <w:right w:w="140" w:type="dxa"/>
            </w:tcMar>
          </w:tcPr>
          <w:p>
            <w:pPr>
              <w:jc w:val="right"/>
            </w:pPr>
            <w:r>
              <w:rPr>
                <w:rFonts w:ascii="Times New Roman" w:hAnsi="Times New Roman"/>
                <w:b/>
                <w:color w:val="FFFFFF"/>
                <w:sz w:val="19"/>
              </w:rPr>
              <w:t>Mean</w:t>
            </w:r>
          </w:p>
        </w:tc>
        <w:tc>
          <w:tcPr>
            <w:tcW w:type="dxa" w:w="1584"/>
            <w:shd w:fill="1F4E79"/>
            <w:tcMar>
              <w:top w:w="120" w:type="dxa"/>
              <w:bottom w:w="120" w:type="dxa"/>
              <w:left w:w="140" w:type="dxa"/>
              <w:right w:w="140" w:type="dxa"/>
            </w:tcMar>
          </w:tcPr>
          <w:p>
            <w:pPr>
              <w:jc w:val="right"/>
            </w:pPr>
            <w:r>
              <w:rPr>
                <w:rFonts w:ascii="Times New Roman" w:hAnsi="Times New Roman"/>
                <w:b/>
                <w:color w:val="FFFFFF"/>
                <w:sz w:val="19"/>
              </w:rPr>
              <w:t>Median</w:t>
            </w:r>
          </w:p>
        </w:tc>
        <w:tc>
          <w:tcPr>
            <w:tcW w:type="dxa" w:w="1584"/>
            <w:shd w:fill="1F4E79"/>
            <w:tcMar>
              <w:top w:w="120" w:type="dxa"/>
              <w:bottom w:w="120" w:type="dxa"/>
              <w:left w:w="140" w:type="dxa"/>
              <w:right w:w="140" w:type="dxa"/>
            </w:tcMar>
          </w:tcPr>
          <w:p>
            <w:pPr>
              <w:jc w:val="right"/>
            </w:pPr>
            <w:r>
              <w:rPr>
                <w:rFonts w:ascii="Times New Roman" w:hAnsi="Times New Roman"/>
                <w:b/>
                <w:color w:val="FFFFFF"/>
                <w:sz w:val="19"/>
              </w:rPr>
              <w:t>Min</w:t>
            </w:r>
          </w:p>
        </w:tc>
        <w:tc>
          <w:tcPr>
            <w:tcW w:type="dxa" w:w="1584"/>
            <w:shd w:fill="1F4E79"/>
            <w:tcMar>
              <w:top w:w="120" w:type="dxa"/>
              <w:bottom w:w="120" w:type="dxa"/>
              <w:left w:w="140" w:type="dxa"/>
              <w:right w:w="140" w:type="dxa"/>
            </w:tcMar>
          </w:tcPr>
          <w:p>
            <w:pPr>
              <w:jc w:val="right"/>
            </w:pPr>
            <w:r>
              <w:rPr>
                <w:rFonts w:ascii="Times New Roman" w:hAnsi="Times New Roman"/>
                <w:b/>
                <w:color w:val="FFFFFF"/>
                <w:sz w:val="19"/>
              </w:rPr>
              <w:t>Max</w:t>
            </w:r>
          </w:p>
        </w:tc>
      </w:tr>
      <w:tr>
        <w:trPr>
          <w:cantSplit/>
        </w:trPr>
        <w:tc>
          <w:tcPr>
            <w:tcW w:type="dxa" w:w="3168"/>
            <w:shd w:fill="FFFFFF"/>
            <w:tcMar>
              <w:top w:w="90" w:type="dxa"/>
              <w:bottom w:w="90" w:type="dxa"/>
              <w:left w:w="140" w:type="dxa"/>
              <w:right w:w="140" w:type="dxa"/>
            </w:tcMar>
          </w:tcPr>
          <w:p>
            <w:pPr>
              <w:jc w:val="left"/>
            </w:pPr>
            <w:r>
              <w:rPr>
                <w:rFonts w:ascii="Times New Roman" w:hAnsi="Times New Roman"/>
                <w:color w:val="333333"/>
                <w:sz w:val="19"/>
              </w:rPr>
              <w:t>ari</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14</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0.789559</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0.798251</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0.575783</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0.960785</w:t>
            </w:r>
          </w:p>
        </w:tc>
      </w:tr>
      <w:tr>
        <w:trPr>
          <w:cantSplit/>
        </w:trPr>
        <w:tc>
          <w:tcPr>
            <w:tcW w:type="dxa" w:w="3168"/>
            <w:shd w:fill="F2F4F7"/>
            <w:tcMar>
              <w:top w:w="90" w:type="dxa"/>
              <w:bottom w:w="90" w:type="dxa"/>
              <w:left w:w="140" w:type="dxa"/>
              <w:right w:w="140" w:type="dxa"/>
            </w:tcMar>
          </w:tcPr>
          <w:p>
            <w:pPr>
              <w:jc w:val="left"/>
            </w:pPr>
            <w:r>
              <w:rPr>
                <w:rFonts w:ascii="Times New Roman" w:hAnsi="Times New Roman"/>
                <w:color w:val="333333"/>
                <w:sz w:val="19"/>
              </w:rPr>
              <w:t>nmi</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14</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0.668967</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0.661313</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0.438698</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0.911286</w:t>
            </w:r>
          </w:p>
        </w:tc>
      </w:tr>
      <w:tr>
        <w:trPr>
          <w:cantSplit/>
        </w:trPr>
        <w:tc>
          <w:tcPr>
            <w:tcW w:type="dxa" w:w="3168"/>
            <w:shd w:fill="FFFFFF"/>
            <w:tcMar>
              <w:top w:w="90" w:type="dxa"/>
              <w:bottom w:w="90" w:type="dxa"/>
              <w:left w:w="140" w:type="dxa"/>
              <w:right w:w="140" w:type="dxa"/>
            </w:tcMar>
          </w:tcPr>
          <w:p>
            <w:pPr>
              <w:jc w:val="left"/>
            </w:pPr>
            <w:r>
              <w:rPr>
                <w:rFonts w:ascii="Times New Roman" w:hAnsi="Times New Roman"/>
                <w:color w:val="333333"/>
                <w:sz w:val="19"/>
              </w:rPr>
              <w:t>persistence_probability</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14</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0.982756</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0.985618</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0.955285</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0.994863</w:t>
            </w:r>
          </w:p>
        </w:tc>
      </w:tr>
      <w:tr>
        <w:trPr>
          <w:cantSplit/>
        </w:trPr>
        <w:tc>
          <w:tcPr>
            <w:tcW w:type="dxa" w:w="3168"/>
            <w:shd w:fill="F2F4F7"/>
            <w:tcMar>
              <w:top w:w="90" w:type="dxa"/>
              <w:bottom w:w="90" w:type="dxa"/>
              <w:left w:w="140" w:type="dxa"/>
              <w:right w:w="140" w:type="dxa"/>
            </w:tcMar>
          </w:tcPr>
          <w:p>
            <w:pPr>
              <w:jc w:val="left"/>
            </w:pPr>
            <w:r>
              <w:rPr>
                <w:rFonts w:ascii="Times New Roman" w:hAnsi="Times New Roman"/>
                <w:color w:val="333333"/>
                <w:sz w:val="19"/>
              </w:rPr>
              <w:t>migration_rate</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14</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0.017244</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0.014382</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0.005137</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0.044715</w:t>
            </w:r>
          </w:p>
        </w:tc>
      </w:tr>
    </w:tbl>
    <w:p>
      <w:pPr>
        <w:spacing w:after="160"/>
      </w:pPr>
    </w:p>
    <w:p>
      <w:pPr>
        <w:keepNext/>
        <w:spacing w:before="280" w:after="120"/>
      </w:pPr>
      <w:r>
        <w:rPr>
          <w:rFonts w:ascii="Times New Roman" w:hAnsi="Times New Roman"/>
          <w:b/>
          <w:color w:val="003366"/>
          <w:sz w:val="26"/>
        </w:rPr>
        <w:t>Đồ thị diễn biến ổn định thời gian qua 14 cặp tháng</w:t>
      </w:r>
    </w:p>
    <w:p>
      <w:pPr>
        <w:spacing w:before="80" w:after="160"/>
        <w:jc w:val="center"/>
      </w:pPr>
      <w:r>
        <w:drawing>
          <wp:inline xmlns:a="http://schemas.openxmlformats.org/drawingml/2006/main" xmlns:pic="http://schemas.openxmlformats.org/drawingml/2006/picture">
            <wp:extent cx="5669280" cy="1805568"/>
            <wp:docPr id="1" name="Picture 1"/>
            <wp:cNvGraphicFramePr>
              <a:graphicFrameLocks noChangeAspect="1"/>
            </wp:cNvGraphicFramePr>
            <a:graphic>
              <a:graphicData uri="http://schemas.openxmlformats.org/drawingml/2006/picture">
                <pic:pic>
                  <pic:nvPicPr>
                    <pic:cNvPr id="0" name="nv9_temporal_stability.png"/>
                    <pic:cNvPicPr/>
                  </pic:nvPicPr>
                  <pic:blipFill>
                    <a:blip r:embed="rId9"/>
                    <a:stretch>
                      <a:fillRect/>
                    </a:stretch>
                  </pic:blipFill>
                  <pic:spPr>
                    <a:xfrm>
                      <a:off x="0" y="0"/>
                      <a:ext cx="5669280" cy="1805568"/>
                    </a:xfrm>
                    <a:prstGeom prst="rect"/>
                  </pic:spPr>
                </pic:pic>
              </a:graphicData>
            </a:graphic>
          </wp:inline>
        </w:drawing>
      </w:r>
    </w:p>
    <w:p>
      <w:pPr>
        <w:keepNext/>
        <w:spacing w:before="280" w:after="120"/>
      </w:pPr>
      <w:r>
        <w:rPr>
          <w:rFonts w:ascii="Times New Roman" w:hAnsi="Times New Roman"/>
          <w:b/>
          <w:color w:val="003366"/>
          <w:sz w:val="26"/>
        </w:rPr>
        <w:t>9.1 — Adjusted Rand Index (ARI)</w:t>
      </w:r>
    </w:p>
    <w:p>
      <w:pPr>
        <w:spacing w:before="0" w:after="120" w:line="276" w:lineRule="auto"/>
      </w:pPr>
      <w:r>
        <w:rPr>
          <w:rFonts w:ascii="Times New Roman" w:hAnsi="Times New Roman"/>
          <w:color w:val="333333"/>
          <w:sz w:val="22"/>
        </w:rPr>
        <w:t>ARI đo mức độ nhất quán giữa hai phân hoạch cụm của hai tháng liên tiếp trên tập mã chung, độc lập với hoán vị nhãn. Trị số trung vị đạt 0.798251 và trung bình đạt 0.789559, dao động từ 0.575783 đến 0.960785. Kết quả này phản ánh cấu trúc phân cụm của K-Means có tính ổn định cao và vượt trội rõ rệt so với Ward (Ward mean ARI chỉ 0.580252, median 0.537278).</w:t>
      </w:r>
    </w:p>
    <w:p>
      <w:pPr>
        <w:keepNext/>
        <w:spacing w:before="280" w:after="120"/>
      </w:pPr>
      <w:r>
        <w:rPr>
          <w:rFonts w:ascii="Times New Roman" w:hAnsi="Times New Roman"/>
          <w:b/>
          <w:color w:val="003366"/>
          <w:sz w:val="26"/>
        </w:rPr>
        <w:t>9.2 — Normalized Mutual Information (NMI)</w:t>
      </w:r>
    </w:p>
    <w:p>
      <w:pPr>
        <w:spacing w:before="0" w:after="120" w:line="276" w:lineRule="auto"/>
      </w:pPr>
      <w:r>
        <w:rPr>
          <w:rFonts w:ascii="Times New Roman" w:hAnsi="Times New Roman"/>
          <w:color w:val="333333"/>
          <w:sz w:val="22"/>
        </w:rPr>
        <w:t>NMI đo lượng thông tin chia sẻ giữa nhãn cụm tháng trước và tháng sau, được chuẩn hóa theo trung bình entropy của hai phân hoạch. NMI trung vị đạt 0.661313 và trung bình đạt 0.668967 (dao động từ 0.438698 đến 0.911286). Mức NMI này khẳng định phần lớn thông tin cấu trúc được bảo lưu bền vững qua từng tháng.</w:t>
      </w:r>
    </w:p>
    <w:p>
      <w:pPr>
        <w:keepNext/>
        <w:spacing w:before="280" w:after="120"/>
      </w:pPr>
      <w:r>
        <w:rPr>
          <w:rFonts w:ascii="Times New Roman" w:hAnsi="Times New Roman"/>
          <w:b/>
          <w:color w:val="003366"/>
          <w:sz w:val="26"/>
        </w:rPr>
        <w:t>9.3 — Tỷ lệ duy trì cụm (Persistence)</w:t>
      </w:r>
    </w:p>
    <w:p>
      <w:pPr>
        <w:spacing w:before="0" w:after="120" w:line="276" w:lineRule="auto"/>
      </w:pPr>
      <w:r>
        <w:rPr>
          <w:rFonts w:ascii="Times New Roman" w:hAnsi="Times New Roman"/>
          <w:color w:val="333333"/>
          <w:sz w:val="22"/>
        </w:rPr>
        <w:t>Persistence đo tỷ lệ các mã cổ phiếu chung tiếp tục giữ nguyên cụm sau alignment. Giá trị trung bình đạt 98.2756% (trung vị 98.5618%), mức thấp nhất cũng đạt tới 95.5285%. Điều này chứng minh rằng phần lớn các cổ phiếu không bị nhảy nhãn ngẫu nhiên giữa các kỳ.</w:t>
      </w:r>
    </w:p>
    <w:p>
      <w:pPr>
        <w:keepNext/>
        <w:spacing w:before="280" w:after="120"/>
      </w:pPr>
      <w:r>
        <w:rPr>
          <w:rFonts w:ascii="Times New Roman" w:hAnsi="Times New Roman"/>
          <w:b/>
          <w:color w:val="003366"/>
          <w:sz w:val="26"/>
        </w:rPr>
        <w:t>9.4 — Tỷ lệ di cư (Migration)</w:t>
      </w:r>
    </w:p>
    <w:p>
      <w:pPr>
        <w:spacing w:before="0" w:after="120" w:line="276" w:lineRule="auto"/>
      </w:pPr>
      <w:r>
        <w:rPr>
          <w:rFonts w:ascii="Times New Roman" w:hAnsi="Times New Roman"/>
          <w:color w:val="333333"/>
          <w:sz w:val="22"/>
        </w:rPr>
        <w:t>Migration đo tỷ lệ cổ phiếu chung chuyển đổi sang cụm khác (Migration = 1 - Persistence). Tỷ lệ di cư trung bình chỉ ở mức 1.7244% (trung vị 1.4382%), mức cao nhất chỉ 4.4715%. Mức dịch chuyển này phản ánh tính chất sàng lọc hợp lý khi cổ phiếu có biến động đột biến về thanh khoản hoặc động lượng.</w:t>
      </w:r>
    </w:p>
    <w:p>
      <w:pPr>
        <w:keepNext/>
        <w:spacing w:before="280" w:after="120"/>
      </w:pPr>
      <w:r>
        <w:rPr>
          <w:rFonts w:ascii="Times New Roman" w:hAnsi="Times New Roman"/>
          <w:b/>
          <w:color w:val="003366"/>
          <w:sz w:val="26"/>
        </w:rPr>
        <w:t>9.5 — Transition matrix và phân tích dịch chuyển</w:t>
      </w:r>
    </w:p>
    <w:p>
      <w:pPr>
        <w:spacing w:before="0" w:after="120" w:line="276" w:lineRule="auto"/>
      </w:pPr>
      <w:r>
        <w:rPr>
          <w:rFonts w:ascii="Times New Roman" w:hAnsi="Times New Roman"/>
          <w:color w:val="333333"/>
          <w:sz w:val="22"/>
        </w:rPr>
        <w:t>Ma trận chuyển dịch sử dụng hệ nhãn đã căn chỉnh (aligned ID) xuyên chuỗi thời gian. Mỗi hàng được chuẩn hóa theo số mã thuộc cụm nguồn tồn tại ở cả hai tháng.</w:t>
      </w:r>
    </w:p>
    <w:p>
      <w:pPr>
        <w:spacing w:before="0" w:after="120" w:line="276" w:lineRule="auto"/>
      </w:pPr>
      <w:r>
        <w:t>Bảng ma trận chuyển dịch tổng hợp tích lũy qua toàn bộ 14 cặp snapshot development:</w:t>
      </w:r>
    </w:p>
    <w:tbl>
      <w:tblPr>
        <w:tblW w:type="auto" w:w="0"/>
        <w:jc w:val="center"/>
        <w:tblLook w:firstColumn="1" w:firstRow="1" w:lastColumn="0" w:lastRow="0" w:noHBand="0" w:noVBand="1" w:val="04A0"/>
        <w:tblBorders>
          <w:top w:val="single" w:sz="6" w:space="0" w:color="002060"/>
          <w:bottom w:val="single" w:sz="6" w:space="0" w:color="002060"/>
          <w:insideH w:val="single" w:sz="4" w:space="0" w:color="D3D3D3"/>
          <w:insideV w:val="none"/>
          <w:left w:val="none"/>
          <w:right w:val="none"/>
        </w:tblBorders>
      </w:tblPr>
      <w:tblGrid>
        <w:gridCol w:w="1728"/>
        <w:gridCol w:w="1728"/>
        <w:gridCol w:w="1728"/>
        <w:gridCol w:w="1728"/>
        <w:gridCol w:w="1728"/>
      </w:tblGrid>
      <w:tr>
        <w:trPr>
          <w:cantSplit/>
          <w:tblHeader/>
          <w:cantSplit/>
        </w:trPr>
        <w:tc>
          <w:tcPr>
            <w:tcW w:type="dxa" w:w="2160"/>
            <w:shd w:fill="1F4E79"/>
            <w:tcMar>
              <w:top w:w="120" w:type="dxa"/>
              <w:bottom w:w="120" w:type="dxa"/>
              <w:left w:w="140" w:type="dxa"/>
              <w:right w:w="140" w:type="dxa"/>
            </w:tcMar>
            <w:shd w:fill="002060"/>
            <w:tcMar>
              <w:top w:w="120" w:type="dxa"/>
              <w:bottom w:w="120" w:type="dxa"/>
              <w:left w:w="160" w:type="dxa"/>
              <w:right w:w="160" w:type="dxa"/>
            </w:tcMar>
            <w:vAlign w:val="center"/>
          </w:tcPr>
          <w:p>
            <w:pPr>
              <w:spacing w:before="60" w:after="60" w:line="252" w:lineRule="auto"/>
              <w:jc w:val="center"/>
            </w:pPr>
            <w:r>
              <w:rPr>
                <w:rFonts w:ascii="Times New Roman" w:hAnsi="Times New Roman"/>
                <w:b/>
                <w:color w:val="FFFFFF"/>
                <w:sz w:val="19"/>
              </w:rPr>
              <w:t>Aligned nguồn</w:t>
            </w:r>
          </w:p>
        </w:tc>
        <w:tc>
          <w:tcPr>
            <w:tcW w:type="dxa" w:w="2160"/>
            <w:shd w:fill="1F4E79"/>
            <w:tcMar>
              <w:top w:w="120" w:type="dxa"/>
              <w:bottom w:w="120" w:type="dxa"/>
              <w:left w:w="140" w:type="dxa"/>
              <w:right w:w="140" w:type="dxa"/>
            </w:tcMar>
            <w:shd w:fill="002060"/>
            <w:tcMar>
              <w:top w:w="120" w:type="dxa"/>
              <w:bottom w:w="120" w:type="dxa"/>
              <w:left w:w="160" w:type="dxa"/>
              <w:right w:w="160" w:type="dxa"/>
            </w:tcMar>
            <w:vAlign w:val="center"/>
          </w:tcPr>
          <w:p>
            <w:pPr>
              <w:spacing w:before="60" w:after="60" w:line="252" w:lineRule="auto"/>
              <w:jc w:val="center"/>
            </w:pPr>
            <w:r>
              <w:rPr>
                <w:rFonts w:ascii="Times New Roman" w:hAnsi="Times New Roman"/>
                <w:b/>
                <w:color w:val="FFFFFF"/>
                <w:sz w:val="19"/>
              </w:rPr>
              <w:t>Aligned đích</w:t>
            </w:r>
          </w:p>
        </w:tc>
        <w:tc>
          <w:tcPr>
            <w:tcW w:type="dxa" w:w="1728"/>
            <w:shd w:fill="1F4E79"/>
            <w:tcMar>
              <w:top w:w="120" w:type="dxa"/>
              <w:bottom w:w="120" w:type="dxa"/>
              <w:left w:w="140" w:type="dxa"/>
              <w:right w:w="140" w:type="dxa"/>
            </w:tcMar>
            <w:shd w:fill="002060"/>
            <w:tcMar>
              <w:top w:w="120" w:type="dxa"/>
              <w:bottom w:w="120" w:type="dxa"/>
              <w:left w:w="160" w:type="dxa"/>
              <w:right w:w="160" w:type="dxa"/>
            </w:tcMar>
            <w:vAlign w:val="center"/>
          </w:tcPr>
          <w:p>
            <w:pPr>
              <w:spacing w:before="60" w:after="60" w:line="252" w:lineRule="auto"/>
              <w:jc w:val="center"/>
            </w:pPr>
            <w:r>
              <w:rPr>
                <w:rFonts w:ascii="Times New Roman" w:hAnsi="Times New Roman"/>
                <w:b/>
                <w:color w:val="FFFFFF"/>
                <w:sz w:val="19"/>
              </w:rPr>
              <w:t>Tổng số lượt mã (14 kỳ)</w:t>
            </w:r>
          </w:p>
        </w:tc>
        <w:tc>
          <w:tcPr>
            <w:tcW w:type="dxa" w:w="2592"/>
            <w:shd w:fill="1F4E79"/>
            <w:tcMar>
              <w:top w:w="120" w:type="dxa"/>
              <w:bottom w:w="120" w:type="dxa"/>
              <w:left w:w="140" w:type="dxa"/>
              <w:right w:w="140" w:type="dxa"/>
            </w:tcMar>
            <w:shd w:fill="002060"/>
            <w:tcMar>
              <w:top w:w="120" w:type="dxa"/>
              <w:bottom w:w="120" w:type="dxa"/>
              <w:left w:w="160" w:type="dxa"/>
              <w:right w:w="160" w:type="dxa"/>
            </w:tcMar>
            <w:vAlign w:val="center"/>
          </w:tcPr>
          <w:p>
            <w:pPr>
              <w:spacing w:before="60" w:after="60" w:line="252" w:lineRule="auto"/>
              <w:jc w:val="center"/>
            </w:pPr>
            <w:r>
              <w:rPr>
                <w:rFonts w:ascii="Times New Roman" w:hAnsi="Times New Roman"/>
                <w:b/>
                <w:color w:val="FFFFFF"/>
                <w:sz w:val="19"/>
              </w:rPr>
              <w:t>Mã chung ở nguồn</w:t>
            </w:r>
          </w:p>
        </w:tc>
        <w:tc>
          <w:tcPr>
            <w:tcW w:type="dxa" w:w="2160"/>
            <w:shd w:fill="1F4E79"/>
            <w:tcMar>
              <w:top w:w="120" w:type="dxa"/>
              <w:bottom w:w="120" w:type="dxa"/>
              <w:left w:w="140" w:type="dxa"/>
              <w:right w:w="140" w:type="dxa"/>
            </w:tcMar>
            <w:shd w:fill="002060"/>
            <w:tcMar>
              <w:top w:w="120" w:type="dxa"/>
              <w:bottom w:w="120" w:type="dxa"/>
              <w:left w:w="160" w:type="dxa"/>
              <w:right w:w="160" w:type="dxa"/>
            </w:tcMar>
            <w:vAlign w:val="center"/>
          </w:tcPr>
          <w:p>
            <w:pPr>
              <w:spacing w:before="60" w:after="60" w:line="252" w:lineRule="auto"/>
              <w:jc w:val="center"/>
            </w:pPr>
            <w:r>
              <w:rPr>
                <w:rFonts w:ascii="Times New Roman" w:hAnsi="Times New Roman"/>
                <w:b/>
                <w:color w:val="FFFFFF"/>
                <w:sz w:val="19"/>
              </w:rPr>
              <w:t>Tỷ lệ theo hàng (%)</w:t>
            </w:r>
          </w:p>
        </w:tc>
      </w:tr>
      <w:tr>
        <w:trPr>
          <w:cantSplit/>
          <w:cantSplit/>
        </w:trPr>
        <w:tc>
          <w:tcPr>
            <w:tcW w:type="dxa" w:w="216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center"/>
            </w:pPr>
            <w:r>
              <w:rPr>
                <w:rFonts w:ascii="Times New Roman" w:hAnsi="Times New Roman"/>
                <w:b w:val="0"/>
                <w:color w:val="000000"/>
                <w:sz w:val="19"/>
              </w:rPr>
              <w:t>0</w:t>
            </w:r>
          </w:p>
        </w:tc>
        <w:tc>
          <w:tcPr>
            <w:tcW w:type="dxa" w:w="216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center"/>
            </w:pPr>
            <w:r>
              <w:rPr>
                <w:rFonts w:ascii="Times New Roman" w:hAnsi="Times New Roman"/>
                <w:b w:val="0"/>
                <w:color w:val="000000"/>
                <w:sz w:val="19"/>
              </w:rPr>
              <w:t>0</w:t>
            </w:r>
          </w:p>
        </w:tc>
        <w:tc>
          <w:tcPr>
            <w:tcW w:type="dxa" w:w="1728"/>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161</w:t>
            </w:r>
          </w:p>
        </w:tc>
        <w:tc>
          <w:tcPr>
            <w:tcW w:type="dxa" w:w="2592"/>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199</w:t>
            </w:r>
          </w:p>
        </w:tc>
        <w:tc>
          <w:tcPr>
            <w:tcW w:type="dxa" w:w="216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color w:val="000000"/>
                <w:sz w:val="19"/>
              </w:rPr>
              <w:t>80.90%</w:t>
            </w:r>
          </w:p>
        </w:tc>
      </w:tr>
      <w:tr>
        <w:trPr>
          <w:cantSplit/>
          <w:cantSplit/>
        </w:trPr>
        <w:tc>
          <w:tcPr>
            <w:tcW w:type="dxa" w:w="216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center"/>
            </w:pPr>
            <w:r>
              <w:rPr>
                <w:rFonts w:ascii="Times New Roman" w:hAnsi="Times New Roman"/>
                <w:b w:val="0"/>
                <w:color w:val="000000"/>
                <w:sz w:val="19"/>
              </w:rPr>
              <w:t>0</w:t>
            </w:r>
          </w:p>
        </w:tc>
        <w:tc>
          <w:tcPr>
            <w:tcW w:type="dxa" w:w="216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center"/>
            </w:pPr>
            <w:r>
              <w:rPr>
                <w:rFonts w:ascii="Times New Roman" w:hAnsi="Times New Roman"/>
                <w:b w:val="0"/>
                <w:color w:val="000000"/>
                <w:sz w:val="19"/>
              </w:rPr>
              <w:t>1</w:t>
            </w:r>
          </w:p>
        </w:tc>
        <w:tc>
          <w:tcPr>
            <w:tcW w:type="dxa" w:w="1728"/>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38</w:t>
            </w:r>
          </w:p>
        </w:tc>
        <w:tc>
          <w:tcPr>
            <w:tcW w:type="dxa" w:w="2592"/>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199</w:t>
            </w:r>
          </w:p>
        </w:tc>
        <w:tc>
          <w:tcPr>
            <w:tcW w:type="dxa" w:w="216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color w:val="000000"/>
                <w:sz w:val="19"/>
              </w:rPr>
              <w:t>19.10%</w:t>
            </w:r>
          </w:p>
        </w:tc>
      </w:tr>
      <w:tr>
        <w:trPr>
          <w:cantSplit/>
          <w:cantSplit/>
        </w:trPr>
        <w:tc>
          <w:tcPr>
            <w:tcW w:type="dxa" w:w="216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center"/>
            </w:pPr>
            <w:r>
              <w:rPr>
                <w:rFonts w:ascii="Times New Roman" w:hAnsi="Times New Roman"/>
                <w:b w:val="0"/>
                <w:color w:val="000000"/>
                <w:sz w:val="19"/>
              </w:rPr>
              <w:t>1</w:t>
            </w:r>
          </w:p>
        </w:tc>
        <w:tc>
          <w:tcPr>
            <w:tcW w:type="dxa" w:w="216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center"/>
            </w:pPr>
            <w:r>
              <w:rPr>
                <w:rFonts w:ascii="Times New Roman" w:hAnsi="Times New Roman"/>
                <w:b w:val="0"/>
                <w:color w:val="000000"/>
                <w:sz w:val="19"/>
              </w:rPr>
              <w:t>0</w:t>
            </w:r>
          </w:p>
        </w:tc>
        <w:tc>
          <w:tcPr>
            <w:tcW w:type="dxa" w:w="1728"/>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32</w:t>
            </w:r>
          </w:p>
        </w:tc>
        <w:tc>
          <w:tcPr>
            <w:tcW w:type="dxa" w:w="2592"/>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4,606</w:t>
            </w:r>
          </w:p>
        </w:tc>
        <w:tc>
          <w:tcPr>
            <w:tcW w:type="dxa" w:w="216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color w:val="000000"/>
                <w:sz w:val="19"/>
              </w:rPr>
              <w:t>0.70%</w:t>
            </w:r>
          </w:p>
        </w:tc>
      </w:tr>
      <w:tr>
        <w:trPr>
          <w:cantSplit/>
          <w:cantSplit/>
        </w:trPr>
        <w:tc>
          <w:tcPr>
            <w:tcW w:type="dxa" w:w="216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center"/>
            </w:pPr>
            <w:r>
              <w:rPr>
                <w:rFonts w:ascii="Times New Roman" w:hAnsi="Times New Roman"/>
                <w:b w:val="0"/>
                <w:color w:val="000000"/>
                <w:sz w:val="19"/>
              </w:rPr>
              <w:t>1</w:t>
            </w:r>
          </w:p>
        </w:tc>
        <w:tc>
          <w:tcPr>
            <w:tcW w:type="dxa" w:w="216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center"/>
            </w:pPr>
            <w:r>
              <w:rPr>
                <w:rFonts w:ascii="Times New Roman" w:hAnsi="Times New Roman"/>
                <w:b w:val="0"/>
                <w:color w:val="000000"/>
                <w:sz w:val="19"/>
              </w:rPr>
              <w:t>1</w:t>
            </w:r>
          </w:p>
        </w:tc>
        <w:tc>
          <w:tcPr>
            <w:tcW w:type="dxa" w:w="1728"/>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4,574</w:t>
            </w:r>
          </w:p>
        </w:tc>
        <w:tc>
          <w:tcPr>
            <w:tcW w:type="dxa" w:w="2592"/>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4,606</w:t>
            </w:r>
          </w:p>
        </w:tc>
        <w:tc>
          <w:tcPr>
            <w:tcW w:type="dxa" w:w="216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color w:val="000000"/>
                <w:sz w:val="19"/>
              </w:rPr>
              <w:t>99.30%</w:t>
            </w:r>
          </w:p>
        </w:tc>
      </w:tr>
    </w:tbl>
    <w:p>
      <w:pPr>
        <w:spacing w:after="160"/>
      </w:pPr>
    </w:p>
    <w:p>
      <w:pPr>
        <w:spacing w:before="0" w:after="120" w:line="276" w:lineRule="auto"/>
      </w:pPr>
      <w:r>
        <w:t>Diễn giải ma trận chuyển dịch tổng hợp toàn kỳ (14 cặp tháng):</w:t>
      </w:r>
    </w:p>
    <w:p>
      <w:pPr>
        <w:pStyle w:val="ListBullet"/>
        <w:spacing w:before="0" w:after="80" w:line="276" w:lineRule="auto"/>
      </w:pPr>
      <w:r>
        <w:rPr>
          <w:rFonts w:ascii="Times New Roman" w:hAnsi="Times New Roman"/>
          <w:b/>
          <w:color w:val="333333"/>
          <w:sz w:val="22"/>
        </w:rPr>
        <w:t xml:space="preserve">Duy trì Cụm 0: </w:t>
      </w:r>
      <w:r>
        <w:rPr>
          <w:rFonts w:ascii="Times New Roman" w:hAnsi="Times New Roman"/>
          <w:color w:val="333333"/>
          <w:sz w:val="22"/>
        </w:rPr>
        <w:t>Toàn bộ 11/11 mã thuộc Cụm 0 ở tháng 12/2024 tiếp tục ở lại Cụm 0 ở tháng 01/2025 (tỷ lệ 100%). Không có mã nào từ Cụm 0 bị chuyển sang Cụm 1 (tỷ lệ 0%).</w:t>
      </w:r>
    </w:p>
    <w:p>
      <w:pPr>
        <w:pStyle w:val="ListBullet"/>
        <w:spacing w:before="0" w:after="80" w:line="276" w:lineRule="auto"/>
      </w:pPr>
      <w:r>
        <w:rPr>
          <w:rFonts w:ascii="Times New Roman" w:hAnsi="Times New Roman"/>
          <w:b/>
          <w:color w:val="333333"/>
          <w:sz w:val="22"/>
        </w:rPr>
        <w:t xml:space="preserve">Tiếp nhận mã mới vào Cụm 0: </w:t>
      </w:r>
      <w:r>
        <w:rPr>
          <w:rFonts w:ascii="Times New Roman" w:hAnsi="Times New Roman"/>
          <w:color w:val="333333"/>
          <w:sz w:val="22"/>
        </w:rPr>
        <w:t>Cụm 0 tiếp nhận thêm 10 mã chuyển từ Cụm 1 sang do có sự bứt phá mạnh về thanh khoản, nâng tổng số mã của Cụm 0 lên 21 mã.</w:t>
      </w:r>
    </w:p>
    <w:p>
      <w:pPr>
        <w:pStyle w:val="ListBullet"/>
        <w:spacing w:before="0" w:after="80" w:line="276" w:lineRule="auto"/>
      </w:pPr>
      <w:r>
        <w:rPr>
          <w:rFonts w:ascii="Times New Roman" w:hAnsi="Times New Roman"/>
          <w:b/>
          <w:color w:val="333333"/>
          <w:sz w:val="22"/>
        </w:rPr>
        <w:t xml:space="preserve">Duy trì Cụm 1: </w:t>
      </w:r>
      <w:r>
        <w:rPr>
          <w:rFonts w:ascii="Times New Roman" w:hAnsi="Times New Roman"/>
          <w:color w:val="333333"/>
          <w:sz w:val="22"/>
        </w:rPr>
        <w:t>Cụm 1 giữ lại 561 trên tổng số 571 mã (tỷ lệ 98.2487%), 10 mã còn lại chuyển sang Cụm 0.</w:t>
      </w:r>
    </w:p>
    <w:p>
      <w:pPr>
        <w:keepNext/>
        <w:spacing w:before="280" w:after="120"/>
      </w:pPr>
      <w:r>
        <w:rPr>
          <w:rFonts w:ascii="Times New Roman" w:hAnsi="Times New Roman"/>
          <w:b/>
          <w:color w:val="003366"/>
          <w:sz w:val="26"/>
        </w:rPr>
        <w:t>Đồ thị heatmap ma trận chuyển dịch cụm</w:t>
      </w:r>
    </w:p>
    <w:p>
      <w:pPr>
        <w:spacing w:before="80" w:after="160"/>
        <w:jc w:val="center"/>
      </w:pPr>
      <w:r>
        <w:drawing>
          <wp:inline xmlns:a="http://schemas.openxmlformats.org/drawingml/2006/main" xmlns:pic="http://schemas.openxmlformats.org/drawingml/2006/picture">
            <wp:extent cx="4114800" cy="2924111"/>
            <wp:docPr id="2" name="Picture 2"/>
            <wp:cNvGraphicFramePr>
              <a:graphicFrameLocks noChangeAspect="1"/>
            </wp:cNvGraphicFramePr>
            <a:graphic>
              <a:graphicData uri="http://schemas.openxmlformats.org/drawingml/2006/picture">
                <pic:pic>
                  <pic:nvPicPr>
                    <pic:cNvPr id="0" name="nv9_transition_heatmap.png"/>
                    <pic:cNvPicPr/>
                  </pic:nvPicPr>
                  <pic:blipFill>
                    <a:blip r:embed="rId10"/>
                    <a:stretch>
                      <a:fillRect/>
                    </a:stretch>
                  </pic:blipFill>
                  <pic:spPr>
                    <a:xfrm>
                      <a:off x="0" y="0"/>
                      <a:ext cx="4114800" cy="2924111"/>
                    </a:xfrm>
                    <a:prstGeom prst="rect"/>
                  </pic:spPr>
                </pic:pic>
              </a:graphicData>
            </a:graphic>
          </wp:inline>
        </w:drawing>
      </w:r>
    </w:p>
    <w:p>
      <w:pPr>
        <w:keepNext/>
        <w:spacing w:before="280" w:after="120"/>
      </w:pPr>
      <w:r>
        <w:rPr>
          <w:rFonts w:ascii="Times New Roman" w:hAnsi="Times New Roman"/>
          <w:b/>
          <w:color w:val="003366"/>
          <w:sz w:val="26"/>
        </w:rPr>
        <w:t>9.6 — Representative / centroid drift</w:t>
      </w:r>
    </w:p>
    <w:p>
      <w:pPr>
        <w:spacing w:before="0" w:after="120" w:line="276" w:lineRule="auto"/>
      </w:pPr>
      <w:r>
        <w:rPr>
          <w:rFonts w:ascii="Times New Roman" w:hAnsi="Times New Roman"/>
          <w:color w:val="333333"/>
          <w:sz w:val="22"/>
        </w:rPr>
        <w:t>Drift được tính theo hiệu số giữa giá trị trung bình feature gốc tháng sau trừ đi giá trị trung bình feature gốc tháng trước. Có 224 dòng dữ liệu tương ứng 14 cặp tháng × 2 cụm × 8 feature. Không cộng các feature khác đơn vị thành một khoảng cách chung và không so sánh tâm đã Robust Scale bằng hai scaler khác tháng.</w:t>
      </w:r>
    </w:p>
    <w:p>
      <w:pPr>
        <w:spacing w:before="0" w:after="120" w:line="276" w:lineRule="auto"/>
      </w:pPr>
      <w:r>
        <w:t>Bảng Centroid drift trung bình tuyệt đối qua toàn bộ 14 cặp snapshot development (tổng hợp 224 quan sát), theo đơn vị gốc:</w:t>
      </w:r>
    </w:p>
    <w:tbl>
      <w:tblPr>
        <w:tblW w:type="auto" w:w="0"/>
        <w:jc w:val="center"/>
        <w:tblLook w:firstColumn="1" w:firstRow="1" w:lastColumn="0" w:lastRow="0" w:noHBand="0" w:noVBand="1" w:val="04A0"/>
        <w:tblBorders>
          <w:top w:val="single" w:sz="6" w:space="0" w:color="002060"/>
          <w:bottom w:val="single" w:sz="6" w:space="0" w:color="002060"/>
          <w:insideH w:val="single" w:sz="4" w:space="0" w:color="D3D3D3"/>
          <w:insideV w:val="none"/>
          <w:left w:val="none"/>
          <w:right w:val="none"/>
        </w:tblBorders>
      </w:tblPr>
      <w:tblGrid>
        <w:gridCol w:w="2880"/>
        <w:gridCol w:w="2880"/>
        <w:gridCol w:w="2880"/>
      </w:tblGrid>
      <w:tr>
        <w:trPr>
          <w:cantSplit/>
          <w:tblHeader/>
          <w:cantSplit/>
        </w:trPr>
        <w:tc>
          <w:tcPr>
            <w:tcW w:type="dxa" w:w="3168"/>
            <w:shd w:fill="1F4E79"/>
            <w:tcMar>
              <w:top w:w="120" w:type="dxa"/>
              <w:bottom w:w="120" w:type="dxa"/>
              <w:left w:w="140" w:type="dxa"/>
              <w:right w:w="140" w:type="dxa"/>
            </w:tcMar>
            <w:shd w:fill="002060"/>
            <w:tcMar>
              <w:top w:w="120" w:type="dxa"/>
              <w:bottom w:w="120" w:type="dxa"/>
              <w:left w:w="160" w:type="dxa"/>
              <w:right w:w="160" w:type="dxa"/>
            </w:tcMar>
            <w:vAlign w:val="center"/>
          </w:tcPr>
          <w:p>
            <w:pPr>
              <w:spacing w:before="60" w:after="60" w:line="252" w:lineRule="auto"/>
              <w:jc w:val="center"/>
            </w:pPr>
            <w:r>
              <w:rPr>
                <w:rFonts w:ascii="Times New Roman" w:hAnsi="Times New Roman"/>
                <w:b/>
                <w:color w:val="FFFFFF"/>
                <w:sz w:val="19"/>
              </w:rPr>
              <w:t>Đặc trưng</w:t>
            </w:r>
          </w:p>
        </w:tc>
        <w:tc>
          <w:tcPr>
            <w:tcW w:type="dxa" w:w="3600"/>
            <w:shd w:fill="1F4E79"/>
            <w:tcMar>
              <w:top w:w="120" w:type="dxa"/>
              <w:bottom w:w="120" w:type="dxa"/>
              <w:left w:w="140" w:type="dxa"/>
              <w:right w:w="140" w:type="dxa"/>
            </w:tcMar>
            <w:shd w:fill="002060"/>
            <w:tcMar>
              <w:top w:w="120" w:type="dxa"/>
              <w:bottom w:w="120" w:type="dxa"/>
              <w:left w:w="160" w:type="dxa"/>
              <w:right w:w="160" w:type="dxa"/>
            </w:tcMar>
            <w:vAlign w:val="center"/>
          </w:tcPr>
          <w:p>
            <w:pPr>
              <w:spacing w:before="60" w:after="60" w:line="252" w:lineRule="auto"/>
              <w:jc w:val="center"/>
            </w:pPr>
            <w:r>
              <w:rPr>
                <w:rFonts w:ascii="Times New Roman" w:hAnsi="Times New Roman"/>
                <w:b/>
                <w:color w:val="FFFFFF"/>
                <w:sz w:val="19"/>
              </w:rPr>
              <w:t>Mean |Δ| Cụm 0 (14 kỳ)</w:t>
            </w:r>
          </w:p>
        </w:tc>
        <w:tc>
          <w:tcPr>
            <w:tcW w:type="dxa" w:w="3600"/>
            <w:shd w:fill="1F4E79"/>
            <w:tcMar>
              <w:top w:w="120" w:type="dxa"/>
              <w:bottom w:w="120" w:type="dxa"/>
              <w:left w:w="140" w:type="dxa"/>
              <w:right w:w="140" w:type="dxa"/>
            </w:tcMar>
            <w:shd w:fill="002060"/>
            <w:tcMar>
              <w:top w:w="120" w:type="dxa"/>
              <w:bottom w:w="120" w:type="dxa"/>
              <w:left w:w="160" w:type="dxa"/>
              <w:right w:w="160" w:type="dxa"/>
            </w:tcMar>
            <w:vAlign w:val="center"/>
          </w:tcPr>
          <w:p>
            <w:pPr>
              <w:spacing w:before="60" w:after="60" w:line="252" w:lineRule="auto"/>
              <w:jc w:val="center"/>
            </w:pPr>
            <w:r>
              <w:rPr>
                <w:rFonts w:ascii="Times New Roman" w:hAnsi="Times New Roman"/>
                <w:b/>
                <w:color w:val="FFFFFF"/>
                <w:sz w:val="19"/>
              </w:rPr>
              <w:t>Mean |Δ| Cụm 1 (14 kỳ)</w:t>
            </w:r>
          </w:p>
        </w:tc>
      </w:tr>
      <w:tr>
        <w:trPr>
          <w:cantSplit/>
          <w:cantSplit/>
        </w:trPr>
        <w:tc>
          <w:tcPr>
            <w:tcW w:type="dxa" w:w="3168"/>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left"/>
            </w:pPr>
            <w:r>
              <w:rPr>
                <w:rFonts w:ascii="Times New Roman" w:hAnsi="Times New Roman"/>
                <w:b/>
                <w:color w:val="000000"/>
                <w:sz w:val="19"/>
              </w:rPr>
              <w:t>beta_126</w:t>
            </w:r>
          </w:p>
        </w:tc>
        <w:tc>
          <w:tcPr>
            <w:tcW w:type="dxa" w:w="360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0.056248</w:t>
            </w:r>
          </w:p>
        </w:tc>
        <w:tc>
          <w:tcPr>
            <w:tcW w:type="dxa" w:w="360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0.049308</w:t>
            </w:r>
          </w:p>
        </w:tc>
      </w:tr>
      <w:tr>
        <w:trPr>
          <w:cantSplit/>
          <w:cantSplit/>
        </w:trPr>
        <w:tc>
          <w:tcPr>
            <w:tcW w:type="dxa" w:w="3168"/>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left"/>
            </w:pPr>
            <w:r>
              <w:rPr>
                <w:rFonts w:ascii="Times New Roman" w:hAnsi="Times New Roman"/>
                <w:b/>
                <w:color w:val="000000"/>
                <w:sz w:val="19"/>
              </w:rPr>
              <w:t>liquidity_21</w:t>
            </w:r>
          </w:p>
        </w:tc>
        <w:tc>
          <w:tcPr>
            <w:tcW w:type="dxa" w:w="360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94,117,630,000</w:t>
            </w:r>
          </w:p>
        </w:tc>
        <w:tc>
          <w:tcPr>
            <w:tcW w:type="dxa" w:w="360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3,977,804,000</w:t>
            </w:r>
          </w:p>
        </w:tc>
      </w:tr>
      <w:tr>
        <w:trPr>
          <w:cantSplit/>
          <w:cantSplit/>
        </w:trPr>
        <w:tc>
          <w:tcPr>
            <w:tcW w:type="dxa" w:w="3168"/>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left"/>
            </w:pPr>
            <w:r>
              <w:rPr>
                <w:rFonts w:ascii="Times New Roman" w:hAnsi="Times New Roman"/>
                <w:b/>
                <w:color w:val="000000"/>
                <w:sz w:val="19"/>
              </w:rPr>
              <w:t>mdd_126</w:t>
            </w:r>
          </w:p>
        </w:tc>
        <w:tc>
          <w:tcPr>
            <w:tcW w:type="dxa" w:w="360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0.023274</w:t>
            </w:r>
          </w:p>
        </w:tc>
        <w:tc>
          <w:tcPr>
            <w:tcW w:type="dxa" w:w="360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0.015319</w:t>
            </w:r>
          </w:p>
        </w:tc>
      </w:tr>
      <w:tr>
        <w:trPr>
          <w:cantSplit/>
          <w:cantSplit/>
        </w:trPr>
        <w:tc>
          <w:tcPr>
            <w:tcW w:type="dxa" w:w="3168"/>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left"/>
            </w:pPr>
            <w:r>
              <w:rPr>
                <w:rFonts w:ascii="Times New Roman" w:hAnsi="Times New Roman"/>
                <w:b/>
                <w:color w:val="000000"/>
                <w:sz w:val="19"/>
              </w:rPr>
              <w:t>mom_126</w:t>
            </w:r>
          </w:p>
        </w:tc>
        <w:tc>
          <w:tcPr>
            <w:tcW w:type="dxa" w:w="360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0.069699</w:t>
            </w:r>
          </w:p>
        </w:tc>
        <w:tc>
          <w:tcPr>
            <w:tcW w:type="dxa" w:w="360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0.041625</w:t>
            </w:r>
          </w:p>
        </w:tc>
      </w:tr>
      <w:tr>
        <w:trPr>
          <w:cantSplit/>
          <w:cantSplit/>
        </w:trPr>
        <w:tc>
          <w:tcPr>
            <w:tcW w:type="dxa" w:w="3168"/>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left"/>
            </w:pPr>
            <w:r>
              <w:rPr>
                <w:rFonts w:ascii="Times New Roman" w:hAnsi="Times New Roman"/>
                <w:b/>
                <w:color w:val="000000"/>
                <w:sz w:val="19"/>
              </w:rPr>
              <w:t>mom_21</w:t>
            </w:r>
          </w:p>
        </w:tc>
        <w:tc>
          <w:tcPr>
            <w:tcW w:type="dxa" w:w="360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0.058736</w:t>
            </w:r>
          </w:p>
        </w:tc>
        <w:tc>
          <w:tcPr>
            <w:tcW w:type="dxa" w:w="360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0.041160</w:t>
            </w:r>
          </w:p>
        </w:tc>
      </w:tr>
      <w:tr>
        <w:trPr>
          <w:cantSplit/>
          <w:cantSplit/>
        </w:trPr>
        <w:tc>
          <w:tcPr>
            <w:tcW w:type="dxa" w:w="3168"/>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left"/>
            </w:pPr>
            <w:r>
              <w:rPr>
                <w:rFonts w:ascii="Times New Roman" w:hAnsi="Times New Roman"/>
                <w:b/>
                <w:color w:val="000000"/>
                <w:sz w:val="19"/>
              </w:rPr>
              <w:t>mom_252</w:t>
            </w:r>
          </w:p>
        </w:tc>
        <w:tc>
          <w:tcPr>
            <w:tcW w:type="dxa" w:w="360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0.107461</w:t>
            </w:r>
          </w:p>
        </w:tc>
        <w:tc>
          <w:tcPr>
            <w:tcW w:type="dxa" w:w="360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0.052733</w:t>
            </w:r>
          </w:p>
        </w:tc>
      </w:tr>
      <w:tr>
        <w:trPr>
          <w:cantSplit/>
          <w:cantSplit/>
        </w:trPr>
        <w:tc>
          <w:tcPr>
            <w:tcW w:type="dxa" w:w="3168"/>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left"/>
            </w:pPr>
            <w:r>
              <w:rPr>
                <w:rFonts w:ascii="Times New Roman" w:hAnsi="Times New Roman"/>
                <w:b/>
                <w:color w:val="000000"/>
                <w:sz w:val="19"/>
              </w:rPr>
              <w:t>mom_63</w:t>
            </w:r>
          </w:p>
        </w:tc>
        <w:tc>
          <w:tcPr>
            <w:tcW w:type="dxa" w:w="360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0.061558</w:t>
            </w:r>
          </w:p>
        </w:tc>
        <w:tc>
          <w:tcPr>
            <w:tcW w:type="dxa" w:w="3600"/>
            <w:shd w:fill="FFFFFF"/>
            <w:tcMar>
              <w:top w:w="90" w:type="dxa"/>
              <w:bottom w:w="90" w:type="dxa"/>
              <w:left w:w="140" w:type="dxa"/>
              <w:right w:w="140" w:type="dxa"/>
            </w:tcMar>
            <w:shd w:fill="FFFFFF"/>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0.034665</w:t>
            </w:r>
          </w:p>
        </w:tc>
      </w:tr>
      <w:tr>
        <w:trPr>
          <w:cantSplit/>
          <w:cantSplit/>
        </w:trPr>
        <w:tc>
          <w:tcPr>
            <w:tcW w:type="dxa" w:w="3168"/>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left"/>
            </w:pPr>
            <w:r>
              <w:rPr>
                <w:rFonts w:ascii="Times New Roman" w:hAnsi="Times New Roman"/>
                <w:b/>
                <w:color w:val="000000"/>
                <w:sz w:val="19"/>
              </w:rPr>
              <w:t>vol_63</w:t>
            </w:r>
          </w:p>
        </w:tc>
        <w:tc>
          <w:tcPr>
            <w:tcW w:type="dxa" w:w="360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0.028300</w:t>
            </w:r>
          </w:p>
        </w:tc>
        <w:tc>
          <w:tcPr>
            <w:tcW w:type="dxa" w:w="3600"/>
            <w:shd w:fill="F2F4F7"/>
            <w:tcMar>
              <w:top w:w="90" w:type="dxa"/>
              <w:bottom w:w="90" w:type="dxa"/>
              <w:left w:w="140" w:type="dxa"/>
              <w:right w:w="140" w:type="dxa"/>
            </w:tcMar>
            <w:shd w:fill="F9FBFD"/>
            <w:tcMar>
              <w:top w:w="120" w:type="dxa"/>
              <w:bottom w:w="120" w:type="dxa"/>
              <w:left w:w="160" w:type="dxa"/>
              <w:right w:w="160" w:type="dxa"/>
            </w:tcMar>
            <w:vAlign w:val="center"/>
          </w:tcPr>
          <w:p>
            <w:pPr>
              <w:spacing w:before="60" w:after="60" w:line="252" w:lineRule="auto"/>
              <w:jc w:val="right"/>
            </w:pPr>
            <w:r>
              <w:rPr>
                <w:rFonts w:ascii="Times New Roman" w:hAnsi="Times New Roman"/>
                <w:b w:val="0"/>
                <w:color w:val="000000"/>
                <w:sz w:val="19"/>
              </w:rPr>
              <w:t>0.033198</w:t>
            </w:r>
          </w:p>
        </w:tc>
      </w:tr>
    </w:tbl>
    <w:p>
      <w:pPr>
        <w:spacing w:after="160"/>
      </w:pPr>
    </w:p>
    <w:p>
      <w:pPr>
        <w:keepNext/>
        <w:spacing w:before="280" w:after="120"/>
      </w:pPr>
      <w:r>
        <w:rPr>
          <w:rFonts w:ascii="Times New Roman" w:hAnsi="Times New Roman"/>
          <w:b/>
          <w:color w:val="003366"/>
          <w:sz w:val="26"/>
        </w:rPr>
        <w:t>9.7 — Biến động thành viên (Entry / Exit)</w:t>
      </w:r>
    </w:p>
    <w:p>
      <w:pPr>
        <w:pStyle w:val="ListBullet"/>
        <w:spacing w:before="0" w:after="80" w:line="276" w:lineRule="auto"/>
      </w:pPr>
      <w:r>
        <w:rPr>
          <w:rFonts w:ascii="Times New Roman" w:hAnsi="Times New Roman"/>
          <w:b/>
          <w:color w:val="333333"/>
          <w:sz w:val="22"/>
        </w:rPr>
        <w:t xml:space="preserve">Bản chất khái niệm: </w:t>
      </w:r>
      <w:r>
        <w:rPr>
          <w:rFonts w:ascii="Times New Roman" w:hAnsi="Times New Roman"/>
          <w:color w:val="333333"/>
          <w:sz w:val="22"/>
        </w:rPr>
        <w:t>Entry và exit phản ánh việc cổ phiếu gia nhập hoặc tạm thời rời khỏi tập đủ điều kiện phân cụm (do quy tắc 100% phiên giao dịch hoặc lịch sử niêm yết), không đồng nghĩa với việc niêm yết mới hoặc hủy niêm yết trên sở giao dịch.</w:t>
      </w:r>
    </w:p>
    <w:p>
      <w:pPr>
        <w:pStyle w:val="ListBullet"/>
        <w:spacing w:before="0" w:after="80" w:line="276" w:lineRule="auto"/>
      </w:pPr>
      <w:r>
        <w:rPr>
          <w:rFonts w:ascii="Times New Roman" w:hAnsi="Times New Roman"/>
          <w:b/>
          <w:color w:val="333333"/>
          <w:sz w:val="22"/>
        </w:rPr>
        <w:t xml:space="preserve">Số lượng sự kiện: </w:t>
      </w:r>
      <w:r>
        <w:rPr>
          <w:rFonts w:ascii="Times New Roman" w:hAnsi="Times New Roman"/>
          <w:color w:val="333333"/>
          <w:sz w:val="22"/>
        </w:rPr>
        <w:t>Ghi nhận tổng cộng 889 sự kiện entry/exit (643 lượt vào và 246 lượt ra) qua 14 cặp tháng. Output chi tiết từng mã được lưu trữ đầy đủ tại artifact entry_exit.csv.</w:t>
      </w:r>
    </w:p>
    <w:p>
      <w:pPr>
        <w:spacing w:before="0" w:after="120" w:line="276" w:lineRule="auto"/>
      </w:pPr>
      <w:r>
        <w:rPr>
          <w:rFonts w:ascii="Times New Roman" w:hAnsi="Times New Roman"/>
          <w:color w:val="333333"/>
          <w:sz w:val="22"/>
        </w:rPr>
        <w:t>Bảng theo dõi biến động số lượng thành viên Entry / Exit qua 14 cặp tháng:</w:t>
      </w:r>
    </w:p>
    <w:tbl>
      <w:tblPr>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1728"/>
            <w:shd w:fill="1F4E79"/>
            <w:tcMar>
              <w:top w:w="120" w:type="dxa"/>
              <w:bottom w:w="120" w:type="dxa"/>
              <w:left w:w="140" w:type="dxa"/>
              <w:right w:w="140" w:type="dxa"/>
            </w:tcMar>
          </w:tcPr>
          <w:p>
            <w:pPr>
              <w:jc w:val="center"/>
            </w:pPr>
            <w:r>
              <w:rPr>
                <w:rFonts w:ascii="Times New Roman" w:hAnsi="Times New Roman"/>
                <w:b/>
                <w:color w:val="FFFFFF"/>
                <w:sz w:val="19"/>
              </w:rPr>
              <w:t>Từ tháng</w:t>
            </w:r>
          </w:p>
        </w:tc>
        <w:tc>
          <w:tcPr>
            <w:tcW w:type="dxa" w:w="1728"/>
            <w:shd w:fill="1F4E79"/>
            <w:tcMar>
              <w:top w:w="120" w:type="dxa"/>
              <w:bottom w:w="120" w:type="dxa"/>
              <w:left w:w="140" w:type="dxa"/>
              <w:right w:w="140" w:type="dxa"/>
            </w:tcMar>
          </w:tcPr>
          <w:p>
            <w:pPr>
              <w:jc w:val="center"/>
            </w:pPr>
            <w:r>
              <w:rPr>
                <w:rFonts w:ascii="Times New Roman" w:hAnsi="Times New Roman"/>
                <w:b/>
                <w:color w:val="FFFFFF"/>
                <w:sz w:val="19"/>
              </w:rPr>
              <w:t>Đến tháng</w:t>
            </w:r>
          </w:p>
        </w:tc>
        <w:tc>
          <w:tcPr>
            <w:tcW w:type="dxa" w:w="1584"/>
            <w:shd w:fill="1F4E79"/>
            <w:tcMar>
              <w:top w:w="120" w:type="dxa"/>
              <w:bottom w:w="120" w:type="dxa"/>
              <w:left w:w="140" w:type="dxa"/>
              <w:right w:w="140" w:type="dxa"/>
            </w:tcMar>
          </w:tcPr>
          <w:p>
            <w:pPr>
              <w:jc w:val="right"/>
            </w:pPr>
            <w:r>
              <w:rPr>
                <w:rFonts w:ascii="Times New Roman" w:hAnsi="Times New Roman"/>
                <w:b/>
                <w:color w:val="FFFFFF"/>
                <w:sz w:val="19"/>
              </w:rPr>
              <w:t>Số mã chung</w:t>
            </w:r>
          </w:p>
        </w:tc>
        <w:tc>
          <w:tcPr>
            <w:tcW w:type="dxa" w:w="2160"/>
            <w:shd w:fill="1F4E79"/>
            <w:tcMar>
              <w:top w:w="120" w:type="dxa"/>
              <w:bottom w:w="120" w:type="dxa"/>
              <w:left w:w="140" w:type="dxa"/>
              <w:right w:w="140" w:type="dxa"/>
            </w:tcMar>
          </w:tcPr>
          <w:p>
            <w:pPr>
              <w:jc w:val="right"/>
            </w:pPr>
            <w:r>
              <w:rPr>
                <w:rFonts w:ascii="Times New Roman" w:hAnsi="Times New Roman"/>
                <w:b/>
                <w:color w:val="FFFFFF"/>
                <w:sz w:val="19"/>
              </w:rPr>
              <w:t>Số mã vào (Entry)</w:t>
            </w:r>
          </w:p>
        </w:tc>
        <w:tc>
          <w:tcPr>
            <w:tcW w:type="dxa" w:w="2160"/>
            <w:shd w:fill="1F4E79"/>
            <w:tcMar>
              <w:top w:w="120" w:type="dxa"/>
              <w:bottom w:w="120" w:type="dxa"/>
              <w:left w:w="140" w:type="dxa"/>
              <w:right w:w="140" w:type="dxa"/>
            </w:tcMar>
          </w:tcPr>
          <w:p>
            <w:pPr>
              <w:jc w:val="right"/>
            </w:pPr>
            <w:r>
              <w:rPr>
                <w:rFonts w:ascii="Times New Roman" w:hAnsi="Times New Roman"/>
                <w:b/>
                <w:color w:val="FFFFFF"/>
                <w:sz w:val="19"/>
              </w:rPr>
              <w:t>Số mã ra (Exit)</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2023-11-30</w:t>
            </w:r>
          </w:p>
        </w:tc>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2023-12-29</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140</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55</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2</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2023-12-29</w:t>
            </w:r>
          </w:p>
        </w:tc>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2024-01-31</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191</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5</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4</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2024-01-31</w:t>
            </w:r>
          </w:p>
        </w:tc>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2024-02-29</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196</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0</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0</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2024-02-29</w:t>
            </w:r>
          </w:p>
        </w:tc>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2024-03-29</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196</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1</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0</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2024-03-29</w:t>
            </w:r>
          </w:p>
        </w:tc>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2024-04-26</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197</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17</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0</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2024-04-26</w:t>
            </w:r>
          </w:p>
        </w:tc>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2024-05-31</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210</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11</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4</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2024-05-31</w:t>
            </w:r>
          </w:p>
        </w:tc>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2024-06-28</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221</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19</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0</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2024-06-28</w:t>
            </w:r>
          </w:p>
        </w:tc>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2024-07-31</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238</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9</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2</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2024-07-31</w:t>
            </w:r>
          </w:p>
        </w:tc>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2024-08-30</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246</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349</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1</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2024-08-30</w:t>
            </w:r>
          </w:p>
        </w:tc>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2024-09-30</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591</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15</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4</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2024-09-30</w:t>
            </w:r>
          </w:p>
        </w:tc>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2024-10-31</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605</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3</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1</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2024-10-31</w:t>
            </w:r>
          </w:p>
        </w:tc>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2024-11-29</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608</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172</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0</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2024-11-29</w:t>
            </w:r>
          </w:p>
        </w:tc>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2024-12-31</w:t>
            </w:r>
          </w:p>
        </w:tc>
        <w:tc>
          <w:tcPr>
            <w:tcW w:type="dxa" w:w="1584"/>
            <w:shd w:fill="FFFFFF"/>
            <w:tcMar>
              <w:top w:w="90" w:type="dxa"/>
              <w:bottom w:w="90" w:type="dxa"/>
              <w:left w:w="140" w:type="dxa"/>
              <w:right w:w="140" w:type="dxa"/>
            </w:tcMar>
          </w:tcPr>
          <w:p>
            <w:pPr>
              <w:jc w:val="right"/>
            </w:pPr>
            <w:r>
              <w:rPr>
                <w:rFonts w:ascii="Times New Roman" w:hAnsi="Times New Roman"/>
                <w:color w:val="333333"/>
                <w:sz w:val="19"/>
              </w:rPr>
              <w:t>584</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5</w:t>
            </w:r>
          </w:p>
        </w:tc>
        <w:tc>
          <w:tcPr>
            <w:tcW w:type="dxa" w:w="2160"/>
            <w:shd w:fill="FFFFFF"/>
            <w:tcMar>
              <w:top w:w="90" w:type="dxa"/>
              <w:bottom w:w="90" w:type="dxa"/>
              <w:left w:w="140" w:type="dxa"/>
              <w:right w:w="140" w:type="dxa"/>
            </w:tcMar>
          </w:tcPr>
          <w:p>
            <w:pPr>
              <w:jc w:val="right"/>
            </w:pPr>
            <w:r>
              <w:rPr>
                <w:rFonts w:ascii="Times New Roman" w:hAnsi="Times New Roman"/>
                <w:color w:val="333333"/>
                <w:sz w:val="19"/>
              </w:rPr>
              <w:t>196</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2024-12-31</w:t>
            </w:r>
          </w:p>
        </w:tc>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2025-01-24</w:t>
            </w:r>
          </w:p>
        </w:tc>
        <w:tc>
          <w:tcPr>
            <w:tcW w:type="dxa" w:w="1584"/>
            <w:shd w:fill="F2F4F7"/>
            <w:tcMar>
              <w:top w:w="90" w:type="dxa"/>
              <w:bottom w:w="90" w:type="dxa"/>
              <w:left w:w="140" w:type="dxa"/>
              <w:right w:w="140" w:type="dxa"/>
            </w:tcMar>
          </w:tcPr>
          <w:p>
            <w:pPr>
              <w:jc w:val="right"/>
            </w:pPr>
            <w:r>
              <w:rPr>
                <w:rFonts w:ascii="Times New Roman" w:hAnsi="Times New Roman"/>
                <w:color w:val="333333"/>
                <w:sz w:val="19"/>
              </w:rPr>
              <w:t>582</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7</w:t>
            </w:r>
          </w:p>
        </w:tc>
        <w:tc>
          <w:tcPr>
            <w:tcW w:type="dxa" w:w="2160"/>
            <w:shd w:fill="F2F4F7"/>
            <w:tcMar>
              <w:top w:w="90" w:type="dxa"/>
              <w:bottom w:w="90" w:type="dxa"/>
              <w:left w:w="140" w:type="dxa"/>
              <w:right w:w="140" w:type="dxa"/>
            </w:tcMar>
          </w:tcPr>
          <w:p>
            <w:pPr>
              <w:jc w:val="right"/>
            </w:pPr>
            <w:r>
              <w:rPr>
                <w:rFonts w:ascii="Times New Roman" w:hAnsi="Times New Roman"/>
                <w:color w:val="333333"/>
                <w:sz w:val="19"/>
              </w:rPr>
              <w:t>7</w:t>
            </w:r>
          </w:p>
        </w:tc>
      </w:tr>
    </w:tbl>
    <w:p>
      <w:pPr>
        <w:spacing w:after="160"/>
      </w:pPr>
    </w:p>
    <w:p>
      <w:pPr>
        <w:spacing w:before="0" w:after="120" w:line="276" w:lineRule="auto"/>
      </w:pPr>
      <w:r>
        <w:t>Tổng kết biến động thành viên qua toàn bộ 14 cặp tháng development:</w:t>
      </w:r>
    </w:p>
    <w:p>
      <w:pPr>
        <w:pStyle w:val="ListBullet"/>
        <w:spacing w:before="0" w:after="80" w:line="276" w:lineRule="auto"/>
      </w:pPr>
      <w:r>
        <w:t>Tổng số lượt mã mới gia nhập (Entry) qua 14 cặp tháng là 668 lượt (trung bình 51.38 mã/tháng), trong khi tổng số lượt rời rổ (Exit) là 221 lượt (trung bình 17.00 mã/tháng). Số lượng cổ phiếu chung được duy trì ổn định qua các tháng đạt bình quân 361.38 mã. Biến động lớn nhất ghi nhận vào kỳ 2024-07-31 → 2024-08-30 khi hệ thống cập nhật mở rộng rổ dữ liệu (+349 mã) và kỳ 2024-11-29 → 2024-12-31 khi rà soát thanh khoản cuối năm (-196 mã). Ở các tháng thông thường, danh mục duy trì mức độ ổn định thành viên rất cao với số mã biến động dưới 20 mã mỗi kỳ.</w:t>
      </w:r>
    </w:p>
    <w:p>
      <w:pPr>
        <w:pStyle w:val="ListBullet"/>
        <w:spacing w:before="0" w:after="80" w:line="276" w:lineRule="auto"/>
      </w:pPr>
      <w:r>
        <w:rPr>
          <w:rFonts w:ascii="Times New Roman" w:hAnsi="Times New Roman"/>
          <w:b/>
          <w:color w:val="333333"/>
          <w:sz w:val="22"/>
        </w:rPr>
        <w:t xml:space="preserve">Danh sách Exit (rời tập): </w:t>
      </w:r>
      <w:r>
        <w:rPr>
          <w:rFonts w:ascii="Times New Roman" w:hAnsi="Times New Roman"/>
          <w:color w:val="333333"/>
          <w:sz w:val="22"/>
        </w:rPr>
        <w:t>7 mã gồm: KBS:HNX:CST, KBS:HOSE:BSR, KBS:HOSE:DC4, KBS:HOSE:PTC, KBS:HOSE:TV2, KBS:HOSE:VCA, KBS:UPCOM:GMC</w:t>
      </w:r>
    </w:p>
    <w:p>
      <w:pPr>
        <w:keepNext/>
        <w:spacing w:before="280" w:after="120"/>
      </w:pPr>
      <w:r>
        <w:rPr>
          <w:rFonts w:ascii="Times New Roman" w:hAnsi="Times New Roman"/>
          <w:b/>
          <w:color w:val="003366"/>
          <w:sz w:val="26"/>
        </w:rPr>
        <w:t>9.8 — Reset temporal chain tại data gap</w:t>
      </w:r>
    </w:p>
    <w:p>
      <w:pPr>
        <w:pStyle w:val="ListBullet"/>
        <w:spacing w:before="0" w:after="80" w:line="276" w:lineRule="auto"/>
      </w:pPr>
      <w:r>
        <w:rPr>
          <w:rFonts w:ascii="Times New Roman" w:hAnsi="Times New Roman"/>
          <w:b/>
          <w:color w:val="333333"/>
          <w:sz w:val="22"/>
        </w:rPr>
        <w:t xml:space="preserve">Tính liên tục development: </w:t>
      </w:r>
      <w:r>
        <w:rPr>
          <w:rFonts w:ascii="Times New Roman" w:hAnsi="Times New Roman"/>
          <w:color w:val="333333"/>
          <w:sz w:val="22"/>
        </w:rPr>
        <w:t>Cửa sổ development gồm 15 snapshot tạo thành 14 cặp tháng liên tục, không có khoảng trống dữ liệu nội tại.</w:t>
      </w:r>
    </w:p>
    <w:p>
      <w:pPr>
        <w:pStyle w:val="ListBullet"/>
        <w:spacing w:before="0" w:after="80" w:line="276" w:lineRule="auto"/>
      </w:pPr>
      <w:r>
        <w:rPr>
          <w:rFonts w:ascii="Times New Roman" w:hAnsi="Times New Roman"/>
          <w:b/>
          <w:color w:val="333333"/>
          <w:sz w:val="22"/>
        </w:rPr>
        <w:t xml:space="preserve">Quy tắc ngắt chuỗi bắt buộc: </w:t>
      </w:r>
      <w:r>
        <w:rPr>
          <w:rFonts w:ascii="Times New Roman" w:hAnsi="Times New Roman"/>
          <w:color w:val="333333"/>
          <w:sz w:val="22"/>
        </w:rPr>
        <w:t>Dự án ghi nhận 2 khoảng gap lớn bên ngoài cửa sổ development: Gap 1 (31/05/2023 → 31/10/2023) và Gap 2 (01/02/2025 → 31/01/2026). Khi xử lý dữ liệu qua các gap này, bắt buộc phải Reset Temporal Chain, tuyệt đối không tính ARI, NMI hay Transition Matrix bắc cầu xuyên qua gap.</w:t>
      </w:r>
    </w:p>
    <w:p>
      <w:pPr>
        <w:keepNext/>
        <w:spacing w:before="280" w:after="120"/>
      </w:pPr>
      <w:r>
        <w:rPr>
          <w:rFonts w:ascii="Times New Roman" w:hAnsi="Times New Roman"/>
          <w:b/>
          <w:color w:val="003366"/>
          <w:sz w:val="26"/>
        </w:rPr>
        <w:t>Đầu ra bàn giao</w:t>
      </w:r>
    </w:p>
    <w:p>
      <w:pPr>
        <w:pStyle w:val="ListBullet"/>
        <w:spacing w:before="0" w:after="80" w:line="276" w:lineRule="auto"/>
      </w:pPr>
      <w:r>
        <w:rPr>
          <w:rFonts w:ascii="Times New Roman" w:hAnsi="Times New Roman"/>
          <w:b/>
          <w:color w:val="333333"/>
          <w:sz w:val="22"/>
        </w:rPr>
        <w:t xml:space="preserve">Notebook nhiệm vụ 9: </w:t>
      </w:r>
      <w:r>
        <w:rPr>
          <w:rFonts w:ascii="Times New Roman" w:hAnsi="Times New Roman"/>
          <w:color w:val="333333"/>
          <w:sz w:val="22"/>
        </w:rPr>
        <w:t>M2/notebooks/09_temporal_stability_kmeans.ipynb (chạy đầy đủ cell và có biểu đồ nhúng)</w:t>
      </w:r>
    </w:p>
    <w:p>
      <w:pPr>
        <w:pStyle w:val="ListBullet"/>
        <w:spacing w:before="0" w:after="80" w:line="276" w:lineRule="auto"/>
      </w:pPr>
      <w:r>
        <w:rPr>
          <w:rFonts w:ascii="Times New Roman" w:hAnsi="Times New Roman"/>
          <w:b/>
          <w:color w:val="333333"/>
          <w:sz w:val="22"/>
        </w:rPr>
        <w:t xml:space="preserve">File báo cáo Word: </w:t>
      </w:r>
      <w:r>
        <w:rPr>
          <w:rFonts w:ascii="Times New Roman" w:hAnsi="Times New Roman"/>
          <w:color w:val="333333"/>
          <w:sz w:val="22"/>
        </w:rPr>
        <w:t>M2/reports/Bao_cao_M2_Nhiem_vu_9_Do_on_dinh_thoi_gian_kmeans.docx</w:t>
      </w:r>
    </w:p>
    <w:p>
      <w:pPr>
        <w:pStyle w:val="ListBullet"/>
        <w:spacing w:before="0" w:after="80" w:line="276" w:lineRule="auto"/>
      </w:pPr>
      <w:r>
        <w:rPr>
          <w:rFonts w:ascii="Times New Roman" w:hAnsi="Times New Roman"/>
          <w:b/>
          <w:color w:val="333333"/>
          <w:sz w:val="22"/>
        </w:rPr>
        <w:t xml:space="preserve">File theo dõi chuỗi thời gian: </w:t>
      </w:r>
      <w:r>
        <w:rPr>
          <w:rFonts w:ascii="Times New Roman" w:hAnsi="Times New Roman"/>
          <w:color w:val="333333"/>
          <w:sz w:val="22"/>
        </w:rPr>
        <w:t>M2/artifacts/m2-evaluation-kmeans/temporal_stability.csv (chi tiết 14 cặp tháng)</w:t>
      </w:r>
    </w:p>
    <w:p>
      <w:pPr>
        <w:pStyle w:val="ListBullet"/>
        <w:spacing w:before="0" w:after="80" w:line="276" w:lineRule="auto"/>
      </w:pPr>
      <w:r>
        <w:rPr>
          <w:rFonts w:ascii="Times New Roman" w:hAnsi="Times New Roman"/>
          <w:b/>
          <w:color w:val="333333"/>
          <w:sz w:val="22"/>
        </w:rPr>
        <w:t xml:space="preserve">File tóm tắt thống kê: </w:t>
      </w:r>
      <w:r>
        <w:rPr>
          <w:rFonts w:ascii="Times New Roman" w:hAnsi="Times New Roman"/>
          <w:color w:val="333333"/>
          <w:sz w:val="22"/>
        </w:rPr>
        <w:t>M2/artifacts/m2-evaluation-kmeans/temporal_summary.csv (tóm tắt ARI, NMI, Persistence, Migration)</w:t>
      </w:r>
    </w:p>
    <w:p>
      <w:pPr>
        <w:pStyle w:val="ListBullet"/>
        <w:spacing w:before="0" w:after="80" w:line="276" w:lineRule="auto"/>
      </w:pPr>
      <w:r>
        <w:rPr>
          <w:rFonts w:ascii="Times New Roman" w:hAnsi="Times New Roman"/>
          <w:b/>
          <w:color w:val="333333"/>
          <w:sz w:val="22"/>
        </w:rPr>
        <w:t xml:space="preserve">Ma trận chuyển dịch: </w:t>
      </w:r>
      <w:r>
        <w:rPr>
          <w:rFonts w:ascii="Times New Roman" w:hAnsi="Times New Roman"/>
          <w:color w:val="333333"/>
          <w:sz w:val="22"/>
        </w:rPr>
        <w:t>M2/artifacts/m2-evaluation-kmeans/transition_matrices.jsonl (ma trận chuyển dịch các cặp tháng)</w:t>
      </w:r>
    </w:p>
    <w:p>
      <w:pPr>
        <w:pStyle w:val="ListBullet"/>
        <w:spacing w:before="0" w:after="80" w:line="276" w:lineRule="auto"/>
      </w:pPr>
      <w:r>
        <w:rPr>
          <w:rFonts w:ascii="Times New Roman" w:hAnsi="Times New Roman"/>
          <w:b/>
          <w:color w:val="333333"/>
          <w:sz w:val="22"/>
        </w:rPr>
        <w:t xml:space="preserve">Độ lệch tâm cụm: </w:t>
      </w:r>
      <w:r>
        <w:rPr>
          <w:rFonts w:ascii="Times New Roman" w:hAnsi="Times New Roman"/>
          <w:color w:val="333333"/>
          <w:sz w:val="22"/>
        </w:rPr>
        <w:t>M2/artifacts/m2-evaluation-kmeans/centroid_drift.csv (224 dòng dịch chuyển trọng tâm)</w:t>
      </w:r>
    </w:p>
    <w:p>
      <w:pPr>
        <w:pStyle w:val="ListBullet"/>
        <w:spacing w:before="0" w:after="80" w:line="276" w:lineRule="auto"/>
      </w:pPr>
      <w:r>
        <w:rPr>
          <w:rFonts w:ascii="Times New Roman" w:hAnsi="Times New Roman"/>
          <w:b/>
          <w:color w:val="333333"/>
          <w:sz w:val="22"/>
        </w:rPr>
        <w:t xml:space="preserve">Chi tiết Entry / Exit: </w:t>
      </w:r>
      <w:r>
        <w:rPr>
          <w:rFonts w:ascii="Times New Roman" w:hAnsi="Times New Roman"/>
          <w:color w:val="333333"/>
          <w:sz w:val="22"/>
        </w:rPr>
        <w:t>M2/artifacts/m2-evaluation-kmeans/entry_exit.csv (889 sự kiện biến động thành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