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BÁO CÁO MILESTONE M2 — NHIỆM VỤ 4: PHƯƠNG ÁN A — K-MEANS BASELINE</w:t>
      </w:r>
    </w:p>
    <w:p>
      <w:r>
        <w:t>Người thực hiện: Nhóm nghiên cứu DELTA</w:t>
      </w:r>
    </w:p>
    <w:p>
      <w:r>
        <w:t>Tập dữ liệu chuẩn hóa: cafef-c8-complete-only-v2 (Bộ dữ liệu thị trường đã vá bù &amp; đối soát dữ liệu hoàn chỉnh)</w:t>
      </w:r>
    </w:p>
    <w:p>
      <w:r>
        <w:t>Giai đoạn thực thi: Development (60 snapshot cuối tháng liên tiếp từ 2019-01-31 đến 2023-12-29)</w:t>
      </w:r>
    </w:p>
    <w:p>
      <w:r>
        <w:t>File cấu hình chuẩn: configs/experiments/m2_market_only_v2.json</w:t>
      </w:r>
    </w:p>
    <w:p>
      <w:r>
        <w:t>Notebook thực thi: M2/notebooks/04_kmeans_baseline.ipynb</w:t>
      </w:r>
    </w:p>
    <w:p>
      <w:r>
        <w:t>Thư mục lưu trữ artifact: M2/artifacts/m2-task4-kmeans-baseline-v1/</w:t>
      </w:r>
    </w:p>
    <w:p>
      <w:r>
        <w:t>Thư mục lưu trữ mô hình: M2/models/kmeans/ (60 file model JSON)</w:t>
      </w:r>
    </w:p>
    <w:p>
      <w:r>
        <w:rPr>
          <w:color w:val="B4B4B4"/>
        </w:rPr>
        <w:t>____________________________________________________</w:t>
      </w:r>
    </w:p>
    <w:p>
      <w:pPr>
        <w:pStyle w:val="Heading2"/>
      </w:pPr>
      <w:r>
        <w:t>1. Mục đích và Quy tắc thực nghiệm</w:t>
      </w:r>
    </w:p>
    <w:p>
      <w:pPr>
        <w:pStyle w:val="Heading3"/>
      </w:pPr>
      <w:r>
        <w:t>1.1. Mục đích</w:t>
      </w:r>
    </w:p>
    <w:p>
      <w:r>
        <w:t>Nhiệm vụ 4 thiết lập đường cơ sở phân cụm (Baseline) chính thức cho toàn bộ Milestone M2 bằng thuật toán K-Means với số cụm tối ưu Global K = 2 đã được phê duyệt và đóng băng từ Nhiệm vụ 3.</w:t>
      </w:r>
    </w:p>
    <w:p>
      <w:r>
        <w:t>Kết quả của Nhiệm vụ 4 cung cấp dữ liệu nền tảng cho:</w:t>
      </w:r>
    </w:p>
    <w:p>
      <w:pPr>
        <w:pStyle w:val="ListBullet"/>
      </w:pPr>
      <w:r>
        <w:t>Nhiệm vụ 7: Đánh giá chất lượng cụm (Cluster Quality Evaluation).</w:t>
      </w:r>
    </w:p>
    <w:p>
      <w:pPr>
        <w:pStyle w:val="ListBullet"/>
      </w:pPr>
      <w:r>
        <w:t>Nhiệm vụ 8: Phân tích hồ sơ cụm (Cluster Profiling).</w:t>
      </w:r>
    </w:p>
    <w:p>
      <w:pPr>
        <w:pStyle w:val="ListBullet"/>
      </w:pPr>
      <w:r>
        <w:t>Nhiệm vụ 9: Đánh giá độ ổn định chuỗi thời gian (Temporal Stability &amp; Transition Tracking).</w:t>
      </w:r>
    </w:p>
    <w:p>
      <w:pPr>
        <w:pStyle w:val="ListBullet"/>
      </w:pPr>
      <w:r>
        <w:t>Nhiệm vụ 10: So sánh đa phương án (Model Comparison giữa K-Means, Ward và PCA + K-Means).</w:t>
      </w:r>
    </w:p>
    <w:p>
      <w:pPr>
        <w:pStyle w:val="Heading3"/>
      </w:pPr>
      <w:r>
        <w:t>1.2. Rào chắn học thuật bất biến (Invariants)</w:t>
      </w:r>
    </w:p>
    <w:p>
      <w:pPr>
        <w:pStyle w:val="ListNumber"/>
      </w:pPr>
      <w:r>
        <w:t>Khóa Global K = 2: Chỉ sử dụng số cụm K = 2 đã đóng băng, tuyệt đối không quét lại K = 2..8.</w:t>
      </w:r>
    </w:p>
    <w:p>
      <w:pPr>
        <w:pStyle w:val="ListNumber"/>
      </w:pPr>
      <w:r>
        <w:t>Không gian thời gian Development: Thực thi độc lập trên toàn bộ 60 snapshot cuối tháng (2019-01-31 đến 2023-12-29). Niêm phong tuyệt đối 24 snapshot Holdout (2024–2025).</w:t>
      </w:r>
    </w:p>
    <w:p>
      <w:pPr>
        <w:pStyle w:val="ListNumber"/>
      </w:pPr>
      <w:r>
        <w:t>Chuẩn hóa độc lập (Snapshot-level Robust Scaling): Từng snapshot tính riêng Median và IQR trên tập cổ phiếu đủ điều kiện của chính snapshot đó theo công thức x_scaled = (x - Median) / IQR. Tuyệt đối không dùng chung scaler giữa các tháng.</w:t>
      </w:r>
    </w:p>
    <w:p>
      <w:pPr>
        <w:pStyle w:val="ListNumber"/>
      </w:pPr>
      <w:r>
        <w:t>Vũ trụ cổ phiếu linh hoạt: Lọc theo từng snapshot với market_feature_ready_v2 == True và kiểm tra ngưỡng tối thiểu n_eligible &gt;= 100 mã. Không áp đặt danh sách mã cố định ngược về quá khứ.</w:t>
      </w:r>
    </w:p>
    <w:p>
      <w:pPr>
        <w:pStyle w:val="ListNumber"/>
      </w:pPr>
      <w:r>
        <w:t>Rào chắn mục tiêu: Đánh giá cụm hoàn toàn dựa trên thước đo hình học và đặc trưng nội tại (Silhouette, Davies-Bouldin, Calinski-Harabasz, Inertia, Cluster Balance). Tuyệt đối không dùng lợi nhuận tương lai, Sharpe ratio, Sortino, ROI hoặc bất kỳ chỉ số danh mục đầu tư nào (thuộc Milestone M3).</w:t>
      </w:r>
    </w:p>
    <w:p>
      <w:r>
        <w:rPr>
          <w:color w:val="B4B4B4"/>
        </w:rPr>
        <w:t>____________________________________________________</w:t>
      </w:r>
    </w:p>
    <w:p>
      <w:pPr>
        <w:pStyle w:val="Heading2"/>
      </w:pPr>
      <w:r>
        <w:t>2. Kết quả tổng quan thực thi trên 60 Snapshots Development (Dữ liệu Đã Vá Bù)</w:t>
      </w:r>
    </w:p>
    <w:p>
      <w:pPr>
        <w:pStyle w:val="ListBullet"/>
      </w:pPr>
      <w:r>
        <w:t>Số snapshot hoàn thành: 60 / 60 snapshot (100% đạt ngưỡng, 0 snapshot bị bỏ qua).</w:t>
      </w:r>
    </w:p>
    <w:p>
      <w:pPr>
        <w:pStyle w:val="ListBullet"/>
      </w:pPr>
      <w:r>
        <w:t>Số lượng cổ phiếu hợp lệ: Dao động từ 503 mã (tháng 11/2020) đến 1,134 mã (tháng 12/2023), trung bình đạt 760.77 mã / tháng.</w:t>
      </w:r>
    </w:p>
    <w:p>
      <w:pPr>
        <w:pStyle w:val="ListBullet"/>
      </w:pPr>
      <w:r>
        <w:t>Tổng số lượt gán nhãn cụm (Assignments): 45,646 bản ghi (tăng hơn 15,700 bản ghi so với bản chạy trước khi vá dữ liệu).</w:t>
      </w:r>
    </w:p>
    <w:p>
      <w:pPr>
        <w:pStyle w:val="ListBullet"/>
      </w:pPr>
      <w:r>
        <w:t>Tham số thuật toán K-Means: seed = 42, n_init = 10, max_iter = 300.</w:t>
      </w:r>
    </w:p>
    <w:p>
      <w:r>
        <w:rPr>
          <w:color w:val="B4B4B4"/>
        </w:rPr>
        <w:t>____________________________________________________</w:t>
      </w:r>
    </w:p>
    <w:p>
      <w:pPr>
        <w:pStyle w:val="Heading2"/>
      </w:pPr>
      <w:r>
        <w:t>3. Chỉ số chất lượng cụm (Quality Metrics)</w:t>
      </w:r>
    </w:p>
    <w:p>
      <w:r>
        <w:t>Bảng tổng hợp các chỉ số chất lượng cụm K-Means Baseline (K = 2) qua 60 snapshot development (trích xuất từ M2/artifacts/m2-task4-kmeans-baseline-v1/metrics.csv và manifest.json):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Chỉ số chất lượng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Giá trị Nhỏ nhất (Min)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Giá trị Trung vị (Median)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Giá trị Lớn nhất (Max)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Ngưỡng chuẩn đánh giá</w:t>
            </w:r>
          </w:p>
        </w:tc>
        <w:tc>
          <w:tcPr>
            <w:tcW w:type="dxa" w:w="1440"/>
          </w:tcPr>
          <w:p>
            <w:r>
              <w:rPr>
                <w:b/>
              </w:rPr>
              <w:t>Đánh giá học thuật</w:t>
            </w:r>
          </w:p>
        </w:tc>
      </w:tr>
      <w:tr>
        <w:tc>
          <w:tcPr>
            <w:tcW w:type="dxa" w:w="1440"/>
          </w:tcPr>
          <w:p>
            <w:r>
              <w:t>Silhouette Score</w:t>
            </w:r>
          </w:p>
        </w:tc>
        <w:tc>
          <w:tcPr>
            <w:tcW w:type="dxa" w:w="1440"/>
          </w:tcPr>
          <w:p>
            <w:r>
              <w:t>0.8174</w:t>
            </w:r>
          </w:p>
        </w:tc>
        <w:tc>
          <w:tcPr>
            <w:tcW w:type="dxa" w:w="1440"/>
          </w:tcPr>
          <w:p>
            <w:r>
              <w:t>0.9408</w:t>
            </w:r>
          </w:p>
        </w:tc>
        <w:tc>
          <w:tcPr>
            <w:tcW w:type="dxa" w:w="1440"/>
          </w:tcPr>
          <w:p>
            <w:r>
              <w:t>0.9782</w:t>
            </w:r>
          </w:p>
        </w:tc>
        <w:tc>
          <w:tcPr>
            <w:tcW w:type="dxa" w:w="1440"/>
          </w:tcPr>
          <w:p>
            <w:r>
              <w:t>&gt; 0.50</w:t>
            </w:r>
          </w:p>
        </w:tc>
        <w:tc>
          <w:tcPr>
            <w:tcW w:type="dxa" w:w="1440"/>
          </w:tcPr>
          <w:p>
            <w:r>
              <w:t>Cực kỳ xuất sắc; ranh giới phân tách giữa 2 cụm rất rõ nét</w:t>
            </w:r>
          </w:p>
        </w:tc>
      </w:tr>
      <w:tr>
        <w:tc>
          <w:tcPr>
            <w:tcW w:type="dxa" w:w="1440"/>
          </w:tcPr>
          <w:p>
            <w:r>
              <w:t>Davies-Bouldin Index</w:t>
            </w:r>
          </w:p>
        </w:tc>
        <w:tc>
          <w:tcPr>
            <w:tcW w:type="dxa" w:w="1440"/>
          </w:tcPr>
          <w:p>
            <w:r>
              <w:t>0.0898</w:t>
            </w:r>
          </w:p>
        </w:tc>
        <w:tc>
          <w:tcPr>
            <w:tcW w:type="dxa" w:w="1440"/>
          </w:tcPr>
          <w:p>
            <w:r>
              <w:t>0.3992</w:t>
            </w:r>
          </w:p>
        </w:tc>
        <w:tc>
          <w:tcPr>
            <w:tcW w:type="dxa" w:w="1440"/>
          </w:tcPr>
          <w:p>
            <w:r>
              <w:t>0.5846</w:t>
            </w:r>
          </w:p>
        </w:tc>
        <w:tc>
          <w:tcPr>
            <w:tcW w:type="dxa" w:w="1440"/>
          </w:tcPr>
          <w:p>
            <w:r>
              <w:t>&lt; 0.65</w:t>
            </w:r>
          </w:p>
        </w:tc>
        <w:tc>
          <w:tcPr>
            <w:tcW w:type="dxa" w:w="1440"/>
          </w:tcPr>
          <w:p>
            <w:r>
              <w:t>Tối ưu; cụm có độ cô đặc nội bộ cao và khoảng cách tâm lớn</w:t>
            </w:r>
          </w:p>
        </w:tc>
      </w:tr>
      <w:tr>
        <w:tc>
          <w:tcPr>
            <w:tcW w:type="dxa" w:w="1440"/>
          </w:tcPr>
          <w:p>
            <w:r>
              <w:t>Calinski-Harabasz Index</w:t>
            </w:r>
          </w:p>
        </w:tc>
        <w:tc>
          <w:tcPr>
            <w:tcW w:type="dxa" w:w="1440"/>
          </w:tcPr>
          <w:p>
            <w:r>
              <w:t>358.12</w:t>
            </w:r>
          </w:p>
        </w:tc>
        <w:tc>
          <w:tcPr>
            <w:tcW w:type="dxa" w:w="1440"/>
          </w:tcPr>
          <w:p>
            <w:r>
              <w:t>1586.37</w:t>
            </w:r>
          </w:p>
        </w:tc>
        <w:tc>
          <w:tcPr>
            <w:tcW w:type="dxa" w:w="1440"/>
          </w:tcPr>
          <w:p>
            <w:r>
              <w:t>4512.80</w:t>
            </w:r>
          </w:p>
        </w:tc>
        <w:tc>
          <w:tcPr>
            <w:tcW w:type="dxa" w:w="1440"/>
          </w:tcPr>
          <w:p>
            <w:r>
              <w:t>Càng cao càng tốt</w:t>
            </w:r>
          </w:p>
        </w:tc>
        <w:tc>
          <w:tcPr>
            <w:tcW w:type="dxa" w:w="1440"/>
          </w:tcPr>
          <w:p>
            <w:r>
              <w:t>Phương sai liên cụm tăng vọt, phân tách rõ nét</w:t>
            </w:r>
          </w:p>
        </w:tc>
      </w:tr>
      <w:tr>
        <w:tc>
          <w:tcPr>
            <w:tcW w:type="dxa" w:w="1440"/>
          </w:tcPr>
          <w:p>
            <w:r>
              <w:t>Inertia</w:t>
            </w:r>
          </w:p>
        </w:tc>
        <w:tc>
          <w:tcPr>
            <w:tcW w:type="dxa" w:w="1440"/>
          </w:tcPr>
          <w:p>
            <w:r>
              <w:t>4,210.50</w:t>
            </w:r>
          </w:p>
        </w:tc>
        <w:tc>
          <w:tcPr>
            <w:tcW w:type="dxa" w:w="1440"/>
          </w:tcPr>
          <w:p>
            <w:r>
              <w:t>120,531.06</w:t>
            </w:r>
          </w:p>
        </w:tc>
        <w:tc>
          <w:tcPr>
            <w:tcW w:type="dxa" w:w="1440"/>
          </w:tcPr>
          <w:p>
            <w:r>
              <w:t>6,812,410.15</w:t>
            </w:r>
          </w:p>
        </w:tc>
        <w:tc>
          <w:tcPr>
            <w:tcW w:type="dxa" w:w="1440"/>
          </w:tcPr>
          <w:p>
            <w:r>
              <w:t>Tham chiếu quy mô</w:t>
            </w:r>
          </w:p>
        </w:tc>
        <w:tc>
          <w:tcPr>
            <w:tcW w:type="dxa" w:w="1440"/>
          </w:tcPr>
          <w:p>
            <w:r>
              <w:t>Hội tụ ổn định qua 60 tháng</w:t>
            </w:r>
          </w:p>
        </w:tc>
      </w:tr>
      <w:tr>
        <w:tc>
          <w:tcPr>
            <w:tcW w:type="dxa" w:w="1440"/>
          </w:tcPr>
          <w:p>
            <w:r>
              <w:t>Cluster Balance</w:t>
            </w:r>
          </w:p>
        </w:tc>
        <w:tc>
          <w:tcPr>
            <w:tcW w:type="dxa" w:w="1440"/>
          </w:tcPr>
          <w:p>
            <w:r>
              <w:t>0.0033</w:t>
            </w:r>
          </w:p>
        </w:tc>
        <w:tc>
          <w:tcPr>
            <w:tcW w:type="dxa" w:w="1440"/>
          </w:tcPr>
          <w:p>
            <w:r>
              <w:t>0.0207</w:t>
            </w:r>
          </w:p>
        </w:tc>
        <w:tc>
          <w:tcPr>
            <w:tcW w:type="dxa" w:w="1440"/>
          </w:tcPr>
          <w:p>
            <w:r>
              <w:t>0.0528</w:t>
            </w:r>
          </w:p>
        </w:tc>
        <w:tc>
          <w:tcPr>
            <w:tcW w:type="dxa" w:w="1440"/>
          </w:tcPr>
          <w:p>
            <w:r>
              <w:t>Tỷ lệ quy mô</w:t>
            </w:r>
          </w:p>
        </w:tc>
        <w:tc>
          <w:tcPr>
            <w:tcW w:type="dxa" w:w="1440"/>
          </w:tcPr>
          <w:p>
            <w:r>
              <w:t>Tương ứng cấu trúc 1 cụm thiểu số tinh hoa (~15 mã) và 1 cụm đa số (~746 mã)</w:t>
            </w:r>
          </w:p>
        </w:tc>
      </w:tr>
    </w:tbl>
    <w:p>
      <w:r>
        <w:rPr>
          <w:color w:val="B4B4B4"/>
        </w:rPr>
        <w:t>____________________________________________________</w:t>
      </w:r>
    </w:p>
    <w:p>
      <w:pPr>
        <w:pStyle w:val="Heading2"/>
      </w:pPr>
      <w:r>
        <w:t>4. Hồ sơ kinh tế và Đặc trưng đại diện 2 Cụm (Cluster Profiling)</w:t>
      </w:r>
    </w:p>
    <w:p>
      <w:r>
        <w:t>Sau khi căn chỉnh chuỗi thời gian để triệt tiêu hiện tượng đảo nhãn (Label Switching), các đặc trưng bình quân của 2 cụm thể hiện rõ nét bản chất dòng tiền thị trường: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Đặc trưng phân tích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Toàn thị trường (Bình quân)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Cụm 0 (Thiểu số - Thanh khoản cao)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Cụm 1 (Đa số - Thị trường đại trà)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 sánh tương quan giữa 2 cụm</w:t>
            </w:r>
          </w:p>
        </w:tc>
      </w:tr>
      <w:tr>
        <w:tc>
          <w:tcPr>
            <w:tcW w:type="dxa" w:w="1728"/>
          </w:tcPr>
          <w:p>
            <w:r>
              <w:t>Quy mô bình quân (size)</w:t>
            </w:r>
          </w:p>
        </w:tc>
        <w:tc>
          <w:tcPr>
            <w:tcW w:type="dxa" w:w="1728"/>
          </w:tcPr>
          <w:p>
            <w:r>
              <w:t>760.77 mã</w:t>
            </w:r>
          </w:p>
        </w:tc>
        <w:tc>
          <w:tcPr>
            <w:tcW w:type="dxa" w:w="1728"/>
          </w:tcPr>
          <w:p>
            <w:r>
              <w:t>14.93 mã (2.0%)</w:t>
            </w:r>
          </w:p>
        </w:tc>
        <w:tc>
          <w:tcPr>
            <w:tcW w:type="dxa" w:w="1728"/>
          </w:tcPr>
          <w:p>
            <w:r>
              <w:t>745.83 mã (98.0%)</w:t>
            </w:r>
          </w:p>
        </w:tc>
        <w:tc>
          <w:tcPr>
            <w:tcW w:type="dxa" w:w="1728"/>
          </w:tcPr>
          <w:p>
            <w:r>
              <w:t>Cụm 0 là nhóm cổ phiếu hạt nhân, Cụm 1 đại diện số đông</w:t>
            </w:r>
          </w:p>
        </w:tc>
      </w:tr>
      <w:tr>
        <w:tc>
          <w:tcPr>
            <w:tcW w:type="dxa" w:w="1728"/>
          </w:tcPr>
          <w:p>
            <w:r>
              <w:t>Thanh khoản (liquidity_21)</w:t>
            </w:r>
          </w:p>
        </w:tc>
        <w:tc>
          <w:tcPr>
            <w:tcW w:type="dxa" w:w="1728"/>
          </w:tcPr>
          <w:p>
            <w:r>
              <w:t>~12.0 tỷ VND</w:t>
            </w:r>
          </w:p>
        </w:tc>
        <w:tc>
          <w:tcPr>
            <w:tcW w:type="dxa" w:w="1728"/>
          </w:tcPr>
          <w:p>
            <w:r>
              <w:t>348.56 tỷ VND / phiên</w:t>
            </w:r>
          </w:p>
        </w:tc>
        <w:tc>
          <w:tcPr>
            <w:tcW w:type="dxa" w:w="1728"/>
          </w:tcPr>
          <w:p>
            <w:r>
              <w:t>5.26 tỷ VND / phiên</w:t>
            </w:r>
          </w:p>
        </w:tc>
        <w:tc>
          <w:tcPr>
            <w:tcW w:type="dxa" w:w="1728"/>
          </w:tcPr>
          <w:p>
            <w:r>
              <w:t>Cụm 0 gấp ~66 lần Cụm 1; dòng tiền tập trung cao độ</w:t>
            </w:r>
          </w:p>
        </w:tc>
      </w:tr>
      <w:tr>
        <w:tc>
          <w:tcPr>
            <w:tcW w:type="dxa" w:w="1728"/>
          </w:tcPr>
          <w:p>
            <w:r>
              <w:t>Hệ số Beta (beta_126)</w:t>
            </w:r>
          </w:p>
        </w:tc>
        <w:tc>
          <w:tcPr>
            <w:tcW w:type="dxa" w:w="1728"/>
          </w:tcPr>
          <w:p>
            <w:r>
              <w:t>0.37</w:t>
            </w:r>
          </w:p>
        </w:tc>
        <w:tc>
          <w:tcPr>
            <w:tcW w:type="dxa" w:w="1728"/>
          </w:tcPr>
          <w:p>
            <w:r>
              <w:t>1.2579</w:t>
            </w:r>
          </w:p>
        </w:tc>
        <w:tc>
          <w:tcPr>
            <w:tcW w:type="dxa" w:w="1728"/>
          </w:tcPr>
          <w:p>
            <w:r>
              <w:t>0.3493</w:t>
            </w:r>
          </w:p>
        </w:tc>
        <w:tc>
          <w:tcPr>
            <w:tcW w:type="dxa" w:w="1728"/>
          </w:tcPr>
          <w:p>
            <w:r>
              <w:t>Cụm 0 rất nhạy sóng VN-Index; nhóm dẫn dắt thị trường</w:t>
            </w:r>
          </w:p>
        </w:tc>
      </w:tr>
      <w:tr>
        <w:tc>
          <w:tcPr>
            <w:tcW w:type="dxa" w:w="1728"/>
          </w:tcPr>
          <w:p>
            <w:r>
              <w:t>Động lượng 1 tháng (mom_21)</w:t>
            </w:r>
          </w:p>
        </w:tc>
        <w:tc>
          <w:tcPr>
            <w:tcW w:type="dxa" w:w="1728"/>
          </w:tcPr>
          <w:p>
            <w:r>
              <w:t>+1.91%</w:t>
            </w:r>
          </w:p>
        </w:tc>
        <w:tc>
          <w:tcPr>
            <w:tcW w:type="dxa" w:w="1728"/>
          </w:tcPr>
          <w:p>
            <w:r>
              <w:t>+2.57%</w:t>
            </w:r>
          </w:p>
        </w:tc>
        <w:tc>
          <w:tcPr>
            <w:tcW w:type="dxa" w:w="1728"/>
          </w:tcPr>
          <w:p>
            <w:r>
              <w:t>+1.90%</w:t>
            </w:r>
          </w:p>
        </w:tc>
        <w:tc>
          <w:tcPr>
            <w:tcW w:type="dxa" w:w="1728"/>
          </w:tcPr>
          <w:p>
            <w:r>
              <w:t>Cụm 0 có đà tăng ngắn hạn tích cực</w:t>
            </w:r>
          </w:p>
        </w:tc>
      </w:tr>
      <w:tr>
        <w:tc>
          <w:tcPr>
            <w:tcW w:type="dxa" w:w="1728"/>
          </w:tcPr>
          <w:p>
            <w:r>
              <w:t>Động lượng 3 tháng (mom_63)</w:t>
            </w:r>
          </w:p>
        </w:tc>
        <w:tc>
          <w:tcPr>
            <w:tcW w:type="dxa" w:w="1728"/>
          </w:tcPr>
          <w:p>
            <w:r>
              <w:t>+6.03%</w:t>
            </w:r>
          </w:p>
        </w:tc>
        <w:tc>
          <w:tcPr>
            <w:tcW w:type="dxa" w:w="1728"/>
          </w:tcPr>
          <w:p>
            <w:r>
              <w:t>+10.76%</w:t>
            </w:r>
          </w:p>
        </w:tc>
        <w:tc>
          <w:tcPr>
            <w:tcW w:type="dxa" w:w="1728"/>
          </w:tcPr>
          <w:p>
            <w:r>
              <w:t>+5.93%</w:t>
            </w:r>
          </w:p>
        </w:tc>
        <w:tc>
          <w:tcPr>
            <w:tcW w:type="dxa" w:w="1728"/>
          </w:tcPr>
          <w:p>
            <w:r>
              <w:t>Cụm 0 tăng gấp gần 2 lần thị trường đại trà</w:t>
            </w:r>
          </w:p>
        </w:tc>
      </w:tr>
      <w:tr>
        <w:tc>
          <w:tcPr>
            <w:tcW w:type="dxa" w:w="1728"/>
          </w:tcPr>
          <w:p>
            <w:r>
              <w:t>Động lượng 6 tháng (mom_126)</w:t>
            </w:r>
          </w:p>
        </w:tc>
        <w:tc>
          <w:tcPr>
            <w:tcW w:type="dxa" w:w="1728"/>
          </w:tcPr>
          <w:p>
            <w:r>
              <w:t>+12.13%</w:t>
            </w:r>
          </w:p>
        </w:tc>
        <w:tc>
          <w:tcPr>
            <w:tcW w:type="dxa" w:w="1728"/>
          </w:tcPr>
          <w:p>
            <w:r>
              <w:t>+21.48%</w:t>
            </w:r>
          </w:p>
        </w:tc>
        <w:tc>
          <w:tcPr>
            <w:tcW w:type="dxa" w:w="1728"/>
          </w:tcPr>
          <w:p>
            <w:r>
              <w:t>+11.94%</w:t>
            </w:r>
          </w:p>
        </w:tc>
        <w:tc>
          <w:tcPr>
            <w:tcW w:type="dxa" w:w="1728"/>
          </w:tcPr>
          <w:p>
            <w:r>
              <w:t>Cụm 0 duy trì hiệu suất nửa năm áp đảo</w:t>
            </w:r>
          </w:p>
        </w:tc>
      </w:tr>
      <w:tr>
        <w:tc>
          <w:tcPr>
            <w:tcW w:type="dxa" w:w="1728"/>
          </w:tcPr>
          <w:p>
            <w:r>
              <w:t>Động lượng 12 tháng (mom_252)</w:t>
            </w:r>
          </w:p>
        </w:tc>
        <w:tc>
          <w:tcPr>
            <w:tcW w:type="dxa" w:w="1728"/>
          </w:tcPr>
          <w:p>
            <w:r>
              <w:t>+23.87%</w:t>
            </w:r>
          </w:p>
        </w:tc>
        <w:tc>
          <w:tcPr>
            <w:tcW w:type="dxa" w:w="1728"/>
          </w:tcPr>
          <w:p>
            <w:r>
              <w:t>+39.17%</w:t>
            </w:r>
          </w:p>
        </w:tc>
        <w:tc>
          <w:tcPr>
            <w:tcW w:type="dxa" w:w="1728"/>
          </w:tcPr>
          <w:p>
            <w:r>
              <w:t>+23.56%</w:t>
            </w:r>
          </w:p>
        </w:tc>
        <w:tc>
          <w:tcPr>
            <w:tcW w:type="dxa" w:w="1728"/>
          </w:tcPr>
          <w:p>
            <w:r>
              <w:t>Tăng trưởng 1 năm của Cụm 0 vượt trội rõ nét</w:t>
            </w:r>
          </w:p>
        </w:tc>
      </w:tr>
      <w:tr>
        <w:tc>
          <w:tcPr>
            <w:tcW w:type="dxa" w:w="1728"/>
          </w:tcPr>
          <w:p>
            <w:r>
              <w:t>Biến động 3 tháng (vol_63)</w:t>
            </w:r>
          </w:p>
        </w:tc>
        <w:tc>
          <w:tcPr>
            <w:tcW w:type="dxa" w:w="1728"/>
          </w:tcPr>
          <w:p>
            <w:r>
              <w:t>52.90%</w:t>
            </w:r>
          </w:p>
        </w:tc>
        <w:tc>
          <w:tcPr>
            <w:tcW w:type="dxa" w:w="1728"/>
          </w:tcPr>
          <w:p>
            <w:r>
              <w:t>39.02%</w:t>
            </w:r>
          </w:p>
        </w:tc>
        <w:tc>
          <w:tcPr>
            <w:tcW w:type="dxa" w:w="1728"/>
          </w:tcPr>
          <w:p>
            <w:r>
              <w:t>53.18%</w:t>
            </w:r>
          </w:p>
        </w:tc>
        <w:tc>
          <w:tcPr>
            <w:tcW w:type="dxa" w:w="1728"/>
          </w:tcPr>
          <w:p>
            <w:r>
              <w:t>Cụm 0 có độ biến động giá thấp và ổn định hơn hẳn</w:t>
            </w:r>
          </w:p>
        </w:tc>
      </w:tr>
      <w:tr>
        <w:tc>
          <w:tcPr>
            <w:tcW w:type="dxa" w:w="1728"/>
          </w:tcPr>
          <w:p>
            <w:r>
              <w:t>Sụt giảm cực đại (mdd_126)</w:t>
            </w:r>
          </w:p>
        </w:tc>
        <w:tc>
          <w:tcPr>
            <w:tcW w:type="dxa" w:w="1728"/>
          </w:tcPr>
          <w:p>
            <w:r>
              <w:t>-27.18%</w:t>
            </w:r>
          </w:p>
        </w:tc>
        <w:tc>
          <w:tcPr>
            <w:tcW w:type="dxa" w:w="1728"/>
          </w:tcPr>
          <w:p>
            <w:r>
              <w:t>-25.23%</w:t>
            </w:r>
          </w:p>
        </w:tc>
        <w:tc>
          <w:tcPr>
            <w:tcW w:type="dxa" w:w="1728"/>
          </w:tcPr>
          <w:p>
            <w:r>
              <w:t>-27.22%</w:t>
            </w:r>
          </w:p>
        </w:tc>
        <w:tc>
          <w:tcPr>
            <w:tcW w:type="dxa" w:w="1728"/>
          </w:tcPr>
          <w:p>
            <w:r>
              <w:t>Mức rút vốn tối đa của Cụm 0 được kiểm soát tốt hơn</w:t>
            </w:r>
          </w:p>
        </w:tc>
      </w:tr>
    </w:tbl>
    <w:p>
      <w:pPr>
        <w:pStyle w:val="Heading3"/>
      </w:pPr>
      <w:r>
        <w:t>Nhận định về sự cải thiện sau khi vá dữ liệu:</w:t>
      </w:r>
    </w:p>
    <w:p>
      <w:pPr>
        <w:pStyle w:val="ListNumber"/>
      </w:pPr>
      <w:r>
        <w:t>Khắc phục tình trạng khuyết sàn HOSE giai đoạn 2021:</w:t>
      </w:r>
    </w:p>
    <w:p>
      <w:pPr>
        <w:pStyle w:val="ListBullet"/>
      </w:pPr>
      <w:r>
        <w:t>Số snapshot có cụm dưới 5 mã đã giảm mạnh từ 11 snapshot xuống chỉ còn đúng 2 snapshot (2021-05-31 có 4 mã gồm CTG, HPG, STB, VPB và 2021-10-29 có 2 mã gồm HPG, TCB).</w:t>
      </w:r>
    </w:p>
    <w:p>
      <w:pPr>
        <w:pStyle w:val="ListBullet"/>
      </w:pPr>
      <w:r>
        <w:t>Cụm thiểu số giờ đây bao gồm đầy đủ các cổ phiếu Bluechips / VN30 đích thực (Hòa Phát, Techcombank, Vietinbank, Sacombank...), phản ánh chính xác dòng tiền thực của thị trường Việt Nam.</w:t>
      </w:r>
    </w:p>
    <w:p>
      <w:pPr>
        <w:pStyle w:val="ListNumber"/>
      </w:pPr>
      <w:r>
        <w:t>Đặc trưng ổn định và bền vững hơn:</w:t>
      </w:r>
    </w:p>
    <w:p>
      <w:pPr>
        <w:pStyle w:val="ListBullet"/>
      </w:pPr>
      <w:r>
        <w:t>Thanh khoản trung bình cụm dẫn dắt tăng từ 250 tỷ lên 348.56 tỷ VND/phiên.</w:t>
      </w:r>
    </w:p>
    <w:p>
      <w:pPr>
        <w:pStyle w:val="ListBullet"/>
      </w:pPr>
      <w:r>
        <w:t>Biến động rủi ro giảm xuống 39.02% (thấp hơn nhiều so với Cụm 1 là 53.18%), phản ánh đúng tính chất phòng thủ và ổn định của nhóm vốn hóa lớn.</w:t>
      </w:r>
    </w:p>
    <w:p>
      <w:r>
        <w:rPr>
          <w:color w:val="B4B4B4"/>
        </w:rPr>
        <w:t>____________________________________________________</w:t>
      </w:r>
    </w:p>
    <w:p>
      <w:pPr>
        <w:pStyle w:val="Heading2"/>
      </w:pPr>
      <w:r>
        <w:t>5. Kết luận và Danh mục Artifacts bàn giao</w:t>
      </w:r>
    </w:p>
    <w:p>
      <w:r>
        <w:t>Dữ liệu mới đã nâng cao chất lượng thực nghiệm của Nhiệm vụ 4 lên một tầm cao mới: quy mô mẫu lớn hơn (+52%), các chỉ số chất lượng cụm tăng lên (Median Silhouette = 0.9408, Calinski-Harabasz = 1586.37) và hiện tượng cụm suy biến được giải tỏa gần như hoàn toàn.</w:t>
      </w:r>
    </w:p>
    <w:p>
      <w:pPr>
        <w:pStyle w:val="Heading3"/>
      </w:pPr>
      <w:r>
        <w:t>Danh mục sản phẩm bàn giao:</w:t>
      </w:r>
    </w:p>
    <w:p>
      <w:pPr>
        <w:pStyle w:val="ListNumber"/>
      </w:pPr>
      <w:r>
        <w:t>60 file Model JSON: Lưu tại M2/models/kmeans/ (2019-01-31.json đến 2023-12-29.json).</w:t>
      </w:r>
    </w:p>
    <w:p>
      <w:pPr>
        <w:pStyle w:val="ListNumber"/>
      </w:pPr>
      <w:r>
        <w:t>Bộ Artifacts chuẩn hóa: Lưu tại M2/artifacts/m2-task4-kmeans-baseline-v1/:</w:t>
      </w:r>
    </w:p>
    <w:p>
      <w:pPr>
        <w:pStyle w:val="ListBullet"/>
      </w:pPr>
      <w:r>
        <w:t>assignments.jsonl &amp; assignments.csv: 45,646 bản ghi gán cụm qua 60 tháng.</w:t>
      </w:r>
    </w:p>
    <w:p>
      <w:pPr>
        <w:pStyle w:val="ListBullet"/>
      </w:pPr>
      <w:r>
        <w:t>profiles.jsonl &amp; cluster_profiles.csv: 120 bản ghi tâm cụm unscaled và thông số hồ sơ kinh tế.</w:t>
      </w:r>
    </w:p>
    <w:p>
      <w:pPr>
        <w:pStyle w:val="ListBullet"/>
      </w:pPr>
      <w:r>
        <w:t>diagnostics.jsonl, diagnostics.csv &amp; metrics.csv: 60 dòng chẩn đoán chất lượng cụm K=2 sẵn sàng cho Nhiệm vụ 7 và Nhiệm vụ 10.</w:t>
      </w:r>
    </w:p>
    <w:p>
      <w:pPr>
        <w:pStyle w:val="ListBullet"/>
      </w:pPr>
      <w:r>
        <w:t>validation.csv: Bảng kiểm định 60 snapshot hợp lệ.</w:t>
      </w:r>
    </w:p>
    <w:p>
      <w:pPr>
        <w:pStyle w:val="ListBullet"/>
      </w:pPr>
      <w:r>
        <w:t>manifest.json: Checksum xác thực toàn vẹn metadata (total_snapshots: 60, global_k: 2, total_assignments: 45646).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