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TỔNG HỢP 10 TÀI LIỆU NGHIÊN CỨU LIÊN QUAN</w:t>
        <w:br/>
      </w:r>
      <w:r>
        <w:rPr>
          <w:rFonts w:ascii="Times New Roman" w:hAnsi="Times New Roman"/>
          <w:b/>
          <w:sz w:val="30"/>
        </w:rPr>
        <w:t>Đề tài: KHUYẾN NGHỊ NGHỆ SĨ BẰNG LỌC CỘNG TÁC</w:t>
      </w:r>
    </w:p>
    <w:p>
      <w:pPr>
        <w:jc w:val="center"/>
      </w:pPr>
      <w:r>
        <w:rPr>
          <w:i/>
          <w:sz w:val="26"/>
        </w:rPr>
        <w:t xml:space="preserve">Phạm vi tài liệu 2025–2026     Ngày cập nhật 20/10/2026</w:t>
      </w:r>
    </w:p>
    <w:p>
      <w:pPr/>
      <w:r>
        <w:t xml:space="preserve">Tài liệu phục vụ tổng quan nghiên cứu và thiết kế đối chứng cho bài toán Top-K nghệ sĩ trên HetRec 2011 Last.fm 2K. Mười công trình gồm bốn bài năm 2026 và sáu bài năm 2025, ưu tiên nguồn Last.fm cùng hai hướng tái xếp hạng M1 và người dùng ít lịch sử M2. Bài [2] gần nhất với M1; [5] và [8] gần dữ liệu và hướng kết hợp; [9] gần mô hình SVD. Bài [3] dùng dữ liệu khác nhưng giải quyết đúng vấn đề hiệu chỉnh mức phổ biến.</w:t>
      </w:r>
    </w:p>
    <w:p>
      <w:pPr/>
      <w:r>
        <w:t xml:space="preserve">Chín công trình có dùng hoặc dẫn nguồn Last.fm/HetRec; mức lọc và protocol không giống nhau. Phần phương pháp, dữ liệu và kết quả mô tả bài gốc; phần ưu điểm, hạn chế, liên quan và vận dụng là nhận xét phục vụ khóa luận. Các điểm số là kết quả tác giả công bố, chưa phải kết quả nhóm đã tái lập. Hiện dự án mới kiểm tra nguồn và EDA, chưa có cơ sở kết luận tốt hơn các công trình này.</w:t>
      </w:r>
    </w:p>
    <w:p>
      <w:pPr>
        <w:pStyle w:val="Heading1"/>
      </w:pPr>
      <w:r>
        <w:t xml:space="preserve">1 Bảng tổng hợp nhanh</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cantSplit/>
          <w:tblHeader/>
        </w:trPr>
        <w:tc>
          <w:tcPr>
            <w:tcW w:type="dxa" w:w="1615"/>
            <w:vAlign w:val="center"/>
          </w:tcPr>
          <w:p>
            <w:pPr>
              <w:jc w:val="center"/>
            </w:pPr>
            <w:r>
              <w:rPr>
                <w:rFonts w:ascii="Times New Roman" w:hAnsi="Times New Roman"/>
                <w:b/>
                <w:sz w:val="22"/>
              </w:rPr>
              <w:t xml:space="preserve">STT</w:t>
            </w:r>
          </w:p>
        </w:tc>
        <w:tc>
          <w:tcPr>
            <w:tcW w:type="dxa" w:w="1615"/>
            <w:vAlign w:val="center"/>
          </w:tcPr>
          <w:p>
            <w:pPr>
              <w:jc w:val="center"/>
            </w:pPr>
            <w:r>
              <w:rPr>
                <w:rFonts w:ascii="Times New Roman" w:hAnsi="Times New Roman"/>
                <w:b/>
                <w:sz w:val="22"/>
              </w:rPr>
              <w:t xml:space="preserve">Tác giả</w:t>
            </w:r>
          </w:p>
        </w:tc>
        <w:tc>
          <w:tcPr>
            <w:tcW w:type="dxa" w:w="1615"/>
            <w:vAlign w:val="center"/>
          </w:tcPr>
          <w:p>
            <w:pPr>
              <w:jc w:val="center"/>
            </w:pPr>
            <w:r>
              <w:rPr>
                <w:rFonts w:ascii="Times New Roman" w:hAnsi="Times New Roman"/>
                <w:b/>
                <w:sz w:val="22"/>
              </w:rPr>
              <w:t xml:space="preserve">Năm</w:t>
            </w:r>
          </w:p>
        </w:tc>
        <w:tc>
          <w:tcPr>
            <w:tcW w:type="dxa" w:w="1615"/>
            <w:vAlign w:val="center"/>
          </w:tcPr>
          <w:p>
            <w:pPr>
              <w:jc w:val="center"/>
            </w:pPr>
            <w:r>
              <w:rPr>
                <w:rFonts w:ascii="Times New Roman" w:hAnsi="Times New Roman"/>
                <w:b/>
                <w:sz w:val="22"/>
              </w:rPr>
              <w:t xml:space="preserve">Phương pháp</w:t>
            </w:r>
          </w:p>
        </w:tc>
        <w:tc>
          <w:tcPr>
            <w:tcW w:type="dxa" w:w="1615"/>
            <w:vAlign w:val="center"/>
          </w:tcPr>
          <w:p>
            <w:pPr>
              <w:jc w:val="center"/>
            </w:pPr>
            <w:r>
              <w:rPr>
                <w:rFonts w:ascii="Times New Roman" w:hAnsi="Times New Roman"/>
                <w:b/>
                <w:sz w:val="22"/>
              </w:rPr>
              <w:t xml:space="preserve">Bộ dữ liệu</w:t>
            </w:r>
          </w:p>
        </w:tc>
        <w:tc>
          <w:tcPr>
            <w:tcW w:type="dxa" w:w="1615"/>
            <w:vAlign w:val="center"/>
          </w:tcPr>
          <w:p>
            <w:pPr>
              <w:jc w:val="center"/>
            </w:pPr>
            <w:r>
              <w:rPr>
                <w:rFonts w:ascii="Times New Roman" w:hAnsi="Times New Roman"/>
                <w:b/>
                <w:sz w:val="22"/>
              </w:rPr>
              <w:t xml:space="preserve">Kết quả chính</w:t>
            </w:r>
          </w:p>
        </w:tc>
      </w:tr>
      <w:tr>
        <w:trPr>
          <w:cantSplit/>
        </w:trPr>
        <w:tc>
          <w:tcPr>
            <w:tcW w:type="dxa" w:w="1615"/>
            <w:vAlign w:val="center"/>
          </w:tcPr>
          <w:p>
            <w:pPr>
              <w:jc w:val="center"/>
            </w:pPr>
            <w:r>
              <w:rPr>
                <w:rFonts w:ascii="Times New Roman" w:hAnsi="Times New Roman"/>
                <w:sz w:val="21"/>
              </w:rPr>
              <w:t xml:space="preserve">1</w:t>
            </w:r>
          </w:p>
        </w:tc>
        <w:tc>
          <w:tcPr>
            <w:tcW w:type="dxa" w:w="1615"/>
            <w:vAlign w:val="center"/>
          </w:tcPr>
          <w:p>
            <w:pPr>
              <w:jc w:val="left"/>
            </w:pPr>
            <w:r>
              <w:rPr>
                <w:rFonts w:ascii="Times New Roman" w:hAnsi="Times New Roman"/>
                <w:sz w:val="21"/>
              </w:rPr>
              <w:t xml:space="preserve">Niu et al.</w:t>
            </w:r>
          </w:p>
        </w:tc>
        <w:tc>
          <w:tcPr>
            <w:tcW w:type="dxa" w:w="1615"/>
            <w:vAlign w:val="center"/>
          </w:tcPr>
          <w:p>
            <w:pPr>
              <w:jc w:val="center"/>
            </w:pPr>
            <w:r>
              <w:rPr>
                <w:rFonts w:ascii="Times New Roman" w:hAnsi="Times New Roman"/>
                <w:sz w:val="21"/>
              </w:rPr>
              <w:t xml:space="preserve">2026</w:t>
            </w:r>
          </w:p>
        </w:tc>
        <w:tc>
          <w:tcPr>
            <w:tcW w:type="dxa" w:w="1615"/>
            <w:vAlign w:val="center"/>
          </w:tcPr>
          <w:p>
            <w:pPr>
              <w:jc w:val="left"/>
            </w:pPr>
            <w:r>
              <w:rPr>
                <w:rFonts w:ascii="Times New Roman" w:hAnsi="Times New Roman"/>
                <w:sz w:val="21"/>
              </w:rPr>
              <w:t xml:space="preserve">Hypergraph và đồ thị tri thức</w:t>
            </w:r>
          </w:p>
        </w:tc>
        <w:tc>
          <w:tcPr>
            <w:tcW w:type="dxa" w:w="1615"/>
            <w:vAlign w:val="center"/>
          </w:tcPr>
          <w:p>
            <w:pPr>
              <w:jc w:val="left"/>
            </w:pPr>
            <w:r>
              <w:rPr>
                <w:rFonts w:ascii="Times New Roman" w:hAnsi="Times New Roman"/>
                <w:sz w:val="21"/>
              </w:rPr>
              <w:t xml:space="preserve">HetRec đã lọc</w:t>
            </w:r>
            <w:r>
              <w:br/>
            </w:r>
            <w:r>
              <w:rPr>
                <w:rFonts w:ascii="Times New Roman" w:hAnsi="Times New Roman"/>
                <w:sz w:val="21"/>
              </w:rPr>
              <w:t xml:space="preserve">1.265 user</w:t>
            </w:r>
            <w:r>
              <w:br/>
            </w:r>
            <w:r>
              <w:rPr>
                <w:rFonts w:ascii="Times New Roman" w:hAnsi="Times New Roman"/>
                <w:sz w:val="21"/>
              </w:rPr>
              <w:t xml:space="preserve">606 artist</w:t>
            </w:r>
          </w:p>
        </w:tc>
        <w:tc>
          <w:tcPr>
            <w:tcW w:type="dxa" w:w="1615"/>
            <w:vAlign w:val="center"/>
          </w:tcPr>
          <w:p>
            <w:pPr>
              <w:jc w:val="left"/>
            </w:pPr>
            <w:r>
              <w:rPr>
                <w:rFonts w:ascii="Times New Roman" w:hAnsi="Times New Roman"/>
                <w:sz w:val="21"/>
              </w:rPr>
              <w:t xml:space="preserve">Recall@10 0,4665</w:t>
            </w:r>
            <w:r>
              <w:br/>
            </w:r>
            <w:r>
              <w:rPr>
                <w:rFonts w:ascii="Times New Roman" w:hAnsi="Times New Roman"/>
                <w:sz w:val="21"/>
              </w:rPr>
              <w:t xml:space="preserve">100 ứng viên</w:t>
            </w:r>
          </w:p>
        </w:tc>
      </w:tr>
      <w:tr>
        <w:trPr>
          <w:cantSplit/>
        </w:trPr>
        <w:tc>
          <w:tcPr>
            <w:tcW w:type="dxa" w:w="1615"/>
            <w:vAlign w:val="center"/>
          </w:tcPr>
          <w:p>
            <w:pPr>
              <w:jc w:val="center"/>
            </w:pPr>
            <w:r>
              <w:rPr>
                <w:rFonts w:ascii="Times New Roman" w:hAnsi="Times New Roman"/>
                <w:sz w:val="21"/>
              </w:rPr>
              <w:t xml:space="preserve">2</w:t>
            </w:r>
          </w:p>
        </w:tc>
        <w:tc>
          <w:tcPr>
            <w:tcW w:type="dxa" w:w="1615"/>
            <w:vAlign w:val="center"/>
          </w:tcPr>
          <w:p>
            <w:pPr>
              <w:jc w:val="left"/>
            </w:pPr>
            <w:r>
              <w:rPr>
                <w:rFonts w:ascii="Times New Roman" w:hAnsi="Times New Roman"/>
                <w:sz w:val="21"/>
              </w:rPr>
              <w:t xml:space="preserve">Sheikhi Darani và Hosseini</w:t>
            </w:r>
          </w:p>
        </w:tc>
        <w:tc>
          <w:tcPr>
            <w:tcW w:type="dxa" w:w="1615"/>
            <w:vAlign w:val="center"/>
          </w:tcPr>
          <w:p>
            <w:pPr>
              <w:jc w:val="center"/>
            </w:pPr>
            <w:r>
              <w:rPr>
                <w:rFonts w:ascii="Times New Roman" w:hAnsi="Times New Roman"/>
                <w:sz w:val="21"/>
              </w:rPr>
              <w:t xml:space="preserve">2026</w:t>
            </w:r>
          </w:p>
        </w:tc>
        <w:tc>
          <w:tcPr>
            <w:tcW w:type="dxa" w:w="1615"/>
            <w:vAlign w:val="center"/>
          </w:tcPr>
          <w:p>
            <w:pPr>
              <w:jc w:val="left"/>
            </w:pPr>
            <w:r>
              <w:rPr>
                <w:rFonts w:ascii="Times New Roman" w:hAnsi="Times New Roman"/>
                <w:sz w:val="21"/>
              </w:rPr>
              <w:t xml:space="preserve">Tái xếp hạng độ mới cá nhân</w:t>
            </w:r>
          </w:p>
        </w:tc>
        <w:tc>
          <w:tcPr>
            <w:tcW w:type="dxa" w:w="1615"/>
            <w:vAlign w:val="center"/>
          </w:tcPr>
          <w:p>
            <w:pPr>
              <w:jc w:val="left"/>
            </w:pPr>
            <w:r>
              <w:rPr>
                <w:rFonts w:ascii="Times New Roman" w:hAnsi="Times New Roman"/>
                <w:sz w:val="21"/>
              </w:rPr>
              <w:t xml:space="preserve">HetRec LastFM</w:t>
            </w:r>
            <w:r>
              <w:br/>
            </w:r>
            <w:r>
              <w:rPr>
                <w:rFonts w:ascii="Times New Roman" w:hAnsi="Times New Roman"/>
                <w:sz w:val="21"/>
              </w:rPr>
              <w:t xml:space="preserve">1.892 user</w:t>
            </w:r>
            <w:r>
              <w:br/>
            </w:r>
            <w:r>
              <w:rPr>
                <w:rFonts w:ascii="Times New Roman" w:hAnsi="Times New Roman"/>
                <w:sz w:val="21"/>
              </w:rPr>
              <w:t xml:space="preserve">17.632 artist</w:t>
            </w:r>
          </w:p>
        </w:tc>
        <w:tc>
          <w:tcPr>
            <w:tcW w:type="dxa" w:w="1615"/>
            <w:vAlign w:val="center"/>
          </w:tcPr>
          <w:p>
            <w:pPr>
              <w:jc w:val="left"/>
            </w:pPr>
            <w:r>
              <w:rPr>
                <w:rFonts w:ascii="Times New Roman" w:hAnsi="Times New Roman"/>
                <w:sz w:val="21"/>
              </w:rPr>
              <w:t xml:space="preserve">NDCG@10 0,398</w:t>
            </w:r>
            <w:r>
              <w:br/>
            </w:r>
            <w:r>
              <w:rPr>
                <w:rFonts w:ascii="Times New Roman" w:hAnsi="Times New Roman"/>
                <w:sz w:val="21"/>
              </w:rPr>
              <w:t xml:space="preserve">ILD 0,315</w:t>
            </w:r>
          </w:p>
        </w:tc>
      </w:tr>
      <w:tr>
        <w:trPr>
          <w:cantSplit/>
        </w:trPr>
        <w:tc>
          <w:tcPr>
            <w:tcW w:type="dxa" w:w="1615"/>
            <w:vAlign w:val="center"/>
          </w:tcPr>
          <w:p>
            <w:pPr>
              <w:jc w:val="center"/>
            </w:pPr>
            <w:r>
              <w:rPr>
                <w:rFonts w:ascii="Times New Roman" w:hAnsi="Times New Roman"/>
                <w:sz w:val="21"/>
              </w:rPr>
              <w:t xml:space="preserve">3</w:t>
            </w:r>
          </w:p>
        </w:tc>
        <w:tc>
          <w:tcPr>
            <w:tcW w:type="dxa" w:w="1615"/>
            <w:vAlign w:val="center"/>
          </w:tcPr>
          <w:p>
            <w:pPr>
              <w:jc w:val="left"/>
            </w:pPr>
            <w:r>
              <w:rPr>
                <w:rFonts w:ascii="Times New Roman" w:hAnsi="Times New Roman"/>
                <w:sz w:val="21"/>
              </w:rPr>
              <w:t xml:space="preserve">Schirmer et al.</w:t>
            </w:r>
          </w:p>
        </w:tc>
        <w:tc>
          <w:tcPr>
            <w:tcW w:type="dxa" w:w="1615"/>
            <w:vAlign w:val="center"/>
          </w:tcPr>
          <w:p>
            <w:pPr>
              <w:jc w:val="center"/>
            </w:pPr>
            <w:r>
              <w:rPr>
                <w:rFonts w:ascii="Times New Roman" w:hAnsi="Times New Roman"/>
                <w:sz w:val="21"/>
              </w:rPr>
              <w:t xml:space="preserve">2026</w:t>
            </w:r>
          </w:p>
        </w:tc>
        <w:tc>
          <w:tcPr>
            <w:tcW w:type="dxa" w:w="1615"/>
            <w:vAlign w:val="center"/>
          </w:tcPr>
          <w:p>
            <w:pPr>
              <w:jc w:val="left"/>
            </w:pPr>
            <w:r>
              <w:rPr>
                <w:rFonts w:ascii="Times New Roman" w:hAnsi="Times New Roman"/>
                <w:sz w:val="21"/>
              </w:rPr>
              <w:t xml:space="preserve">SPREE và hiệu chỉnh mức phổ biến</w:t>
            </w:r>
          </w:p>
        </w:tc>
        <w:tc>
          <w:tcPr>
            <w:tcW w:type="dxa" w:w="1615"/>
            <w:vAlign w:val="center"/>
          </w:tcPr>
          <w:p>
            <w:pPr>
              <w:jc w:val="left"/>
            </w:pPr>
            <w:r>
              <w:rPr>
                <w:rFonts w:ascii="Times New Roman" w:hAnsi="Times New Roman"/>
                <w:sz w:val="21"/>
              </w:rPr>
              <w:t xml:space="preserve">MovieLens</w:t>
            </w:r>
            <w:r>
              <w:br/>
            </w:r>
            <w:r>
              <w:rPr>
                <w:rFonts w:ascii="Times New Roman" w:hAnsi="Times New Roman"/>
                <w:sz w:val="21"/>
              </w:rPr>
              <w:t xml:space="preserve">Foursquare</w:t>
            </w:r>
            <w:r>
              <w:br/>
            </w:r>
            <w:r>
              <w:rPr>
                <w:rFonts w:ascii="Times New Roman" w:hAnsi="Times New Roman"/>
                <w:sz w:val="21"/>
              </w:rPr>
              <w:t xml:space="preserve">RateBeer</w:t>
            </w:r>
          </w:p>
        </w:tc>
        <w:tc>
          <w:tcPr>
            <w:tcW w:type="dxa" w:w="1615"/>
            <w:vAlign w:val="center"/>
          </w:tcPr>
          <w:p>
            <w:pPr>
              <w:jc w:val="left"/>
            </w:pPr>
            <w:r>
              <w:rPr>
                <w:rFonts w:ascii="Times New Roman" w:hAnsi="Times New Roman"/>
                <w:sz w:val="21"/>
              </w:rPr>
              <w:t xml:space="preserve">PCE@100 trên ML1M</w:t>
            </w:r>
            <w:r>
              <w:br/>
            </w:r>
            <w:r>
              <w:rPr>
                <w:rFonts w:ascii="Times New Roman" w:hAnsi="Times New Roman"/>
                <w:sz w:val="21"/>
              </w:rPr>
              <w:t xml:space="preserve">0,211 → 0,176</w:t>
            </w:r>
          </w:p>
        </w:tc>
      </w:tr>
      <w:tr>
        <w:trPr>
          <w:cantSplit/>
        </w:trPr>
        <w:tc>
          <w:tcPr>
            <w:tcW w:type="dxa" w:w="1615"/>
            <w:vAlign w:val="center"/>
          </w:tcPr>
          <w:p>
            <w:pPr>
              <w:jc w:val="center"/>
            </w:pPr>
            <w:r>
              <w:rPr>
                <w:rFonts w:ascii="Times New Roman" w:hAnsi="Times New Roman"/>
                <w:sz w:val="21"/>
              </w:rPr>
              <w:t xml:space="preserve">4</w:t>
            </w:r>
          </w:p>
        </w:tc>
        <w:tc>
          <w:tcPr>
            <w:tcW w:type="dxa" w:w="1615"/>
            <w:vAlign w:val="center"/>
          </w:tcPr>
          <w:p>
            <w:pPr>
              <w:jc w:val="left"/>
            </w:pPr>
            <w:r>
              <w:rPr>
                <w:rFonts w:ascii="Times New Roman" w:hAnsi="Times New Roman"/>
                <w:sz w:val="21"/>
              </w:rPr>
              <w:t xml:space="preserve">Samir et al.</w:t>
            </w:r>
          </w:p>
        </w:tc>
        <w:tc>
          <w:tcPr>
            <w:tcW w:type="dxa" w:w="1615"/>
            <w:vAlign w:val="center"/>
          </w:tcPr>
          <w:p>
            <w:pPr>
              <w:jc w:val="center"/>
            </w:pPr>
            <w:r>
              <w:rPr>
                <w:rFonts w:ascii="Times New Roman" w:hAnsi="Times New Roman"/>
                <w:sz w:val="21"/>
              </w:rPr>
              <w:t xml:space="preserve">2026</w:t>
            </w:r>
          </w:p>
        </w:tc>
        <w:tc>
          <w:tcPr>
            <w:tcW w:type="dxa" w:w="1615"/>
            <w:vAlign w:val="center"/>
          </w:tcPr>
          <w:p>
            <w:pPr>
              <w:jc w:val="left"/>
            </w:pPr>
            <w:r>
              <w:rPr>
                <w:rFonts w:ascii="Times New Roman" w:hAnsi="Times New Roman"/>
                <w:sz w:val="21"/>
              </w:rPr>
              <w:t xml:space="preserve">Phân cụm bất định kết hợp ItemCF</w:t>
            </w:r>
          </w:p>
        </w:tc>
        <w:tc>
          <w:tcPr>
            <w:tcW w:type="dxa" w:w="1615"/>
            <w:vAlign w:val="center"/>
          </w:tcPr>
          <w:p>
            <w:pPr>
              <w:jc w:val="left"/>
            </w:pPr>
            <w:r>
              <w:rPr>
                <w:rFonts w:ascii="Times New Roman" w:hAnsi="Times New Roman"/>
                <w:sz w:val="21"/>
              </w:rPr>
              <w:t xml:space="preserve">HetRec Last.fm</w:t>
            </w:r>
            <w:r>
              <w:br/>
            </w:r>
            <w:r>
              <w:rPr>
                <w:rFonts w:ascii="Times New Roman" w:hAnsi="Times New Roman"/>
                <w:sz w:val="21"/>
              </w:rPr>
              <w:t xml:space="preserve">MovieLens</w:t>
            </w:r>
            <w:r>
              <w:br/>
            </w:r>
            <w:r>
              <w:rPr>
                <w:rFonts w:ascii="Times New Roman" w:hAnsi="Times New Roman"/>
                <w:sz w:val="21"/>
              </w:rPr>
              <w:t xml:space="preserve">Book Crossing</w:t>
            </w:r>
          </w:p>
        </w:tc>
        <w:tc>
          <w:tcPr>
            <w:tcW w:type="dxa" w:w="1615"/>
            <w:vAlign w:val="center"/>
          </w:tcPr>
          <w:p>
            <w:pPr>
              <w:jc w:val="left"/>
            </w:pPr>
            <w:r>
              <w:rPr>
                <w:rFonts w:ascii="Times New Roman" w:hAnsi="Times New Roman"/>
                <w:sz w:val="21"/>
              </w:rPr>
              <w:t xml:space="preserve">Last.fm RMSE 0,8655</w:t>
            </w:r>
            <w:r>
              <w:br/>
            </w:r>
            <w:r>
              <w:rPr>
                <w:rFonts w:ascii="Times New Roman" w:hAnsi="Times New Roman"/>
                <w:sz w:val="21"/>
              </w:rPr>
              <w:t xml:space="preserve">F1 0,8954</w:t>
            </w:r>
          </w:p>
        </w:tc>
      </w:tr>
      <w:tr>
        <w:trPr>
          <w:cantSplit/>
        </w:trPr>
        <w:tc>
          <w:tcPr>
            <w:tcW w:type="dxa" w:w="1615"/>
            <w:vAlign w:val="center"/>
          </w:tcPr>
          <w:p>
            <w:pPr>
              <w:jc w:val="center"/>
            </w:pPr>
            <w:r>
              <w:rPr>
                <w:rFonts w:ascii="Times New Roman" w:hAnsi="Times New Roman"/>
                <w:sz w:val="21"/>
              </w:rPr>
              <w:t xml:space="preserve">5</w:t>
            </w:r>
          </w:p>
        </w:tc>
        <w:tc>
          <w:tcPr>
            <w:tcW w:type="dxa" w:w="1615"/>
            <w:vAlign w:val="center"/>
          </w:tcPr>
          <w:p>
            <w:pPr>
              <w:jc w:val="left"/>
            </w:pPr>
            <w:r>
              <w:rPr>
                <w:rFonts w:ascii="Times New Roman" w:hAnsi="Times New Roman"/>
                <w:sz w:val="21"/>
              </w:rPr>
              <w:t xml:space="preserve">Wang et al.</w:t>
            </w:r>
          </w:p>
        </w:tc>
        <w:tc>
          <w:tcPr>
            <w:tcW w:type="dxa" w:w="1615"/>
            <w:vAlign w:val="center"/>
          </w:tcPr>
          <w:p>
            <w:pPr>
              <w:jc w:val="center"/>
            </w:pPr>
            <w:r>
              <w:rPr>
                <w:rFonts w:ascii="Times New Roman" w:hAnsi="Times New Roman"/>
                <w:sz w:val="21"/>
              </w:rPr>
              <w:t xml:space="preserve">2025</w:t>
            </w:r>
          </w:p>
        </w:tc>
        <w:tc>
          <w:tcPr>
            <w:tcW w:type="dxa" w:w="1615"/>
            <w:vAlign w:val="center"/>
          </w:tcPr>
          <w:p>
            <w:pPr>
              <w:jc w:val="left"/>
            </w:pPr>
            <w:r>
              <w:rPr>
                <w:rFonts w:ascii="Times New Roman" w:hAnsi="Times New Roman"/>
                <w:sz w:val="21"/>
              </w:rPr>
              <w:t xml:space="preserve">CLSRec khử nhiễu quan hệ xã hội</w:t>
            </w:r>
          </w:p>
        </w:tc>
        <w:tc>
          <w:tcPr>
            <w:tcW w:type="dxa" w:w="1615"/>
            <w:vAlign w:val="center"/>
          </w:tcPr>
          <w:p>
            <w:pPr>
              <w:jc w:val="left"/>
            </w:pPr>
            <w:r>
              <w:rPr>
                <w:rFonts w:ascii="Times New Roman" w:hAnsi="Times New Roman"/>
                <w:sz w:val="21"/>
              </w:rPr>
              <w:t xml:space="preserve">HetRec LastFM</w:t>
            </w:r>
            <w:r>
              <w:br/>
            </w:r>
            <w:r>
              <w:rPr>
                <w:rFonts w:ascii="Times New Roman" w:hAnsi="Times New Roman"/>
                <w:sz w:val="21"/>
              </w:rPr>
              <w:t xml:space="preserve">1.892 user</w:t>
            </w:r>
            <w:r>
              <w:br/>
            </w:r>
            <w:r>
              <w:rPr>
                <w:rFonts w:ascii="Times New Roman" w:hAnsi="Times New Roman"/>
                <w:sz w:val="21"/>
              </w:rPr>
              <w:t xml:space="preserve">17.632 artist</w:t>
            </w:r>
          </w:p>
        </w:tc>
        <w:tc>
          <w:tcPr>
            <w:tcW w:type="dxa" w:w="1615"/>
            <w:vAlign w:val="center"/>
          </w:tcPr>
          <w:p>
            <w:pPr>
              <w:jc w:val="left"/>
            </w:pPr>
            <w:r>
              <w:rPr>
                <w:rFonts w:ascii="Times New Roman" w:hAnsi="Times New Roman"/>
                <w:sz w:val="21"/>
              </w:rPr>
              <w:t xml:space="preserve">NDCG@10 0,2617</w:t>
            </w:r>
            <w:r>
              <w:br/>
            </w:r>
            <w:r>
              <w:rPr>
                <w:rFonts w:ascii="Times New Roman" w:hAnsi="Times New Roman"/>
                <w:sz w:val="21"/>
              </w:rPr>
              <w:t xml:space="preserve">Recall@10 0,2057</w:t>
            </w:r>
          </w:p>
        </w:tc>
      </w:tr>
      <w:tr>
        <w:trPr>
          <w:cantSplit/>
        </w:trPr>
        <w:tc>
          <w:tcPr>
            <w:tcW w:type="dxa" w:w="1615"/>
            <w:vAlign w:val="center"/>
          </w:tcPr>
          <w:p>
            <w:pPr>
              <w:jc w:val="center"/>
            </w:pPr>
            <w:r>
              <w:rPr>
                <w:rFonts w:ascii="Times New Roman" w:hAnsi="Times New Roman"/>
                <w:sz w:val="21"/>
              </w:rPr>
              <w:t xml:space="preserve">6</w:t>
            </w:r>
          </w:p>
        </w:tc>
        <w:tc>
          <w:tcPr>
            <w:tcW w:type="dxa" w:w="1615"/>
            <w:vAlign w:val="center"/>
          </w:tcPr>
          <w:p>
            <w:pPr>
              <w:jc w:val="left"/>
            </w:pPr>
            <w:r>
              <w:rPr>
                <w:rFonts w:ascii="Times New Roman" w:hAnsi="Times New Roman"/>
                <w:sz w:val="21"/>
              </w:rPr>
              <w:t xml:space="preserve">Bisht, Gong và Xu</w:t>
            </w:r>
          </w:p>
        </w:tc>
        <w:tc>
          <w:tcPr>
            <w:tcW w:type="dxa" w:w="1615"/>
            <w:vAlign w:val="center"/>
          </w:tcPr>
          <w:p>
            <w:pPr>
              <w:jc w:val="center"/>
            </w:pPr>
            <w:r>
              <w:rPr>
                <w:rFonts w:ascii="Times New Roman" w:hAnsi="Times New Roman"/>
                <w:sz w:val="21"/>
              </w:rPr>
              <w:t xml:space="preserve">2025</w:t>
            </w:r>
          </w:p>
        </w:tc>
        <w:tc>
          <w:tcPr>
            <w:tcW w:type="dxa" w:w="1615"/>
            <w:vAlign w:val="center"/>
          </w:tcPr>
          <w:p>
            <w:pPr>
              <w:jc w:val="left"/>
            </w:pPr>
            <w:r>
              <w:rPr>
                <w:rFonts w:ascii="Times New Roman" w:hAnsi="Times New Roman"/>
                <w:sz w:val="21"/>
              </w:rPr>
              <w:t xml:space="preserve">ENSUR kiểm soát rủi ro và công bằng</w:t>
            </w:r>
          </w:p>
        </w:tc>
        <w:tc>
          <w:tcPr>
            <w:tcW w:type="dxa" w:w="1615"/>
            <w:vAlign w:val="center"/>
          </w:tcPr>
          <w:p>
            <w:pPr>
              <w:jc w:val="left"/>
            </w:pPr>
            <w:r>
              <w:rPr>
                <w:rFonts w:ascii="Times New Roman" w:hAnsi="Times New Roman"/>
                <w:sz w:val="21"/>
              </w:rPr>
              <w:t xml:space="preserve">Last.fm</w:t>
            </w:r>
            <w:r>
              <w:br/>
            </w:r>
            <w:r>
              <w:rPr>
                <w:rFonts w:ascii="Times New Roman" w:hAnsi="Times New Roman"/>
                <w:sz w:val="21"/>
              </w:rPr>
              <w:t xml:space="preserve">MovieLens</w:t>
            </w:r>
            <w:r>
              <w:br/>
            </w:r>
            <w:r>
              <w:rPr>
                <w:rFonts w:ascii="Times New Roman" w:hAnsi="Times New Roman"/>
                <w:sz w:val="21"/>
              </w:rPr>
              <w:t xml:space="preserve">Amazon và sách</w:t>
            </w:r>
          </w:p>
        </w:tc>
        <w:tc>
          <w:tcPr>
            <w:tcW w:type="dxa" w:w="1615"/>
            <w:vAlign w:val="center"/>
          </w:tcPr>
          <w:p>
            <w:pPr>
              <w:jc w:val="left"/>
            </w:pPr>
            <w:r>
              <w:rPr>
                <w:rFonts w:ascii="Times New Roman" w:hAnsi="Times New Roman"/>
                <w:sz w:val="21"/>
              </w:rPr>
              <w:t xml:space="preserve">Đánh giá tập dự đoán</w:t>
            </w:r>
            <w:r>
              <w:br/>
            </w:r>
            <w:r>
              <w:rPr>
                <w:rFonts w:ascii="Times New Roman" w:hAnsi="Times New Roman"/>
                <w:sz w:val="21"/>
              </w:rPr>
              <w:t xml:space="preserve">Risk và chênh lệch nhóm</w:t>
            </w:r>
          </w:p>
        </w:tc>
      </w:tr>
      <w:tr>
        <w:trPr>
          <w:cantSplit/>
        </w:trPr>
        <w:tc>
          <w:tcPr>
            <w:tcW w:type="dxa" w:w="1615"/>
            <w:vAlign w:val="center"/>
          </w:tcPr>
          <w:p>
            <w:pPr>
              <w:jc w:val="center"/>
            </w:pPr>
            <w:r>
              <w:rPr>
                <w:rFonts w:ascii="Times New Roman" w:hAnsi="Times New Roman"/>
                <w:sz w:val="21"/>
              </w:rPr>
              <w:t xml:space="preserve">7</w:t>
            </w:r>
          </w:p>
        </w:tc>
        <w:tc>
          <w:tcPr>
            <w:tcW w:type="dxa" w:w="1615"/>
            <w:vAlign w:val="center"/>
          </w:tcPr>
          <w:p>
            <w:pPr>
              <w:jc w:val="left"/>
            </w:pPr>
            <w:r>
              <w:rPr>
                <w:rFonts w:ascii="Times New Roman" w:hAnsi="Times New Roman"/>
                <w:sz w:val="21"/>
              </w:rPr>
              <w:t xml:space="preserve">Atauchi et al.</w:t>
            </w:r>
          </w:p>
        </w:tc>
        <w:tc>
          <w:tcPr>
            <w:tcW w:type="dxa" w:w="1615"/>
            <w:vAlign w:val="center"/>
          </w:tcPr>
          <w:p>
            <w:pPr>
              <w:jc w:val="center"/>
            </w:pPr>
            <w:r>
              <w:rPr>
                <w:rFonts w:ascii="Times New Roman" w:hAnsi="Times New Roman"/>
                <w:sz w:val="21"/>
              </w:rPr>
              <w:t xml:space="preserve">2025</w:t>
            </w:r>
          </w:p>
        </w:tc>
        <w:tc>
          <w:tcPr>
            <w:tcW w:type="dxa" w:w="1615"/>
            <w:vAlign w:val="center"/>
          </w:tcPr>
          <w:p>
            <w:pPr>
              <w:jc w:val="left"/>
            </w:pPr>
            <w:r>
              <w:rPr>
                <w:rFonts w:ascii="Times New Roman" w:hAnsi="Times New Roman"/>
                <w:sz w:val="21"/>
              </w:rPr>
              <w:t xml:space="preserve">Hiệu chỉnh và giải thích hậu xử lý</w:t>
            </w:r>
          </w:p>
        </w:tc>
        <w:tc>
          <w:tcPr>
            <w:tcW w:type="dxa" w:w="1615"/>
            <w:vAlign w:val="center"/>
          </w:tcPr>
          <w:p>
            <w:pPr>
              <w:jc w:val="left"/>
            </w:pPr>
            <w:r>
              <w:rPr>
                <w:rFonts w:ascii="Times New Roman" w:hAnsi="Times New Roman"/>
                <w:sz w:val="21"/>
              </w:rPr>
              <w:t xml:space="preserve">LastFM 2K</w:t>
            </w:r>
            <w:r>
              <w:br/>
            </w:r>
            <w:r>
              <w:rPr>
                <w:rFonts w:ascii="Times New Roman" w:hAnsi="Times New Roman"/>
                <w:sz w:val="21"/>
              </w:rPr>
              <w:t xml:space="preserve">Sau nối Wikidata</w:t>
            </w:r>
            <w:r>
              <w:br/>
            </w:r>
            <w:r>
              <w:rPr>
                <w:rFonts w:ascii="Times New Roman" w:hAnsi="Times New Roman"/>
                <w:sz w:val="21"/>
              </w:rPr>
              <w:t xml:space="preserve">11.641 artist</w:t>
            </w:r>
          </w:p>
        </w:tc>
        <w:tc>
          <w:tcPr>
            <w:tcW w:type="dxa" w:w="1615"/>
            <w:vAlign w:val="center"/>
          </w:tcPr>
          <w:p>
            <w:pPr>
              <w:jc w:val="left"/>
            </w:pPr>
            <w:r>
              <w:rPr>
                <w:rFonts w:ascii="Times New Roman" w:hAnsi="Times New Roman"/>
                <w:sz w:val="21"/>
              </w:rPr>
              <w:t xml:space="preserve">Hiệu chỉnh ít tác động</w:t>
            </w:r>
            <w:r>
              <w:br/>
            </w:r>
            <w:r>
              <w:rPr>
                <w:rFonts w:ascii="Times New Roman" w:hAnsi="Times New Roman"/>
                <w:sz w:val="21"/>
              </w:rPr>
              <w:t xml:space="preserve">đến chất lượng giải thích</w:t>
            </w:r>
          </w:p>
        </w:tc>
      </w:tr>
      <w:tr>
        <w:trPr>
          <w:cantSplit/>
        </w:trPr>
        <w:tc>
          <w:tcPr>
            <w:tcW w:type="dxa" w:w="1615"/>
            <w:vAlign w:val="center"/>
          </w:tcPr>
          <w:p>
            <w:pPr>
              <w:jc w:val="center"/>
            </w:pPr>
            <w:r>
              <w:rPr>
                <w:rFonts w:ascii="Times New Roman" w:hAnsi="Times New Roman"/>
                <w:sz w:val="21"/>
              </w:rPr>
              <w:t xml:space="preserve">8</w:t>
            </w:r>
          </w:p>
        </w:tc>
        <w:tc>
          <w:tcPr>
            <w:tcW w:type="dxa" w:w="1615"/>
            <w:vAlign w:val="center"/>
          </w:tcPr>
          <w:p>
            <w:pPr>
              <w:jc w:val="left"/>
            </w:pPr>
            <w:r>
              <w:rPr>
                <w:rFonts w:ascii="Times New Roman" w:hAnsi="Times New Roman"/>
                <w:sz w:val="21"/>
              </w:rPr>
              <w:t xml:space="preserve">Zhao</w:t>
            </w:r>
          </w:p>
        </w:tc>
        <w:tc>
          <w:tcPr>
            <w:tcW w:type="dxa" w:w="1615"/>
            <w:vAlign w:val="center"/>
          </w:tcPr>
          <w:p>
            <w:pPr>
              <w:jc w:val="center"/>
            </w:pPr>
            <w:r>
              <w:rPr>
                <w:rFonts w:ascii="Times New Roman" w:hAnsi="Times New Roman"/>
                <w:sz w:val="21"/>
              </w:rPr>
              <w:t xml:space="preserve">2025</w:t>
            </w:r>
          </w:p>
        </w:tc>
        <w:tc>
          <w:tcPr>
            <w:tcW w:type="dxa" w:w="1615"/>
            <w:vAlign w:val="center"/>
          </w:tcPr>
          <w:p>
            <w:pPr>
              <w:jc w:val="left"/>
            </w:pPr>
            <w:r>
              <w:rPr>
                <w:rFonts w:ascii="Times New Roman" w:hAnsi="Times New Roman"/>
                <w:sz w:val="21"/>
              </w:rPr>
              <w:t xml:space="preserve">S VAERec kết hợp thẻ và xã hội</w:t>
            </w:r>
          </w:p>
        </w:tc>
        <w:tc>
          <w:tcPr>
            <w:tcW w:type="dxa" w:w="1615"/>
            <w:vAlign w:val="center"/>
          </w:tcPr>
          <w:p>
            <w:pPr>
              <w:jc w:val="left"/>
            </w:pPr>
            <w:r>
              <w:rPr>
                <w:rFonts w:ascii="Times New Roman" w:hAnsi="Times New Roman"/>
                <w:sz w:val="21"/>
              </w:rPr>
              <w:t xml:space="preserve">HetRec Last.fm</w:t>
            </w:r>
            <w:r>
              <w:br/>
            </w:r>
            <w:r>
              <w:rPr>
                <w:rFonts w:ascii="Times New Roman" w:hAnsi="Times New Roman"/>
                <w:sz w:val="21"/>
              </w:rPr>
              <w:t xml:space="preserve">1.892 user</w:t>
            </w:r>
            <w:r>
              <w:br/>
            </w:r>
            <w:r>
              <w:rPr>
                <w:rFonts w:ascii="Times New Roman" w:hAnsi="Times New Roman"/>
                <w:sz w:val="21"/>
              </w:rPr>
              <w:t xml:space="preserve">92.834 tương tác</w:t>
            </w:r>
          </w:p>
        </w:tc>
        <w:tc>
          <w:tcPr>
            <w:tcW w:type="dxa" w:w="1615"/>
            <w:vAlign w:val="center"/>
          </w:tcPr>
          <w:p>
            <w:pPr>
              <w:jc w:val="left"/>
            </w:pPr>
            <w:r>
              <w:rPr>
                <w:rFonts w:ascii="Times New Roman" w:hAnsi="Times New Roman"/>
                <w:sz w:val="21"/>
              </w:rPr>
              <w:t xml:space="preserve">Recall@5 0,49</w:t>
            </w:r>
            <w:r>
              <w:br/>
            </w:r>
            <w:r>
              <w:rPr>
                <w:rFonts w:ascii="Times New Roman" w:hAnsi="Times New Roman"/>
                <w:sz w:val="21"/>
              </w:rPr>
              <w:t xml:space="preserve">định nghĩa riêng của bài</w:t>
            </w:r>
          </w:p>
        </w:tc>
      </w:tr>
      <w:tr>
        <w:trPr>
          <w:cantSplit/>
        </w:trPr>
        <w:tc>
          <w:tcPr>
            <w:tcW w:type="dxa" w:w="1615"/>
            <w:vAlign w:val="center"/>
          </w:tcPr>
          <w:p>
            <w:pPr>
              <w:jc w:val="center"/>
            </w:pPr>
            <w:r>
              <w:rPr>
                <w:rFonts w:ascii="Times New Roman" w:hAnsi="Times New Roman"/>
                <w:sz w:val="21"/>
              </w:rPr>
              <w:t xml:space="preserve">9</w:t>
            </w:r>
          </w:p>
        </w:tc>
        <w:tc>
          <w:tcPr>
            <w:tcW w:type="dxa" w:w="1615"/>
            <w:vAlign w:val="center"/>
          </w:tcPr>
          <w:p>
            <w:pPr>
              <w:jc w:val="left"/>
            </w:pPr>
            <w:r>
              <w:rPr>
                <w:rFonts w:ascii="Times New Roman" w:hAnsi="Times New Roman"/>
                <w:sz w:val="21"/>
              </w:rPr>
              <w:t xml:space="preserve">Martal và Najib</w:t>
            </w:r>
          </w:p>
        </w:tc>
        <w:tc>
          <w:tcPr>
            <w:tcW w:type="dxa" w:w="1615"/>
            <w:vAlign w:val="center"/>
          </w:tcPr>
          <w:p>
            <w:pPr>
              <w:jc w:val="center"/>
            </w:pPr>
            <w:r>
              <w:rPr>
                <w:rFonts w:ascii="Times New Roman" w:hAnsi="Times New Roman"/>
                <w:sz w:val="21"/>
              </w:rPr>
              <w:t xml:space="preserve">2025</w:t>
            </w:r>
          </w:p>
        </w:tc>
        <w:tc>
          <w:tcPr>
            <w:tcW w:type="dxa" w:w="1615"/>
            <w:vAlign w:val="center"/>
          </w:tcPr>
          <w:p>
            <w:pPr>
              <w:jc w:val="left"/>
            </w:pPr>
            <w:r>
              <w:rPr>
                <w:rFonts w:ascii="Times New Roman" w:hAnsi="Times New Roman"/>
                <w:sz w:val="21"/>
              </w:rPr>
              <w:t xml:space="preserve">SVD và điền thiếu với ALS</w:t>
            </w:r>
          </w:p>
        </w:tc>
        <w:tc>
          <w:tcPr>
            <w:tcW w:type="dxa" w:w="1615"/>
            <w:vAlign w:val="center"/>
          </w:tcPr>
          <w:p>
            <w:pPr>
              <w:jc w:val="left"/>
            </w:pPr>
            <w:r>
              <w:rPr>
                <w:rFonts w:ascii="Times New Roman" w:hAnsi="Times New Roman"/>
                <w:sz w:val="21"/>
              </w:rPr>
              <w:t xml:space="preserve">HetRec lấy tập con</w:t>
            </w:r>
            <w:r>
              <w:br/>
            </w:r>
            <w:r>
              <w:rPr>
                <w:rFonts w:ascii="Times New Roman" w:hAnsi="Times New Roman"/>
                <w:sz w:val="21"/>
              </w:rPr>
              <w:t xml:space="preserve">500 user</w:t>
            </w:r>
            <w:r>
              <w:br/>
            </w:r>
            <w:r>
              <w:rPr>
                <w:rFonts w:ascii="Times New Roman" w:hAnsi="Times New Roman"/>
                <w:sz w:val="21"/>
              </w:rPr>
              <w:t xml:space="preserve">1.510 artist</w:t>
            </w:r>
          </w:p>
        </w:tc>
        <w:tc>
          <w:tcPr>
            <w:tcW w:type="dxa" w:w="1615"/>
            <w:vAlign w:val="center"/>
          </w:tcPr>
          <w:p>
            <w:pPr>
              <w:jc w:val="left"/>
            </w:pPr>
            <w:r>
              <w:rPr>
                <w:rFonts w:ascii="Times New Roman" w:hAnsi="Times New Roman"/>
                <w:sz w:val="21"/>
              </w:rPr>
              <w:t xml:space="preserve">96% và 90,22%</w:t>
            </w:r>
            <w:r>
              <w:br/>
            </w:r>
            <w:r>
              <w:rPr>
                <w:rFonts w:ascii="Times New Roman" w:hAnsi="Times New Roman"/>
                <w:sz w:val="21"/>
              </w:rPr>
              <w:t xml:space="preserve">độ ổn định danh sách</w:t>
            </w:r>
          </w:p>
        </w:tc>
      </w:tr>
      <w:tr>
        <w:trPr>
          <w:cantSplit/>
        </w:trPr>
        <w:tc>
          <w:tcPr>
            <w:tcW w:type="dxa" w:w="1615"/>
            <w:vAlign w:val="center"/>
          </w:tcPr>
          <w:p>
            <w:pPr>
              <w:jc w:val="center"/>
            </w:pPr>
            <w:r>
              <w:rPr>
                <w:rFonts w:ascii="Times New Roman" w:hAnsi="Times New Roman"/>
                <w:sz w:val="21"/>
              </w:rPr>
              <w:t xml:space="preserve">10</w:t>
            </w:r>
          </w:p>
        </w:tc>
        <w:tc>
          <w:tcPr>
            <w:tcW w:type="dxa" w:w="1615"/>
            <w:vAlign w:val="center"/>
          </w:tcPr>
          <w:p>
            <w:pPr>
              <w:jc w:val="left"/>
            </w:pPr>
            <w:r>
              <w:rPr>
                <w:rFonts w:ascii="Times New Roman" w:hAnsi="Times New Roman"/>
                <w:sz w:val="21"/>
              </w:rPr>
              <w:t xml:space="preserve">Hu và Lin</w:t>
            </w:r>
          </w:p>
        </w:tc>
        <w:tc>
          <w:tcPr>
            <w:tcW w:type="dxa" w:w="1615"/>
            <w:vAlign w:val="center"/>
          </w:tcPr>
          <w:p>
            <w:pPr>
              <w:jc w:val="center"/>
            </w:pPr>
            <w:r>
              <w:rPr>
                <w:rFonts w:ascii="Times New Roman" w:hAnsi="Times New Roman"/>
                <w:sz w:val="21"/>
              </w:rPr>
              <w:t xml:space="preserve">2025</w:t>
            </w:r>
          </w:p>
        </w:tc>
        <w:tc>
          <w:tcPr>
            <w:tcW w:type="dxa" w:w="1615"/>
            <w:vAlign w:val="center"/>
          </w:tcPr>
          <w:p>
            <w:pPr>
              <w:jc w:val="left"/>
            </w:pPr>
            <w:r>
              <w:rPr>
                <w:rFonts w:ascii="Times New Roman" w:hAnsi="Times New Roman"/>
                <w:sz w:val="21"/>
              </w:rPr>
              <w:t xml:space="preserve">TMRec mạng dị thể và attention</w:t>
            </w:r>
          </w:p>
        </w:tc>
        <w:tc>
          <w:tcPr>
            <w:tcW w:type="dxa" w:w="1615"/>
            <w:vAlign w:val="center"/>
          </w:tcPr>
          <w:p>
            <w:pPr>
              <w:jc w:val="left"/>
            </w:pPr>
            <w:r>
              <w:rPr>
                <w:rFonts w:ascii="Times New Roman" w:hAnsi="Times New Roman"/>
                <w:sz w:val="21"/>
              </w:rPr>
              <w:t xml:space="preserve">LastFM</w:t>
            </w:r>
            <w:r>
              <w:br/>
            </w:r>
            <w:r>
              <w:rPr>
                <w:rFonts w:ascii="Times New Roman" w:hAnsi="Times New Roman"/>
                <w:sz w:val="21"/>
              </w:rPr>
              <w:t xml:space="preserve">1.892 user</w:t>
            </w:r>
            <w:r>
              <w:br/>
            </w:r>
            <w:r>
              <w:rPr>
                <w:rFonts w:ascii="Times New Roman" w:hAnsi="Times New Roman"/>
                <w:sz w:val="21"/>
              </w:rPr>
              <w:t xml:space="preserve">17.632 artist</w:t>
            </w:r>
          </w:p>
        </w:tc>
        <w:tc>
          <w:tcPr>
            <w:tcW w:type="dxa" w:w="1615"/>
            <w:vAlign w:val="center"/>
          </w:tcPr>
          <w:p>
            <w:pPr>
              <w:jc w:val="left"/>
            </w:pPr>
            <w:r>
              <w:rPr>
                <w:rFonts w:ascii="Times New Roman" w:hAnsi="Times New Roman"/>
                <w:sz w:val="21"/>
              </w:rPr>
              <w:t xml:space="preserve">Bảng 2 NDCG@10</w:t>
            </w:r>
            <w:r>
              <w:br/>
            </w:r>
            <w:r>
              <w:rPr>
                <w:rFonts w:ascii="Times New Roman" w:hAnsi="Times New Roman"/>
                <w:sz w:val="21"/>
              </w:rPr>
              <w:t xml:space="preserve">0,8691</w:t>
            </w:r>
          </w:p>
        </w:tc>
      </w:tr>
    </w:tbl>
    <w:p>
      <w:pPr>
        <w:spacing w:before="120"/>
      </w:pPr>
      <w:r>
        <w:t xml:space="preserve">Các số trong bảng thuộc thiết lập riêng của từng bài; không xếp hạng mô hình xuyên các hàng. User là người dùng; artist là nghệ sĩ; KG là đồ thị tri thức; ILD là đa dạng nội danh sách; PCE là sai lệch hiệu chỉnh mức phổ biến. Dấu mũi tên chỉ thay đổi trong cùng thí nghiệm.</w:t>
      </w:r>
    </w:p>
    <w:p>
      <w:pPr>
        <w:pStyle w:val="Heading1"/>
      </w:pPr>
      <w:r>
        <w:t xml:space="preserve">2 Phân tích chi tiết từng tài liệu</w:t>
      </w:r>
    </w:p>
    <w:p>
      <w:pPr>
        <w:pStyle w:val="Heading2"/>
      </w:pPr>
      <w:r>
        <w:t xml:space="preserve">2 1 Niu S, Chi K, Su T, Yang Y và Gao J 2026 Knowledge Aware Recommendation Based on Hypergraph and Knowledge Graph</w:t>
      </w:r>
    </w:p>
    <w:p>
      <w:pPr>
        <w:keepNext/>
      </w:pPr>
      <w:r>
        <w:rPr>
          <w:b/>
        </w:rPr>
        <w:t xml:space="preserve">Thông tin công bố: </w:t>
      </w:r>
      <w:r>
        <w:t xml:space="preserve">AI, 7(6), 215; công bố ngày 11/06/2026.</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Nghiên cứu kết hợp ba nguồn biểu diễn: siêu đồ thị nghệ sĩ cùng xuất hiện trong lịch sử, đồ thị tương đồng người dùng và lân cận một bước của đồ thị tri thức. Biểu diễn người dùng và nghệ sĩ được ghép qua mạng MLP để dự đoán tương tác. Ý tưởng đáng học là tách tín hiệu đồng nghe và thông tin ngữ nghĩa thành các nhánh, sau đó kiểm tra đóng góp của từng nhánh bằng ablation.</w:t>
      </w:r>
    </w:p>
    <w:p>
      <w:pPr/>
      <w:r>
        <w:rPr>
          <w:b w:val="1"/>
        </w:rPr>
        <w:t xml:space="preserve">Bộ dữ liệu: </w:t>
      </w:r>
      <w:r>
        <w:rPr/>
        <w:t xml:space="preserve">Last.FM có nguồn HetRec 2011 nhưng sau lọc và căn chỉnh KG chỉ còn 1.265 người dùng, 606 nghệ sĩ và 41.879 tương tác. Đây là tập con khác đáng kể so với 1.892 người dùng và 17.632 nghệ sĩ trong dữ liệu gốc của nhóm.</w:t>
      </w:r>
    </w:p>
    <w:p>
      <w:pPr/>
      <w:r>
        <w:rPr>
          <w:b w:val="1"/>
        </w:rPr>
        <w:t xml:space="preserve">Kết quả đạt được: </w:t>
      </w:r>
      <w:r>
        <w:rPr/>
        <w:t xml:space="preserve">Mục 4.2 báo AUC 0,8620; ACC 0,6954; Recall@10 0,4665 trên Last.FM. Recall được đo bằng xếp hạng lấy mẫu 100 ứng viên/người dùng. Thiết bị được nêu là Core i7-12800HX và RTX 4070 Laptop.</w:t>
      </w:r>
    </w:p>
    <w:p>
      <w:pPr/>
      <w:r>
        <w:rPr>
          <w:b w:val="1"/>
        </w:rPr>
        <w:t xml:space="preserve">Ưu điểm: </w:t>
      </w:r>
      <w:r>
        <w:rPr/>
        <w:t xml:space="preserve">Phù hợp để học cách kiểm tra từng thành phần của một mô hình lai và công bố rõ dữ liệu sau xử lý. Có đối chứng tương tác thuần và đối chứng dùng tri thức.</w:t>
      </w:r>
    </w:p>
    <w:p>
      <w:pPr/>
      <w:r>
        <w:rPr>
          <w:b w:val="1"/>
        </w:rPr>
        <w:t xml:space="preserve">Hạn chế và điều kiện so sánh: </w:t>
      </w:r>
      <w:r>
        <w:rPr/>
        <w:t xml:space="preserve">Không lấy Recall@10 0,4665 làm ngưỡng phải vượt trên toàn danh mục của nhóm. Việc giảm danh mục từ 17.632 xuống 606 nghệ sĩ và chỉ xét 100 ứng viên làm thay đổi độ khó. KG là thông tin bổ sung, chưa có sẵn trong pipeline hiện hành. Điểm benchmark và trung bình ablation trong bài cũng thuộc các thiết lập khác nhau.</w:t>
      </w:r>
    </w:p>
    <w:p>
      <w:pPr/>
      <w:r>
        <w:rPr>
          <w:b w:val="1"/>
        </w:rPr>
        <w:t xml:space="preserve">Mức độ liên quan đến đề tài: </w:t>
      </w:r>
      <w:r>
        <w:rPr/>
        <w:t xml:space="preserve">Cao về xử lý độ thưa và khai thác nội dung; trung bình về khả năng tái lập trong hạn demo. Nhóm có thể học nguyên tắc kết hợp tín hiệu bằng M2 ItemCF và TF–IDF thẻ, nhưng không được gọi cách đó là tái hiện mô hình của bài.</w:t>
      </w:r>
    </w:p>
    <w:p>
      <w:pPr/>
      <w:r>
        <w:rPr>
          <w:b w:val="1"/>
        </w:rPr>
        <w:t xml:space="preserve">Hướng vận dụng và đối chứng đề xuất: </w:t>
      </w:r>
      <w:r>
        <w:rPr/>
        <w:t xml:space="preserve">Nếu sau này chạy lại, cần giữ riêng một nhánh tái hiện đúng tập con/KG/100 ứng viên và một nhánh đánh giá cùng protocol của khóa luận. So sánh mô hình trên cùng dữ liệu mới cho biết chênh lệch do thuật toán. RTX 4070 trong bài chỉ là thông tin cấu hình, chưa chứng minh nhóm thua vì thiếu GPU.</w:t>
      </w:r>
    </w:p>
    <w:p>
      <w:pPr>
        <w:jc w:val="left"/>
      </w:pPr>
      <w:r>
        <w:rPr>
          <w:b w:val="1"/>
        </w:rPr>
        <w:t xml:space="preserve">Nguồn tham khảo: </w:t>
      </w:r>
      <w:r>
        <w:rPr/>
        <w:t xml:space="preserve"/>
      </w:r>
      <w:hyperlink r:id="rIdReview1">
        <w:r>
          <w:rPr>
            <w:rStyle w:val="Hyperlink"/>
            <w:color w:val="0000FF"/>
            <w:u w:val="single"/>
          </w:rPr>
          <w:t xml:space="preserve">Trang bài báo</w:t>
        </w:r>
      </w:hyperlink>
      <w:r>
        <w:t xml:space="preserve">  |  </w:t>
      </w:r>
      <w:hyperlink r:id="rIdReview2">
        <w:r>
          <w:rPr>
            <w:rStyle w:val="Hyperlink"/>
            <w:color w:val="0000FF"/>
            <w:u w:val="single"/>
          </w:rPr>
          <w:t xml:space="preserve">Toàn văn PDF</w:t>
        </w:r>
      </w:hyperlink>
    </w:p>
    <w:p>
      <w:pPr/>
      <w:r>
        <w:rPr>
          <w:b/>
        </w:rPr>
        <w:t xml:space="preserve">Vị trí đối chiếu: </w:t>
      </w:r>
      <w:r>
        <w:t xml:space="preserve">Mục 4.1–4.3; Bảng 1; trang PDF 9–12.</w:t>
      </w:r>
    </w:p>
    <w:p>
      <w:pPr>
        <w:pStyle w:val="Heading2"/>
      </w:pPr>
      <w:r>
        <w:t xml:space="preserve">2 2 Sheikhi Darani Z và Hosseini M 2026 Personalized novelty aware recommendation in social recommender systems A Framework</w:t>
      </w:r>
    </w:p>
    <w:p>
      <w:pPr>
        <w:keepNext/>
      </w:pPr>
      <w:r>
        <w:rPr>
          <w:b/>
        </w:rPr>
        <w:t xml:space="preserve">Thông tin công bố: </w:t>
      </w:r>
      <w:r>
        <w:t xml:space="preserve">PLOS One, 21(4), e0344537; công bố ngày 28/04/2026.</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Bài báo tạo danh sách ứng viên bằng SVD, ước lượng độ mới của nghệ sĩ dựa vào cộng đồng xã hội và điều chỉnh mức ưu tiên độ mới theo từng người dùng. Tầng hậu xử lý xếp lại 20 ứng viên để trả 10 kết quả. Cộng đồng được tìm bằng SLPA. Điểm quan trọng là độ mới được xét theo người nhận, thay vì mặc định mọi nghệ sĩ ít phổ biến đều phù hợp với mọi người.</w:t>
      </w:r>
    </w:p>
    <w:p>
      <w:pPr/>
      <w:r>
        <w:rPr>
          <w:b w:val="1"/>
        </w:rPr>
        <w:t xml:space="preserve">Bộ dữ liệu: </w:t>
      </w:r>
      <w:r>
        <w:rPr/>
        <w:t xml:space="preserve">Bảng 1 nêu LastFM với 1.892 người dùng, 17.632 nghệ sĩ và 12.717 quan hệ xã hội; ngoài ra có Epinions. Bài mô tả leave-one-out theo thời gian và quy đổi lượt nghe thành điểm 1–5 theo người dùng.</w:t>
      </w:r>
    </w:p>
    <w:p>
      <w:pPr/>
      <w:r>
        <w:rPr>
          <w:b w:val="1"/>
        </w:rPr>
        <w:t xml:space="preserve">Kết quả đạt được: </w:t>
      </w:r>
      <w:r>
        <w:rPr/>
        <w:t xml:space="preserve">Bảng 2 trên LastFM: NDCG@10 0,398 ± 0,014; ILD 0,315 ± 0,018; Coverage 0,52 ± 0,02. SVD cộng độ mới cổ điển có NDCG@10 0,412 và ILD 0,235. Bài thể hiện một đánh đổi, không thắng đồng thời mọi chỉ số.</w:t>
      </w:r>
    </w:p>
    <w:p>
      <w:pPr/>
      <w:r>
        <w:rPr>
          <w:b w:val="1"/>
        </w:rPr>
        <w:t xml:space="preserve">Ưu điểm: </w:t>
      </w:r>
      <w:r>
        <w:rPr/>
        <w:t xml:space="preserve">Rất gần câu hỏi M1: tăng đa dạng và độ phủ trong khi chấp nhận giảm một phần chất lượng xếp hạng. Việc dùng cùng mô hình sinh ứng viên giúp quan sát tác động của riêng tầng tái xếp hạng.</w:t>
      </w:r>
    </w:p>
    <w:p>
      <w:pPr/>
      <w:r>
        <w:rPr>
          <w:b w:val="1"/>
        </w:rPr>
        <w:t xml:space="preserve">Hạn chế và điều kiện so sánh: </w:t>
      </w:r>
      <w:r>
        <w:rPr/>
        <w:t xml:space="preserve">Cần làm rõ nguồn thời gian: user_artists.dat của HetRec chỉ chứa lượt nghe tổng hợp; timestamp gán thẻ không phải thời điểm nghe. Vì vậy không tự sao chép temporal split của bài. Định nghĩa ILD, đặc trưng so sánh nghệ sĩ và mẫu số Coverage cũng phải khớp trước khi đối chiếu số.</w:t>
      </w:r>
    </w:p>
    <w:p>
      <w:pPr/>
      <w:r>
        <w:rPr>
          <w:b w:val="1"/>
        </w:rPr>
        <w:t xml:space="preserve">Mức độ liên quan đến đề tài: </w:t>
      </w:r>
      <w:r>
        <w:rPr/>
        <w:t xml:space="preserve">Rất cao cho M1 và phần thảo luận vì sao chất lượng có thể giảm khi đa dạng tăng. Không bắt buộc thêm cộng đồng xã hội vào khóa luận; có thể dùng bài làm cơ sở giải thích thiết kế đánh đổi hiện có.</w:t>
      </w:r>
    </w:p>
    <w:p>
      <w:pPr/>
      <w:r>
        <w:rPr>
          <w:b w:val="1"/>
        </w:rPr>
        <w:t xml:space="preserve">Hướng vận dụng và đối chứng đề xuất: </w:t>
      </w:r>
      <w:r>
        <w:rPr/>
        <w:t xml:space="preserve">Ưu tiên học cách đặt nền và các biến thể chỉ đa dạng, chỉ phạt phổ biến, đầy đủ. Mức giảm từ 0,412 xuống 0,398 trong bảng là khoảng 3,40% tương đối, do người tổng hợp tính. Đây là ví dụ về đánh đổi trong bài, không phải bằng chứng M1 của nhóm sẽ đạt mức tương tự. Chỉ thử tái hiện xã hội như một thí nghiệm bổ sung có phạm vi riêng.</w:t>
      </w:r>
    </w:p>
    <w:p>
      <w:pPr>
        <w:jc w:val="left"/>
      </w:pPr>
      <w:r>
        <w:rPr>
          <w:b w:val="1"/>
        </w:rPr>
        <w:t xml:space="preserve">Nguồn tham khảo: </w:t>
      </w:r>
      <w:r>
        <w:rPr/>
        <w:t xml:space="preserve"/>
      </w:r>
      <w:hyperlink r:id="rIdReview3">
        <w:r>
          <w:rPr>
            <w:rStyle w:val="Hyperlink"/>
            <w:color w:val="0000FF"/>
            <w:u w:val="single"/>
          </w:rPr>
          <w:t xml:space="preserve">Trang bài báo</w:t>
        </w:r>
      </w:hyperlink>
      <w:r>
        <w:t xml:space="preserve">  |  </w:t>
      </w:r>
      <w:hyperlink r:id="rIdReview4">
        <w:r>
          <w:rPr>
            <w:rStyle w:val="Hyperlink"/>
            <w:color w:val="0000FF"/>
            <w:u w:val="single"/>
          </w:rPr>
          <w:t xml:space="preserve">Toàn văn PDF</w:t>
        </w:r>
      </w:hyperlink>
    </w:p>
    <w:p>
      <w:pPr/>
      <w:r>
        <w:rPr>
          <w:b/>
        </w:rPr>
        <w:t xml:space="preserve">Vị trí đối chiếu: </w:t>
      </w:r>
      <w:r>
        <w:t xml:space="preserve">Mục 4.3 và 5; Bảng 1–2; trang PDF 8–12.</w:t>
      </w:r>
    </w:p>
    <w:p>
      <w:pPr>
        <w:pStyle w:val="Heading2"/>
      </w:pPr>
      <w:r>
        <w:t xml:space="preserve">2 3 Schirmer M và cộng sự 2026 Aligning Recommendations with User Popularity Preferences</w:t>
      </w:r>
    </w:p>
    <w:p>
      <w:pPr>
        <w:keepNext/>
      </w:pPr>
      <w:r>
        <w:rPr>
          <w:b/>
        </w:rPr>
        <w:t xml:space="preserve">Thông tin công bố: </w:t>
      </w:r>
      <w:r>
        <w:t xml:space="preserve">Bản arXiv 2604.01036v1 ngày 01/04/2026; trang arXiv ghi Accepted at FAccT 2026.</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Nghiên cứu xây dựng Popularity Quantile Calibration để đo mức lệch giữa phân bố mức phổ biến trong lịch sử và trong danh sách gợi ý. SPREE điều chỉnh biểu diễn bên trong SASRec lúc suy luận theo hướng và mức lệch của từng người dùng. Người thích nghệ sĩ phổ biến không nhất thiết cần bị ép sang toàn bộ nghệ sĩ ít phổ biến.</w:t>
      </w:r>
    </w:p>
    <w:p>
      <w:pPr/>
      <w:r>
        <w:rPr>
          <w:b w:val="1"/>
        </w:rPr>
        <w:t xml:space="preserve">Bộ dữ liệu: </w:t>
      </w:r>
      <w:r>
        <w:rPr/>
        <w:t xml:space="preserve">Foursquare Tokyo, MovieLens-1M, MovieLens-20M và RateBeer. Bài này không dùng HetRec Last.fm 2K; được chọn vì giải quyết trực tiếp vấn đề hiệu chỉnh mức phổ biến của M1.</w:t>
      </w:r>
    </w:p>
    <w:p>
      <w:pPr/>
      <w:r>
        <w:rPr>
          <w:b w:val="1"/>
        </w:rPr>
        <w:t xml:space="preserve">Kết quả đạt được: </w:t>
      </w:r>
      <w:r>
        <w:rPr/>
        <w:t xml:space="preserve">Bảng 4 trên MovieLens-1M: PCE@100 giảm từ 0,211 xuống 0,176, khoảng 16% theo bài. Thiết lập ablation chọn cường độ có mức giảm NDCG@100 không quá 10%. Đây không phải kết quả trên âm nhạc hoặc tại K = 10.</w:t>
      </w:r>
    </w:p>
    <w:p>
      <w:pPr/>
      <w:r>
        <w:rPr>
          <w:b w:val="1"/>
        </w:rPr>
        <w:t xml:space="preserve">Ưu điểm: </w:t>
      </w:r>
      <w:r>
        <w:rPr/>
        <w:t xml:space="preserve">Giúp phân biệt giảm mức phổ biến trung bình với phù hợp sở thích từng người. Có đường đánh đổi và ablation cho cơ chế điều chỉnh theo người dùng.</w:t>
      </w:r>
    </w:p>
    <w:p>
      <w:pPr/>
      <w:r>
        <w:rPr>
          <w:b w:val="1"/>
        </w:rPr>
        <w:t xml:space="preserve">Hạn chế và điều kiện so sánh: </w:t>
      </w:r>
      <w:r>
        <w:rPr/>
        <w:t xml:space="preserve">SASRec cần chuỗi tương tác có thứ tự; bộ lượt nghe tổng hợp của nhóm không cung cấp chuỗi nghe để tái hiện trực tiếp. Chỉ số tại K = 100 và các miền khác không thể ghép vào bảng NDCG@10 Last.fm như đối thủ tương đương.</w:t>
      </w:r>
    </w:p>
    <w:p>
      <w:pPr/>
      <w:r>
        <w:rPr>
          <w:b w:val="1"/>
        </w:rPr>
        <w:t xml:space="preserve">Mức độ liên quan đến đề tài: </w:t>
      </w:r>
      <w:r>
        <w:rPr/>
        <w:t xml:space="preserve">Cao cho cách diễn giải M1. ARP giảm chỉ chứng minh danh sách bớt phổ biến theo định nghĩa đo; chưa tự chứng minh người dùng hài lòng hơn hay công bằng hơn. Cần quan sát chất lượng ở nhóm thích nội dung phổ biến và nhóm thích nội dung ít phổ biến.</w:t>
      </w:r>
    </w:p>
    <w:p>
      <w:pPr/>
      <w:r>
        <w:rPr>
          <w:b w:val="1"/>
        </w:rPr>
        <w:t xml:space="preserve">Hướng vận dụng và đối chứng đề xuất: </w:t>
      </w:r>
      <w:r>
        <w:rPr/>
        <w:t xml:space="preserve">Nhóm có thể thảo luận mức phổ biến lịch sử từ train và danh sách dự đoán của từng người, song không tự mở rộng thành SASRec hay thêm mục tiêu mới sau khi xem test. Ngưỡng chấp nhận giảm NDCG của M1 vẫn là 5% theo kế hoạch nhóm; không thay thành 10% chỉ vì bài này sử dụng ngưỡng khác.</w:t>
      </w:r>
    </w:p>
    <w:p>
      <w:pPr>
        <w:jc w:val="left"/>
      </w:pPr>
      <w:r>
        <w:rPr>
          <w:b w:val="1"/>
        </w:rPr>
        <w:t xml:space="preserve">Nguồn tham khảo: </w:t>
      </w:r>
      <w:r>
        <w:rPr/>
        <w:t xml:space="preserve"/>
      </w:r>
      <w:hyperlink r:id="rIdReview5">
        <w:r>
          <w:rPr>
            <w:rStyle w:val="Hyperlink"/>
            <w:color w:val="0000FF"/>
            <w:u w:val="single"/>
          </w:rPr>
          <w:t xml:space="preserve">Trang bài báo</w:t>
        </w:r>
      </w:hyperlink>
      <w:r>
        <w:t xml:space="preserve">  |  </w:t>
      </w:r>
      <w:hyperlink r:id="rIdReview6">
        <w:r>
          <w:rPr>
            <w:rStyle w:val="Hyperlink"/>
            <w:color w:val="0000FF"/>
            <w:u w:val="single"/>
          </w:rPr>
          <w:t xml:space="preserve">Toàn văn PDF</w:t>
        </w:r>
      </w:hyperlink>
    </w:p>
    <w:p>
      <w:pPr/>
      <w:r>
        <w:rPr>
          <w:b/>
        </w:rPr>
        <w:t xml:space="preserve">Vị trí đối chiếu: </w:t>
      </w:r>
      <w:r>
        <w:t xml:space="preserve">Mục 4–6; Bảng 3–4. Bản arXiv được khóa tại v1.</w:t>
      </w:r>
    </w:p>
    <w:p>
      <w:pPr>
        <w:pStyle w:val="Heading2"/>
      </w:pPr>
      <w:r>
        <w:t xml:space="preserve">2 4 Samir D, Abd El Reheem E, Darwish S M và Madbouly M M 2026 A neutrosophic clustering approach to handle recommendation uncertainty for gray sheep users</w:t>
      </w:r>
    </w:p>
    <w:p>
      <w:pPr>
        <w:keepNext/>
      </w:pPr>
      <w:r>
        <w:rPr>
          <w:b/>
        </w:rPr>
        <w:t xml:space="preserve">Thông tin công bố: </w:t>
      </w:r>
      <w:r>
        <w:t xml:space="preserve">Scientific Reports, 16, 9663; công bố ngày 21/03/2026.</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Tác giả kết hợp neutrosophic k-means với ItemCF. Mỗi hồ sơ được mô tả bằng mức hỗ trợ, bất định và mâu thuẫn để nhận diện nhóm gray sheep có sở thích khó khớp với cộng đồng. ItemCF được áp dụng theo cách phục vụ riêng nhóm này. Cách tiếp cận nhấn mạnh rằng mức trung bình toàn bộ người dùng có thể che khuất nhóm được phục vụ kém.</w:t>
      </w:r>
    </w:p>
    <w:p>
      <w:pPr/>
      <w:r>
        <w:rPr>
          <w:b w:val="1"/>
        </w:rPr>
        <w:t xml:space="preserve">Bộ dữ liệu: </w:t>
      </w:r>
      <w:r>
        <w:rPr/>
        <w:t xml:space="preserve">MovieLens 100K/1M, Book-Crossing và Last.fm. Mục Data availability dẫn Last.fm đến trang HetRec 2011. Không đồng nhất gray sheep với người dùng mới hoặc người có ít lịch sử.</w:t>
      </w:r>
    </w:p>
    <w:p>
      <w:pPr/>
      <w:r>
        <w:rPr>
          <w:b w:val="1"/>
        </w:rPr>
        <w:t xml:space="preserve">Kết quả đạt được: </w:t>
      </w:r>
      <w:r>
        <w:rPr/>
        <w:t xml:space="preserve">Bảng 10 trên Last.fm báo RMSE 0,8655; MAE 0,6236; Precision 0,9469; Recall 0,8492; F1 0,8954. Những Precision/Recall này không được ghi là Precision@10/Recall@10 trong bảng.</w:t>
      </w:r>
    </w:p>
    <w:p>
      <w:pPr/>
      <w:r>
        <w:rPr>
          <w:b w:val="1"/>
        </w:rPr>
        <w:t xml:space="preserve">Ưu điểm: </w:t>
      </w:r>
      <w:r>
        <w:rPr/>
        <w:t xml:space="preserve">Gợi ý cách kiểm tra một thuật toán đơn giản như ItemCF trên nhóm khó, thay vì chỉ so sánh mô hình phức tạp. Hữu ích cho lập luận đánh giá theo phân đoạn người dùng.</w:t>
      </w:r>
    </w:p>
    <w:p>
      <w:pPr/>
      <w:r>
        <w:rPr>
          <w:b w:val="1"/>
        </w:rPr>
        <w:t xml:space="preserve">Hạn chế và điều kiện so sánh: </w:t>
      </w:r>
      <w:r>
        <w:rPr/>
        <w:t xml:space="preserve">Không đối chiếu F1 0,8954 với NDCG@10 hoặc Recall@10 của nhóm. Cần làm rõ nhãn nhóm, cách tạo điểm số, số mẫu Last.fm sau xử lý và protocol đánh giá trước khi dùng làm chuẩn định lượng. Giải quyết hồ sơ khác thường không đồng nghĩa giải quyết N = 0 trong M2.</w:t>
      </w:r>
    </w:p>
    <w:p>
      <w:pPr/>
      <w:r>
        <w:rPr>
          <w:b w:val="1"/>
        </w:rPr>
        <w:t xml:space="preserve">Mức độ liên quan đến đề tài: </w:t>
      </w:r>
      <w:r>
        <w:rPr/>
        <w:t xml:space="preserve">Trung bình đến cao cho RQ2 và phân tích nguyên nhân người dùng nhận gợi ý kém. Phần nền ItemCF liên quan trực tiếp; bước phân cụm là hướng mở rộng, chưa phải thành phần bắt buộc của M2.</w:t>
      </w:r>
    </w:p>
    <w:p>
      <w:pPr/>
      <w:r>
        <w:rPr>
          <w:b w:val="1"/>
        </w:rPr>
        <w:t xml:space="preserve">Hướng vận dụng và đối chứng đề xuất: </w:t>
      </w:r>
      <w:r>
        <w:rPr/>
        <w:t xml:space="preserve">Giữ các mức N = 0, 1, 3, 5 để đánh giá ít lịch sử theo kế hoạch. Nếu nghiên cứu thêm gray sheep, phải định nghĩa nhóm bằng dữ liệu train, báo số người và chỉ số của từng nhóm, rồi mới đối chiếu với ItemCF nền. Không dùng kết quả tốt trên nhóm đã chọn để suy ra toàn hệ thống tốt hơn.</w:t>
      </w:r>
    </w:p>
    <w:p>
      <w:pPr>
        <w:jc w:val="left"/>
      </w:pPr>
      <w:r>
        <w:rPr>
          <w:b w:val="1"/>
        </w:rPr>
        <w:t xml:space="preserve">Nguồn tham khảo: </w:t>
      </w:r>
      <w:r>
        <w:rPr/>
        <w:t xml:space="preserve"/>
      </w:r>
      <w:hyperlink r:id="rIdReview7">
        <w:r>
          <w:rPr>
            <w:rStyle w:val="Hyperlink"/>
            <w:color w:val="0000FF"/>
            <w:u w:val="single"/>
          </w:rPr>
          <w:t xml:space="preserve">Trang bài báo</w:t>
        </w:r>
      </w:hyperlink>
      <w:r>
        <w:t xml:space="preserve">  |  </w:t>
      </w:r>
      <w:hyperlink r:id="rIdReview8">
        <w:r>
          <w:rPr>
            <w:rStyle w:val="Hyperlink"/>
            <w:color w:val="0000FF"/>
            <w:u w:val="single"/>
          </w:rPr>
          <w:t xml:space="preserve">Toàn văn PDF</w:t>
        </w:r>
      </w:hyperlink>
    </w:p>
    <w:p>
      <w:pPr/>
      <w:r>
        <w:rPr>
          <w:b/>
        </w:rPr>
        <w:t xml:space="preserve">Vị trí đối chiếu: </w:t>
      </w:r>
      <w:r>
        <w:t xml:space="preserve">Bảng 10; mục Limitations và Data availability.</w:t>
      </w:r>
    </w:p>
    <w:p>
      <w:pPr>
        <w:pStyle w:val="Heading2"/>
      </w:pPr>
      <w:r>
        <w:t xml:space="preserve">2 5 Wang L, Wang W, Xiao X và Li Q 2025 Social Relation Meets Recommendation Augmentation and Alignment</w:t>
      </w:r>
    </w:p>
    <w:p>
      <w:pPr>
        <w:keepNext/>
      </w:pPr>
      <w:r>
        <w:rPr>
          <w:b/>
        </w:rPr>
        <w:t xml:space="preserve">Thông tin công bố: </w:t>
      </w:r>
      <w:r>
        <w:t xml:space="preserve">CIKM 2025, trang 5309–5313. Tóm tắt theo nội dung HTML arXiv 2502.15695v3 ngày 09/10/2025.</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CLSRec học từ đồ thị tương tác và đồ thị xã hội. SVD hạng thấp giúp dựng một góc nhìn xã hội đã giảm nhiễu; contrastive learning kết hợp góc nhìn này với quan hệ gốc. Mutual distillation tách phần sở thích chung và riêng giữa hành vi với quan hệ xã hội để tránh giả định rằng bạn bè luôn nghe giống nhau.</w:t>
      </w:r>
    </w:p>
    <w:p>
      <w:pPr/>
      <w:r>
        <w:rPr>
          <w:b w:val="1"/>
        </w:rPr>
        <w:t xml:space="preserve">Bộ dữ liệu: </w:t>
      </w:r>
      <w:r>
        <w:rPr/>
        <w:t xml:space="preserve">LastFM nguồn HetRec với 1.892 người dùng, 17.632 mục âm nhạc; thêm Ciao. Bài chia ngẫu nhiên 80% train, 20% test và lấy 10% của train làm validation; tương ứng khoảng 72/8/20 trên toàn bộ tương tác.</w:t>
      </w:r>
    </w:p>
    <w:p>
      <w:pPr/>
      <w:r>
        <w:rPr>
          <w:b w:val="1"/>
        </w:rPr>
        <w:t xml:space="preserve">Kết quả đạt được: </w:t>
      </w:r>
      <w:r>
        <w:rPr/>
        <w:t xml:space="preserve">Bảng 1 trên LastFM: Recall@10 0,2057; NDCG@10 0,2617. Nhóm cold user được định nghĩa dưới 20 tương tác, có Recall@10 0,2353. NDCG@20 toàn bộ người dùng không vượt baseline tốt nhất trong bảng.</w:t>
      </w:r>
    </w:p>
    <w:p>
      <w:pPr/>
      <w:r>
        <w:rPr>
          <w:b w:val="1"/>
        </w:rPr>
        <w:t xml:space="preserve">Ưu điểm: </w:t>
      </w:r>
      <w:r>
        <w:rPr/>
        <w:t xml:space="preserve">Rất gần dữ liệu và vấn đề thiếu lịch sử. Mô hình minh họa vì sao cần lọc nhiễu trước khi kết hợp thông tin phụ, đồng thời có mã nguồn do tác giả liên kết.</w:t>
      </w:r>
    </w:p>
    <w:p>
      <w:pPr/>
      <w:r>
        <w:rPr>
          <w:b w:val="1"/>
        </w:rPr>
        <w:t xml:space="preserve">Hạn chế và điều kiện so sánh: </w:t>
      </w:r>
      <w:r>
        <w:rPr/>
        <w:t xml:space="preserve">Cold user dưới 20 tương tác không tương đương người dùng chưa tham gia huấn luyện với N = 1, 3, 5 của nhóm. Cần kiểm tra mã để xác định tập ứng viên, lọc lịch sử và cách chia nhóm trước khi so sánh điểm. Không tuyên bố CLSRec thắng mọi độ đo khi NDCG@20 không tăng.</w:t>
      </w:r>
    </w:p>
    <w:p>
      <w:pPr/>
      <w:r>
        <w:rPr>
          <w:b w:val="1"/>
        </w:rPr>
        <w:t xml:space="preserve">Mức độ liên quan đến đề tài: </w:t>
      </w:r>
      <w:r>
        <w:rPr/>
        <w:t xml:space="preserve">Rất cao cho M2 và phần thảo luận CF thuần so với mô hình dùng thông tin bổ sung. Đồ thị bạn bè là tín hiệu có sẵn trong nguồn nhưng chưa nằm trong baseline của khóa luận.</w:t>
      </w:r>
    </w:p>
    <w:p>
      <w:pPr/>
      <w:r>
        <w:rPr>
          <w:b w:val="1"/>
        </w:rPr>
        <w:t xml:space="preserve">Hướng vận dụng và đối chứng đề xuất: </w:t>
      </w:r>
      <w:r>
        <w:rPr/>
        <w:t xml:space="preserve">Đây là ứng viên đáng ưu tiên nếu có ngân sách chạy thêm một đối chứng có mã. Trước khi chạy cần thống nhất cold user transductive hay người dùng hoàn toàn tách khỏi huấn luyện; nếu đổi sang protocol của nhóm thì ghi là đánh giá lại, không gọi là tái hiện nguyên số liệu bài gốc. Tách chi phí dựng đồ thị khỏi thời gian suy luận.</w:t>
      </w:r>
    </w:p>
    <w:p>
      <w:pPr>
        <w:jc w:val="left"/>
      </w:pPr>
      <w:r>
        <w:rPr>
          <w:b w:val="1"/>
        </w:rPr>
        <w:t xml:space="preserve">Nguồn tham khảo: </w:t>
      </w:r>
      <w:r>
        <w:rPr/>
        <w:t xml:space="preserve"/>
      </w:r>
      <w:hyperlink r:id="rIdReview9">
        <w:r>
          <w:rPr>
            <w:rStyle w:val="Hyperlink"/>
            <w:color w:val="0000FF"/>
            <w:u w:val="single"/>
          </w:rPr>
          <w:t xml:space="preserve">Trang bài báo</w:t>
        </w:r>
      </w:hyperlink>
      <w:r>
        <w:t xml:space="preserve">  |  </w:t>
      </w:r>
      <w:hyperlink r:id="rIdReview10">
        <w:r>
          <w:rPr>
            <w:rStyle w:val="Hyperlink"/>
            <w:color w:val="0000FF"/>
            <w:u w:val="single"/>
          </w:rPr>
          <w:t xml:space="preserve">Toàn văn PDF</w:t>
        </w:r>
      </w:hyperlink>
      <w:r>
        <w:t xml:space="preserve">  |  </w:t>
      </w:r>
      <w:hyperlink r:id="rIdReview11">
        <w:r>
          <w:rPr>
            <w:rStyle w:val="Hyperlink"/>
            <w:color w:val="0000FF"/>
            <w:u w:val="single"/>
          </w:rPr>
          <w:t xml:space="preserve">Mã và dữ liệu tác giả</w:t>
        </w:r>
      </w:hyperlink>
    </w:p>
    <w:p>
      <w:pPr/>
      <w:r>
        <w:rPr>
          <w:b/>
        </w:rPr>
        <w:t xml:space="preserve">Vị trí đối chiếu: </w:t>
      </w:r>
      <w:r>
        <w:t xml:space="preserve">Bảng 1–2 và mục 3 của HTML v3. Trang abstract hiện dùng tên Contrastive Learning Augmented Social Recommendations; các phiên bản cũ dùng tên Denoising and Alignment. Đây là một công trình, không đếm nhiều lần.</w:t>
      </w:r>
    </w:p>
    <w:p>
      <w:pPr>
        <w:pStyle w:val="Heading2"/>
      </w:pPr>
      <w:r>
        <w:t xml:space="preserve">2 6 Bisht N, Gong X và Xu G 2025 ENSUR Equitable and Statistically Unbiased Recommendation</w:t>
      </w:r>
    </w:p>
    <w:p>
      <w:pPr>
        <w:keepNext/>
      </w:pPr>
      <w:r>
        <w:rPr>
          <w:b/>
        </w:rPr>
        <w:t xml:space="preserve">Thông tin công bố: </w:t>
      </w:r>
      <w:r>
        <w:t xml:space="preserve">ICML 2025; Proceedings of Machine Learning Research, tập 267, trang 4435–4454.</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ENSUR tạo tập dự đoán có kích thước thích nghi với ràng buộc rủi ro và công bằng giữa nhóm, thay vì luôn trả cùng một K. Thuật toán GUFA tìm cách thỏa các ràng buộc và hạn chế kích thước tập. Khung được đặt trên nhiều mô hình nền, giúp phân biệt hiệu quả của mô hình chấm điểm và hiệu quả của bước điều chỉnh đầu ra.</w:t>
      </w:r>
    </w:p>
    <w:p>
      <w:pPr/>
      <w:r>
        <w:rPr>
          <w:b w:val="1"/>
        </w:rPr>
        <w:t xml:space="preserve">Bộ dữ liệu: </w:t>
      </w:r>
      <w:r>
        <w:rPr/>
        <w:t xml:space="preserve">Có Last.fm trích Cantador et al. 2011, cùng AmazonOffice, MovieLens và Book-Crossing. Phụ lục D nêu leave-one-out, lấy 50 mục chưa tương tác/người dùng và lặp 20 lượt; Last.fm được phân nhóm theo khu vực, cùng các thử nghiệm nhóm khác.</w:t>
      </w:r>
    </w:p>
    <w:p>
      <w:pPr/>
      <w:r>
        <w:rPr>
          <w:b w:val="1"/>
        </w:rPr>
        <w:t xml:space="preserve">Kết quả đạt được: </w:t>
      </w:r>
      <w:r>
        <w:rPr/>
        <w:t xml:space="preserve">Thực nghiệm dùng ngưỡng rủi ro α = 0,20 và ngưỡng công bằng η = 0,20. Tác giả báo các mô hình ghép ENSUR đáp ứng hai ràng buộc trong các thí nghiệm. Bảng 4 trình bày Last.fm theo khu vực bằng Risk, Average Set Size, Hit Rate Diff và DCG Diff.</w:t>
      </w:r>
    </w:p>
    <w:p>
      <w:pPr/>
      <w:r>
        <w:rPr>
          <w:b w:val="1"/>
        </w:rPr>
        <w:t xml:space="preserve">Ưu điểm: </w:t>
      </w:r>
      <w:r>
        <w:rPr/>
        <w:t xml:space="preserve">Cung cấp cách lập luận có điều kiện về chất lượng và chênh lệch giữa nhóm. Thích hợp tham khảo khi báo cáo rằng kết quả trung bình tốt chưa đảm bảo mọi nhóm đều được phục vụ tốt.</w:t>
      </w:r>
    </w:p>
    <w:p>
      <w:pPr/>
      <w:r>
        <w:rPr>
          <w:b w:val="1"/>
        </w:rPr>
        <w:t xml:space="preserve">Hạn chế và điều kiện so sánh: </w:t>
      </w:r>
      <w:r>
        <w:rPr/>
        <w:t xml:space="preserve">Tập dự đoán thay đổi kích thước khác bài toán Top-K cố định. Lấy 50 mẫu âm khác xếp hạng toàn danh mục. Bộ HetRec cục bộ không có bảng quốc gia người dùng; cần xác minh nguồn thuộc tính khu vực nếu muốn tái hiện. Không lấy bảo đảm của ENSUR gán cho M1/M2 chưa triển khai khung này.</w:t>
      </w:r>
    </w:p>
    <w:p>
      <w:pPr/>
      <w:r>
        <w:rPr>
          <w:b w:val="1"/>
        </w:rPr>
        <w:t xml:space="preserve">Mức độ liên quan đến đề tài: </w:t>
      </w:r>
      <w:r>
        <w:rPr/>
        <w:t xml:space="preserve">Trung bình cho thuật toán hiện hành nhưng cao cho thiết kế đánh giá RQ2/M2 và việc đặt ràng buộc trước khi chạy. Giúp giải thích vì sao phải báo kết quả theo nhóm và độ bất định.</w:t>
      </w:r>
    </w:p>
    <w:p>
      <w:pPr/>
      <w:r>
        <w:rPr>
          <w:b w:val="1"/>
        </w:rPr>
        <w:t xml:space="preserve">Hướng vận dụng và đối chứng đề xuất: </w:t>
      </w:r>
      <w:r>
        <w:rPr/>
        <w:t xml:space="preserve">Nhóm có thể học cách công bố rõ mức giảm chấp nhận được và báo số người trong từng nhóm. Khi giữ K = 5, 10, 20 thì so sánh các baseline nội bộ cùng K; không tính phần trăm thắng ENSUR dựa trên Hit Rate của một tập dài ngắn khác nhau. Đây là tài liệu phương pháp, chưa phải đối thủ bắt buộc cho hạn demo.</w:t>
      </w:r>
    </w:p>
    <w:p>
      <w:pPr>
        <w:jc w:val="left"/>
      </w:pPr>
      <w:r>
        <w:rPr>
          <w:b w:val="1"/>
        </w:rPr>
        <w:t xml:space="preserve">Nguồn tham khảo: </w:t>
      </w:r>
      <w:r>
        <w:rPr/>
        <w:t xml:space="preserve"/>
      </w:r>
      <w:hyperlink r:id="rIdReview12">
        <w:r>
          <w:rPr>
            <w:rStyle w:val="Hyperlink"/>
            <w:color w:val="0000FF"/>
            <w:u w:val="single"/>
          </w:rPr>
          <w:t xml:space="preserve">Trang bài báo</w:t>
        </w:r>
      </w:hyperlink>
      <w:r>
        <w:t xml:space="preserve">  |  </w:t>
      </w:r>
      <w:hyperlink r:id="rIdReview13">
        <w:r>
          <w:rPr>
            <w:rStyle w:val="Hyperlink"/>
            <w:color w:val="0000FF"/>
            <w:u w:val="single"/>
          </w:rPr>
          <w:t xml:space="preserve">Toàn văn PDF</w:t>
        </w:r>
      </w:hyperlink>
    </w:p>
    <w:p>
      <w:pPr/>
      <w:r>
        <w:rPr>
          <w:b/>
        </w:rPr>
        <w:t xml:space="preserve">Vị trí đối chiếu: </w:t>
      </w:r>
      <w:r>
        <w:t xml:space="preserve">Mục 6; Phụ lục C–D; Bảng 4. Không suy ra số người dùng sau xử lý khi bài chưa cung cấp rõ trong phần đối chiếu.</w:t>
      </w:r>
    </w:p>
    <w:p>
      <w:pPr>
        <w:pStyle w:val="Heading2"/>
      </w:pPr>
      <w:r>
        <w:t xml:space="preserve">2 7 Atauchi P D F, Zanon A L, Rocha L C D và Manzato M G 2025 Do Calibrated Recommendations Affect Explanations A Study on Post Hoc Adjustments</w:t>
      </w:r>
    </w:p>
    <w:p>
      <w:pPr>
        <w:keepNext/>
      </w:pPr>
      <w:r>
        <w:rPr>
          <w:b/>
        </w:rPr>
        <w:t xml:space="preserve">Thông tin công bố: </w:t>
      </w:r>
      <w:r>
        <w:t xml:space="preserve">Journal on Interactive Systems, 16(1), trang 441–460.</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Nghiên cứu so sánh các cách giải thích hậu xử lý dựa trên đồ thị tri thức, rồi kiểm tra tác động khi danh sách được hiệu chỉnh theo phân bố thuộc tính trong hồ sơ. Có cả mô hình nhúng và phương pháp dựa trên cấu trúc đường đi. Ý tưởng liên quan là thay đổi thứ tự gợi ý có thể tác động đến phần giải thích, nên cần đánh giá hai tầng riêng.</w:t>
      </w:r>
    </w:p>
    <w:p>
      <w:pPr/>
      <w:r>
        <w:rPr>
          <w:b w:val="1"/>
        </w:rPr>
        <w:t xml:space="preserve">Bộ dữ liệu: </w:t>
      </w:r>
      <w:r>
        <w:rPr/>
        <w:t xml:space="preserve">LastFM-2K và MovieLens Latest Small, được bổ sung Wikidata. Bảng 1 cho LastFM sau xử lý: 1.875 người dùng, 11.641 nghệ sĩ, 83.017 tương tác; nguồn gốc có 1.892 người dùng, 17.632 nghệ sĩ, 92.834 tương tác.</w:t>
      </w:r>
    </w:p>
    <w:p>
      <w:pPr/>
      <w:r>
        <w:rPr>
          <w:b w:val="1"/>
        </w:rPr>
        <w:t xml:space="preserve">Kết quả đạt được: </w:t>
      </w:r>
      <w:r>
        <w:rPr/>
        <w:t xml:space="preserve">Bài kết luận hiệu chỉnh có ảnh hưởng thấp đến các kết quả đánh giá giải thích. Các chỉ số LIR, ETD, SEP phản ánh các khía cạnh của lời giải thích; chúng không phải NDCG/Recall của danh sách nghệ sĩ.</w:t>
      </w:r>
    </w:p>
    <w:p>
      <w:pPr/>
      <w:r>
        <w:rPr>
          <w:b w:val="1"/>
        </w:rPr>
        <w:t xml:space="preserve">Ưu điểm: </w:t>
      </w:r>
      <w:r>
        <w:rPr/>
        <w:t xml:space="preserve">Có giá trị cho prototype vì gợi ý không chỉ cần đúng thứ tự mà còn cần giải thích trung thực. Tách đo chất lượng giải thích khỏi đo chất lượng khuyến nghị là một điểm nhóm có thể học.</w:t>
      </w:r>
    </w:p>
    <w:p>
      <w:pPr/>
      <w:r>
        <w:rPr>
          <w:b w:val="1"/>
        </w:rPr>
        <w:t xml:space="preserve">Hạn chế và điều kiện so sánh: </w:t>
      </w:r>
      <w:r>
        <w:rPr/>
        <w:t xml:space="preserve">Loại mục không nối được Wikidata làm thay đổi danh mục. Phần phương pháp có nhiều mô tả chia tập cho các nhóm thí nghiệm, nên phải gắn kết quả đúng protocol. Không chuyển nhận xét về giải thích thành tuyên bố mô hình có chất lượng xếp hạng cao hơn.</w:t>
      </w:r>
    </w:p>
    <w:p>
      <w:pPr/>
      <w:r>
        <w:rPr>
          <w:b w:val="1"/>
        </w:rPr>
        <w:t xml:space="preserve">Mức độ liên quan đến đề tài: </w:t>
      </w:r>
      <w:r>
        <w:rPr/>
        <w:t xml:space="preserve">Cao cho phần diễn giải đầu ra và mức độ minh bạch của demo; trung bình cho đối chứng định lượng M1. TF–IDF thẻ trong M2 có thể hỗ trợ chỉ ra thẻ chung, nhưng đó chưa phải toàn bộ phương pháp giải thích đồ thị của bài.</w:t>
      </w:r>
    </w:p>
    <w:p>
      <w:pPr/>
      <w:r>
        <w:rPr>
          <w:b w:val="1"/>
        </w:rPr>
        <w:t xml:space="preserve">Hướng vận dụng và đối chứng đề xuất: </w:t>
      </w:r>
      <w:r>
        <w:rPr/>
        <w:t xml:space="preserve">Nếu giao diện hiển thị lý do, cần bám cơ chế thật: ItemCF dựa trên hồ sơ, thẻ chung dựa trên dữ liệu nội dung được phép dùng, Popularity là fallback. Chỉ đánh giá lời giải thích bằng chỉ số/chấm người dùng khi có thiết kế riêng; chưa có đánh giá thì không kết luận người dùng tin tưởng hơn.</w:t>
      </w:r>
    </w:p>
    <w:p>
      <w:pPr>
        <w:jc w:val="left"/>
      </w:pPr>
      <w:r>
        <w:rPr>
          <w:b w:val="1"/>
        </w:rPr>
        <w:t xml:space="preserve">Nguồn tham khảo: </w:t>
      </w:r>
      <w:r>
        <w:rPr/>
        <w:t xml:space="preserve"/>
      </w:r>
      <w:hyperlink r:id="rIdReview14">
        <w:r>
          <w:rPr>
            <w:rStyle w:val="Hyperlink"/>
            <w:color w:val="0000FF"/>
            <w:u w:val="single"/>
          </w:rPr>
          <w:t xml:space="preserve">Trang bài báo</w:t>
        </w:r>
      </w:hyperlink>
      <w:r>
        <w:t xml:space="preserve">  |  </w:t>
      </w:r>
      <w:hyperlink r:id="rIdReview15">
        <w:r>
          <w:rPr>
            <w:rStyle w:val="Hyperlink"/>
            <w:color w:val="0000FF"/>
            <w:u w:val="single"/>
          </w:rPr>
          <w:t xml:space="preserve">Toàn văn PDF</w:t>
        </w:r>
      </w:hyperlink>
      <w:r>
        <w:t xml:space="preserve">  |  </w:t>
      </w:r>
      <w:hyperlink r:id="rIdReview16">
        <w:r>
          <w:rPr>
            <w:rStyle w:val="Hyperlink"/>
            <w:color w:val="0000FF"/>
            <w:u w:val="single"/>
          </w:rPr>
          <w:t xml:space="preserve">Mã và dữ liệu tác giả</w:t>
        </w:r>
      </w:hyperlink>
    </w:p>
    <w:p>
      <w:pPr/>
      <w:r>
        <w:rPr>
          <w:b/>
        </w:rPr>
        <w:t xml:space="preserve">Vị trí đối chiếu: </w:t>
      </w:r>
      <w:r>
        <w:t xml:space="preserve">Bảng 1; các mục thực nghiệm, kết luận và Availability of data and materials. Nhánh hiệu chỉnh riêng: https://gitlab.com/paul.atauchi/lod-personalized-recommender/-/tree/effect_calibration_explanation</w:t>
      </w:r>
    </w:p>
    <w:p>
      <w:pPr>
        <w:pStyle w:val="Heading2"/>
      </w:pPr>
      <w:r>
        <w:t xml:space="preserve">2 8 Zhao J 2025 S VAERec A Hybrid Music Recommendation Strategy Based on Generative Modelling and Music Similarity</w:t>
      </w:r>
    </w:p>
    <w:p>
      <w:pPr>
        <w:keepNext/>
      </w:pPr>
      <w:r>
        <w:rPr>
          <w:b/>
        </w:rPr>
        <w:t xml:space="preserve">Thông tin công bố: </w:t>
      </w:r>
      <w:r>
        <w:t xml:space="preserve">Applied and Computational Engineering, tập 146, trang 232–241; ngày 15/05/2025.</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S-VAERec kết hợp điểm từ tương đồng nội dung, tương đồng xã hội và VAE bằng tổng có trọng số. Lượt nghe được đổi thành điểm 1–5 theo phân vị; tương tác được chia 80/20. Cách kết hợp cho thấy một hướng xử lý độ thưa bằng nhiều nguồn thông tin, gần tư duy M2 dù mô hình cụ thể khác.</w:t>
      </w:r>
    </w:p>
    <w:p>
      <w:pPr/>
      <w:r>
        <w:rPr>
          <w:b w:val="1"/>
        </w:rPr>
        <w:t xml:space="preserve">Bộ dữ liệu: </w:t>
      </w:r>
      <w:r>
        <w:rPr/>
        <w:t xml:space="preserve">Đúng nguồn HetRec Last.fm: 1.892 người dùng, 17.632 nghệ sĩ, 92.834 tương tác; dùng user_artists.dat, user_taggedartists.dat và user_friends.dat.</w:t>
      </w:r>
    </w:p>
    <w:p>
      <w:pPr/>
      <w:r>
        <w:rPr>
          <w:b w:val="1"/>
        </w:rPr>
        <w:t xml:space="preserve">Kết quả đạt được: </w:t>
      </w:r>
      <w:r>
        <w:rPr/>
        <w:t xml:space="preserve">Bảng 4 tại trọng số VAE 0,8 báo RMSE 1,45; Hit@5 0,98; Recall@5 0,49; NDCG 0,93 không ghi K. Công thức Recall@K của bài chia cho K và dùng tập sở thích Top-K, khác Recall chuẩn chia cho số mục đích giữ lại.</w:t>
      </w:r>
    </w:p>
    <w:p>
      <w:pPr/>
      <w:r>
        <w:rPr>
          <w:b w:val="1"/>
        </w:rPr>
        <w:t xml:space="preserve">Ưu điểm: </w:t>
      </w:r>
      <w:r>
        <w:rPr/>
        <w:t xml:space="preserve">Rất gần nguồn dữ liệu và ý tưởng kết hợp. Các nhánh riêng dễ chuyển thành câu hỏi ablation để kiểm tra thông tin bổ sung có thực sự giúp hay không.</w:t>
      </w:r>
    </w:p>
    <w:p>
      <w:pPr/>
      <w:r>
        <w:rPr>
          <w:b w:val="1"/>
        </w:rPr>
        <w:t xml:space="preserve">Hạn chế và điều kiện so sánh: </w:t>
      </w:r>
      <w:r>
        <w:rPr/>
        <w:t xml:space="preserve">Bài mô tả xem test khi theo dõi huấn luyện và khảo sát trọng số; khóa luận nên chọn trên validation riêng. Bảng 4 còn ghi MSE 2,51 và RMSE 1,45, cần làm rõ cách tổng hợp vì nếu cùng phép tổng hợp thì RMSE phải bằng căn MSE. Không tự gán NDCG@5 cho con số 0,93.</w:t>
      </w:r>
    </w:p>
    <w:p>
      <w:pPr/>
      <w:r>
        <w:rPr>
          <w:b w:val="1"/>
        </w:rPr>
        <w:t xml:space="preserve">Mức độ liên quan đến đề tài: </w:t>
      </w:r>
      <w:r>
        <w:rPr/>
        <w:t xml:space="preserve">Rất cao cho biểu diễn lượt nghe và cách thiết kế hệ lai. Tuy nhiên, không sao chép ngưỡng phân vị của bài sang dữ liệu train của nhóm; nhóm phải ước lượng ngưỡng bằng phần train và lưu lại.</w:t>
      </w:r>
    </w:p>
    <w:p>
      <w:pPr/>
      <w:r>
        <w:rPr>
          <w:b w:val="1"/>
        </w:rPr>
        <w:t xml:space="preserve">Hướng vận dụng và đối chứng đề xuất: </w:t>
      </w:r>
      <w:r>
        <w:rPr/>
        <w:t xml:space="preserve">Nên học cấu trúc ablation ba nguồn hơn là theo đuổi Hit@5 0,98. Bài nêu Xeon E5-2680 v4, RAM 30 GB, RTX A2000 12 GB và 200 epoch. Nếu nhóm không tái lập VAE vì ngân sách, ghi đây là giới hạn phạm vi; chưa chạy lại thì chưa biết phần chênh lệch do phần cứng. M2 hiện vẫn là ItemCF, thẻ và Popularity.</w:t>
      </w:r>
    </w:p>
    <w:p>
      <w:pPr>
        <w:jc w:val="left"/>
      </w:pPr>
      <w:r>
        <w:rPr>
          <w:b w:val="1"/>
        </w:rPr>
        <w:t xml:space="preserve">Nguồn tham khảo: </w:t>
      </w:r>
      <w:r>
        <w:rPr/>
        <w:t xml:space="preserve"/>
      </w:r>
      <w:hyperlink r:id="rIdReview17">
        <w:r>
          <w:rPr>
            <w:rStyle w:val="Hyperlink"/>
            <w:color w:val="0000FF"/>
            <w:u w:val="single"/>
          </w:rPr>
          <w:t xml:space="preserve">Trang bài báo</w:t>
        </w:r>
      </w:hyperlink>
      <w:r>
        <w:t xml:space="preserve">  |  </w:t>
      </w:r>
      <w:hyperlink r:id="rIdReview18">
        <w:r>
          <w:rPr>
            <w:rStyle w:val="Hyperlink"/>
            <w:color w:val="0000FF"/>
            <w:u w:val="single"/>
          </w:rPr>
          <w:t xml:space="preserve">Toàn văn PDF</w:t>
        </w:r>
      </w:hyperlink>
    </w:p>
    <w:p>
      <w:pPr/>
      <w:r>
        <w:rPr>
          <w:b/>
        </w:rPr>
        <w:t xml:space="preserve">Vị trí đối chiếu: </w:t>
      </w:r>
      <w:r>
        <w:t xml:space="preserve">Mục 4.1–4.3 và 5; Bảng 3–4; trang in 236–240.</w:t>
      </w:r>
    </w:p>
    <w:p>
      <w:pPr>
        <w:pStyle w:val="Heading2"/>
      </w:pPr>
      <w:r>
        <w:t xml:space="preserve">2 9 Martal D V và Najib M K 2025 Music Artist Recommendation System Based on Listening History Using SVD and MICE Imputation Approaches</w:t>
      </w:r>
    </w:p>
    <w:p>
      <w:pPr>
        <w:keepNext/>
      </w:pPr>
      <w:r>
        <w:rPr>
          <w:b/>
        </w:rPr>
        <w:t xml:space="preserve">Thông tin công bố: </w:t>
      </w:r>
      <w:r>
        <w:t xml:space="preserve">Zeta Math Journal, 10(1), trang 70–80; tháng 05/2025.</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Tác giả đối chiếu SVD với cách tiếp cận được gọi là MICE kết hợp điền trung bình và tối ưu ALS. Nghiên cứu tăng số thành phần tiềm ẩn và quan sát mức trùng giữa các danh sách gợi ý. Đây là một ví dụ trực tiếp về khuyến nghị nghệ sĩ bằng phân rã ma trận, nhưng cách đánh giá cần được đọc kỹ.</w:t>
      </w:r>
    </w:p>
    <w:p>
      <w:pPr/>
      <w:r>
        <w:rPr>
          <w:b w:val="1"/>
        </w:rPr>
        <w:t xml:space="preserve">Bộ dữ liệu: </w:t>
      </w:r>
      <w:r>
        <w:rPr/>
        <w:t xml:space="preserve">Nguồn HetRec 2011 Last.fm; phần thực nghiệm chọn 500 người dùng, 1.510 nghệ sĩ và 13.633 bản ghi. Cấu hình được nêu là Celeron N4000, RAM 4 GB, Julia 1.8.5.</w:t>
      </w:r>
    </w:p>
    <w:p>
      <w:pPr/>
      <w:r>
        <w:rPr>
          <w:b w:val="1"/>
        </w:rPr>
        <w:t xml:space="preserve">Kết quả đạt được: </w:t>
      </w:r>
      <w:r>
        <w:rPr/>
        <w:t xml:space="preserve">Bài báo cáo SVD đạt 90,22% và phương án MICE 96%. Theo công thức (8), Accuracy ở đây đo sự nhất quán/trùng nhau của gợi ý khi thay đổi số thành phần, không phải tỷ lệ tìm đúng nghệ sĩ ẩn trên tập test độc lập.</w:t>
      </w:r>
    </w:p>
    <w:p>
      <w:pPr/>
      <w:r>
        <w:rPr>
          <w:b w:val="1"/>
        </w:rPr>
        <w:t xml:space="preserve">Ưu điểm: </w:t>
      </w:r>
      <w:r>
        <w:rPr/>
        <w:t xml:space="preserve">Gần mô hình nền và cho thấy một nghiên cứu có thể thực hiện trên laptop cấu hình thấp nếu giới hạn quy mô. Hữu ích để phân biệt ổn định đầu ra với đúng sở thích.</w:t>
      </w:r>
    </w:p>
    <w:p>
      <w:pPr/>
      <w:r>
        <w:rPr>
          <w:b w:val="1"/>
        </w:rPr>
        <w:t xml:space="preserve">Hạn chế và điều kiện so sánh: </w:t>
      </w:r>
      <w:r>
        <w:rPr/>
        <w:t xml:space="preserve">Danh sách rất ổn định vẫn có thể ít liên quan hoặc chỉ toàn nghệ sĩ phổ biến. Tập con nhỏ hơn làm so sánh toàn danh mục thiếu công bằng. Không tự coi nhãn MICE trong bài là triển khai MICE thống kê chuẩn nếu chưa kiểm tra mã và thủ tục cụ thể.</w:t>
      </w:r>
    </w:p>
    <w:p>
      <w:pPr/>
      <w:r>
        <w:rPr>
          <w:b w:val="1"/>
        </w:rPr>
        <w:t xml:space="preserve">Mức độ liên quan đến đề tài: </w:t>
      </w:r>
      <w:r>
        <w:rPr/>
        <w:t xml:space="preserve">Cao cho thảo luận SVD/PureSVD và độ nhạy số chiều; thấp về khả năng dùng 96% làm chuẩn chất lượng. Dùng tài liệu này để minh họa vì sao khóa luận chọn evaluator Top-K rõ ràng.</w:t>
      </w:r>
    </w:p>
    <w:p>
      <w:pPr/>
      <w:r>
        <w:rPr>
          <w:b w:val="1"/>
        </w:rPr>
        <w:t xml:space="preserve">Hướng vận dụng và đối chứng đề xuất: </w:t>
      </w:r>
      <w:r>
        <w:rPr/>
        <w:t xml:space="preserve">Chạy SVD/PureSVD trên cùng split, cùng tập đích và cùng danh mục với các baseline. Có thể báo thêm độ ổn định giữa seed/số chiều như một phân tích phụ, nhưng vẫn phải dùng NDCG/Recall để đánh giá tìm đúng. Không nói nhóm kém hơn bài vì NDCG nhỏ hơn 0,96; đó là hai đại lượng khác nhau.</w:t>
      </w:r>
    </w:p>
    <w:p>
      <w:pPr>
        <w:jc w:val="left"/>
      </w:pPr>
      <w:r>
        <w:rPr>
          <w:b w:val="1"/>
        </w:rPr>
        <w:t xml:space="preserve">Nguồn tham khảo: </w:t>
      </w:r>
      <w:r>
        <w:rPr/>
        <w:t xml:space="preserve"/>
      </w:r>
      <w:hyperlink r:id="rIdReview19">
        <w:r>
          <w:rPr>
            <w:rStyle w:val="Hyperlink"/>
            <w:color w:val="0000FF"/>
            <w:u w:val="single"/>
          </w:rPr>
          <w:t xml:space="preserve">Trang bài báo</w:t>
        </w:r>
      </w:hyperlink>
      <w:r>
        <w:t xml:space="preserve">  |  </w:t>
      </w:r>
      <w:hyperlink r:id="rIdReview20">
        <w:r>
          <w:rPr>
            <w:rStyle w:val="Hyperlink"/>
            <w:color w:val="0000FF"/>
            <w:u w:val="single"/>
          </w:rPr>
          <w:t xml:space="preserve">Toàn văn PDF</w:t>
        </w:r>
      </w:hyperlink>
    </w:p>
    <w:p>
      <w:pPr/>
      <w:r>
        <w:rPr>
          <w:b/>
        </w:rPr>
        <w:t xml:space="preserve">Vị trí đối chiếu: </w:t>
      </w:r>
      <w:r>
        <w:t xml:space="preserve">Mục 3–4; công thức (8); Bảng 2 và 6–10; trang in 73–79.</w:t>
      </w:r>
    </w:p>
    <w:p>
      <w:pPr>
        <w:pStyle w:val="Heading2"/>
      </w:pPr>
      <w:r>
        <w:t xml:space="preserve">2 10 Hu F và Lin J 2025 Temporal Enhancement of Top N Recommendation on Heterogeneous Graphs</w:t>
      </w:r>
    </w:p>
    <w:p>
      <w:pPr>
        <w:keepNext/>
      </w:pPr>
      <w:r>
        <w:rPr>
          <w:b/>
        </w:rPr>
        <w:t xml:space="preserve">Thông tin công bố: </w:t>
      </w:r>
      <w:r>
        <w:t xml:space="preserve">Applied Sciences, 15(7), 3929; công bố ngày 03/04/2025.</w:t>
      </w:r>
    </w:p>
    <w:p>
      <w:pPr/>
      <w:r>
        <w:rPr>
          <w:rFonts w:ascii="Times New Roman" w:hAnsi="Times New Roman" w:eastAsia="Times New Roman"/>
          <w:b w:val="1"/>
          <w:sz w:val="24"/>
        </w:rPr>
        <w:t xml:space="preserve">Phương pháp nghiên cứu: </w:t>
      </w:r>
      <w:r>
        <w:rPr>
          <w:rFonts w:ascii="Times New Roman" w:hAnsi="Times New Roman" w:eastAsia="Times New Roman"/>
          <w:sz w:val="24"/>
        </w:rPr>
        <w:t xml:space="preserve">TMRec sử dụng LSTM và residual self-attention để học biểu diễn người dùng, mục và các đường liên hệ trong mạng dị thể. Deep perception self-attention cùng collaborative attention kết hợp thông tin từ các meta-path. Với âm nhạc, đường người dùng–nghệ sĩ–thẻ–nghệ sĩ giúp kết nối dữ liệu tương tác và nội dung.</w:t>
      </w:r>
    </w:p>
    <w:p>
      <w:pPr/>
      <w:r>
        <w:rPr>
          <w:b w:val="1"/>
        </w:rPr>
        <w:t xml:space="preserve">Bộ dữ liệu: </w:t>
      </w:r>
      <w:r>
        <w:rPr/>
        <w:t xml:space="preserve">LastFM với 1.892 người dùng, 17.632 nghệ sĩ; thêm MovieLens, Yelp và DUNN. Bài mô tả chia 80% train, 20% test và báo trung bình 10 thí nghiệm.</w:t>
      </w:r>
    </w:p>
    <w:p>
      <w:pPr/>
      <w:r>
        <w:rPr>
          <w:b w:val="1"/>
        </w:rPr>
        <w:t xml:space="preserve">Kết quả đạt được: </w:t>
      </w:r>
      <w:r>
        <w:rPr/>
        <w:t xml:space="preserve">Bảng 2 trên LastFM: Precision@10 0,4933; Recall@10 0,5186; NDCG@10 0,8691. Bảng ablation 3 lại ghi NDCG@10 của mô hình đầy đủ là 0,8681; cần giữ đúng vị trí nguồn thay vì gộp hai số.</w:t>
      </w:r>
    </w:p>
    <w:p>
      <w:pPr/>
      <w:r>
        <w:rPr>
          <w:b w:val="1"/>
        </w:rPr>
        <w:t xml:space="preserve">Ưu điểm: </w:t>
      </w:r>
      <w:r>
        <w:rPr/>
        <w:t xml:space="preserve">Gợi ý cách biểu diễn quan hệ người dùng, nghệ sĩ, thẻ và cách kiểm tra từng mô-đun. Có cả đối chứng CF và mô hình mạng dị thể.</w:t>
      </w:r>
    </w:p>
    <w:p>
      <w:pPr/>
      <w:r>
        <w:rPr>
          <w:b w:val="1"/>
        </w:rPr>
        <w:t xml:space="preserve">Hạn chế và điều kiện so sánh: </w:t>
      </w:r>
      <w:r>
        <w:rPr/>
        <w:t xml:space="preserve">Chưa thể xem đây là chuẩn điểm số tương đương. Cần xác minh cách tạo thứ tự/thông tin thời gian trên LastFM, quy tắc relevance, tập ứng viên và việc chọn cấu hình. user_artists.dat không chứa thời gian nghe; không được suy thời gian nghe từ bảng gán thẻ. Mô hình nhiều nhánh cũng cần ngân sách triển khai lớn hơn CF nền.</w:t>
      </w:r>
    </w:p>
    <w:p>
      <w:pPr/>
      <w:r>
        <w:rPr>
          <w:b w:val="1"/>
        </w:rPr>
        <w:t xml:space="preserve">Mức độ liên quan đến đề tài: </w:t>
      </w:r>
      <w:r>
        <w:rPr/>
        <w:t xml:space="preserve">Cao cho tổng quan hướng khai thác thẻ và quan hệ phức hợp, trung bình cho tái lập trước demo. Nhóm có thể giải thích việc chọn TF–IDF thẻ như một giải pháp đơn giản hơn về triển khai, nhưng hiệu quả vẫn phải được đo.</w:t>
      </w:r>
    </w:p>
    <w:p>
      <w:pPr/>
      <w:r>
        <w:rPr>
          <w:b w:val="1"/>
        </w:rPr>
        <w:t xml:space="preserve">Hướng vận dụng và đối chứng đề xuất: </w:t>
      </w:r>
      <w:r>
        <w:rPr/>
        <w:t xml:space="preserve">Chỉ dùng 0,8691 như số tác giả báo trong Bảng 2, không làm mục tiêu bắt buộc phải vượt. Nếu có mã và protocol xác minh đầy đủ, chạy lại trên split của nhóm rồi mới so mô hình. Khi chưa có điều kiện đó, chỉ đối chiếu phương pháp, thông tin đầu vào và độ phức tạp, không kết luận nhóm thua do thiếu GPU.</w:t>
      </w:r>
    </w:p>
    <w:p>
      <w:pPr>
        <w:jc w:val="left"/>
      </w:pPr>
      <w:r>
        <w:rPr>
          <w:b w:val="1"/>
        </w:rPr>
        <w:t xml:space="preserve">Nguồn tham khảo: </w:t>
      </w:r>
      <w:r>
        <w:rPr/>
        <w:t xml:space="preserve"/>
      </w:r>
      <w:hyperlink r:id="rIdReview21">
        <w:r>
          <w:rPr>
            <w:rStyle w:val="Hyperlink"/>
            <w:color w:val="0000FF"/>
            <w:u w:val="single"/>
          </w:rPr>
          <w:t xml:space="preserve">Trang bài báo</w:t>
        </w:r>
      </w:hyperlink>
      <w:r>
        <w:t xml:space="preserve">  |  </w:t>
      </w:r>
      <w:hyperlink r:id="rIdReview22">
        <w:r>
          <w:rPr>
            <w:rStyle w:val="Hyperlink"/>
            <w:color w:val="0000FF"/>
            <w:u w:val="single"/>
          </w:rPr>
          <w:t xml:space="preserve">Toàn văn PDF</w:t>
        </w:r>
      </w:hyperlink>
    </w:p>
    <w:p>
      <w:pPr/>
      <w:r>
        <w:rPr>
          <w:b/>
        </w:rPr>
        <w:t xml:space="preserve">Vị trí đối chiếu: </w:t>
      </w:r>
      <w:r>
        <w:t xml:space="preserve">Mục 5.1–5.4; Bảng 2–3; trang PDF 11, 13, 15.</w:t>
      </w:r>
    </w:p>
    <w:p>
      <w:pPr>
        <w:pStyle w:val="Heading1"/>
      </w:pPr>
      <w:r>
        <w:t xml:space="preserve">3 Nhận xét tổng hợp phục vụ khóa luận</w:t>
      </w:r>
    </w:p>
    <w:p>
      <w:pPr/>
      <w:r>
        <w:t xml:space="preserve">Dữ liệu của nhóm có 92.834 cặp người dùng–nghệ sĩ, 1.892 người dùng và 17.632 nghệ sĩ; độ thưa EDA là 99,7217%. Có 60,57% nghệ sĩ chỉ có một người nghe. Điều này làm lựa chọn giữ danh mục đuôi dài trở thành một phần quan trọng của thiết kế. Nếu một bài lọc bỏ phần lớn nghệ sĩ hiếm, điểm số cao hơn có thể phản ánh dữ liệu dễ hơn, chưa chứng minh thuật toán tốt hơn trên phạm vi nhóm cần giải quyết.</w:t>
      </w:r>
    </w:p>
    <w:p>
      <w:pPr/>
      <w:r>
        <w:t xml:space="preserve">Có ba tầng đối chiếu. Tầng thứ nhất là các mô hình nhóm tự chạy trên cùng pipeline: Random, Popularity, UserCF, ItemCF, MF có độ lệch thường gọi SVD và PureSVD. Đây là cơ sở trực tiếp để trả lời mô hình nào tốt hơn. Tầng thứ hai là công trình ngoài có mã và đủ protocol để chạy lại, ưu tiên CLSRec [5] nếu còn ngân sách. Tầng thứ ba là bài chỉ dùng để học hướng đi hoặc đọc số tác giả báo; chưa đủ điều kiện so sánh thắng thua trực tiếp.</w:t>
      </w:r>
    </w:p>
    <w:p>
      <w:pPr/>
      <w:r>
        <w:t xml:space="preserve">M1 nên được trình bày như một giả thuyết về đánh đổi: danh sách có thể đa dạng hơn và ít tập trung vào nghệ sĩ phổ biến, với mức mất chất lượng được khống chế. M2 là giả thuyết về việc kết hợp ItemCF từ hồ sơ, nội dung thẻ và Popularity ở N = 0, 1, 3, 5. Hai hướng này chưa trở thành đóng góp thực nghiệm cho đến khi có ablation và kết quả kiểm tra hợp lệ.</w:t>
      </w:r>
    </w:p>
    <w:p>
      <w:pPr/>
      <w:r>
        <w:t xml:space="preserve">Ưu tiên đọc sâu [2], [5], [8], [9] vì gần dữ liệu hoặc mô hình; đọc [1], [3], [6] để hiểu điều kiện đánh giá và công bằng; dùng [4], [7], [10] để mở rộng thảo luận về nhóm khó, giải thích và khai thác quan hệ. Việc chọn bài mới không thay thế các tài liệu nền kinh điển đã có trong kế hoạch học của nhóm.</w:t>
      </w:r>
    </w:p>
    <w:p>
      <w:pPr>
        <w:pStyle w:val="Heading1"/>
      </w:pPr>
      <w:r>
        <w:t xml:space="preserve">4 Gợi ý sử dụng trong Chương 2</w:t>
      </w:r>
    </w:p>
    <w:p>
      <w:pPr/>
      <w:r>
        <w:t xml:space="preserve">Có thể tổ chức tổng quan thành ba mạch: khuyến nghị từ tương tác và phân rã ma trận; kết hợp thông tin phụ để giảm tác động của độ thưa và ít lịch sử; tái xếp hạng và đánh giá ngoài độ chính xác. Mỗi mạch kết thúc bằng một quyết định của khóa luận, ví dụ giữ baseline đơn giản, dùng thẻ sẵn có, hoặc đặt ngưỡng mất NDCG trước khi chọn M1.</w:t>
      </w:r>
    </w:p>
    <w:p>
      <w:pPr/>
      <w:r>
        <w:rPr>
          <w:b/>
        </w:rPr>
        <w:t xml:space="preserve">Đoạn văn tham khảo: </w:t>
      </w:r>
      <w:r>
        <w:t xml:space="preserve">Các công trình gần đây đã khai thác quan hệ xã hội, thẻ và đồ thị tri thức để bổ sung tín hiệu tương tác [1], [5], [8], [10]. Tuy nhiên, tập dữ liệu sau lọc, thông tin phụ và quy trình đánh giá khác nhau làm hạn chế việc đối chiếu trực tiếp các điểm số công bố. Với phạm vi HetRec 2011 Last.fm 2K và hạn demo hiện tại, khóa luận cần xây dựng bộ so sánh thống nhất cho các mô hình lọc cộng tác trước khi đánh giá lợi ích của tái xếp hạng và kết hợp nội dung.</w:t>
      </w:r>
    </w:p>
    <w:p>
      <w:pPr/>
      <w:r>
        <w:rPr>
          <w:b/>
        </w:rPr>
        <w:t xml:space="preserve">Đoạn văn tham khảo: </w:t>
      </w:r>
      <w:r>
        <w:t xml:space="preserve">Kết quả của Sheikhi Darani và Hosseini [2] minh họa sự đánh đổi giữa chất lượng xếp hạng với đa dạng; Schirmer và cộng sự [3] bổ sung rằng giảm mức phổ biến chưa đủ chứng minh danh sách phù hợp hơn với từng người dùng. Vì vậy, khóa luận cần báo đồng thời NDCG, đa dạng, mức phổ biến và kết quả theo nhóm. Hiệu quả M1/M2 phải được xác định từ các biến thể đối chứng trên cùng dữ liệu, chưa thể khẳng định trước khi thực nghiệm.</w:t>
      </w:r>
    </w:p>
    <w:p>
      <w:pPr/>
      <w:r>
        <w:t xml:space="preserve">Không viết khoảng trống theo kiểu chưa có ai dùng thẻ, chưa có ai giải quyết cold-start hoặc mô hình của nhóm mới hơn mọi nghiên cứu trước. Đóng góp khả thi của một khóa luận có thể nằm ở so sánh có kiểm soát, ghi nhận đánh đổi rõ, phân tích trường hợp thất bại và demo tái lập được. Mức độ mới cần được phát biểu đúng bằng chứng.</w:t>
      </w:r>
    </w:p>
    <w:p>
      <w:pPr>
        <w:pStyle w:val="Heading1"/>
      </w:pPr>
      <w:r>
        <w:t xml:space="preserve">5 Thiết kế so sánh sau khi có kết quả</w:t>
      </w:r>
    </w:p>
    <w:p>
      <w:pPr>
        <w:pStyle w:val="Heading2"/>
      </w:pPr>
      <w:r>
        <w:t xml:space="preserve">5 1 Các điều kiện phải thống nhất</w:t>
      </w:r>
    </w:p>
    <w:p>
      <w:pPr/>
      <w:r>
        <w:t xml:space="preserve">Trước khi so điểm cần đối chiếu: cùng bản dữ liệu và số lượng sau lọc; cùng đơn vị nghệ sĩ; cùng train/validation/test; cùng định nghĩa mục liên quan; cùng danh mục ứng viên và lọc lịch sử; cùng K và công thức độ đo; cùng nhóm người dùng; cùng cách chọn cấu hình và ngân sách tìm kiếm. Chỉ một thay đổi lớn ở các mục này cũng có thể làm hai điểm số không tương đương.</w:t>
      </w:r>
    </w:p>
    <w:p>
      <w:pPr/>
      <w:r>
        <w:t xml:space="preserve">Protocol hiện dự kiến của nhóm dùng seed 42, chia ngẫu nhiên theo người dùng: n_val = n_test = max(1, floor(0,1 × n)), train nhận phần còn lại. Chọn cấu hình bằng NDCG@10 validation và báo Precision/Recall/NDCG tại K = 5, 10, 20. Đây là che giấu tương tác ngẫu nhiên, không phải temporal split. Khi triển khai phải khóa chính xác tập ứng viên, nghệ sĩ không xuất hiện trong train và quy tắc loại lịch sử cho từng giai đoạn.</w:t>
      </w:r>
    </w:p>
    <w:p>
      <w:pPr/>
      <w:r>
        <w:t xml:space="preserve">Từ vựng, IDF, mức phổ biến và ngưỡng quy đổi điểm phải được học bằng dữ liệu được phép dùng. Không chọn trọng số, số chiều hoặc biểu diễn bằng test. Không chuyển timestamp gán thẻ thành thứ tự nghe. Nhãn thẻ, quan hệ xã hội và KG phải có cùng quy tắc truy cập giữa các mô hình được gọi là so sánh công bằng.</w:t>
      </w:r>
    </w:p>
    <w:p>
      <w:pPr>
        <w:pStyle w:val="Heading2"/>
      </w:pPr>
      <w:r>
        <w:t xml:space="preserve">5 2 Đối chứng M1 và M2</w:t>
      </w:r>
    </w:p>
    <w:p>
      <w:pPr/>
      <w:r>
        <w:t xml:space="preserve">M1 dùng cùng mô hình nền được chọn trên validation và C = 100 ứng viên. So nền, chỉ đa dạng, chỉ phạt phổ biến và đầy đủ. Báo NDCG@10, ILD, ARP và catalog coverage; vẽ đường đánh đổi theo các trọng số. Theo kế hoạch hiện có, chỉ chọn cấu hình đạt mức giảm NDCG@10 tương đối không quá 5%; sau đó ưu tiên ARP thấp hơn, ILD cao hơn, rồi NDCG cao hơn. Nếu không cấu hình nào đạt điều kiện thì báo đúng kết quả đó.</w:t>
      </w:r>
    </w:p>
    <w:p>
      <w:pPr/>
      <w:r>
        <w:t xml:space="preserve">M2 dùng chia người dùng học/tinh chỉnh/kiểm tra 80/10/10 và chỉ học ItemCF, độ phổ biến, nội dung thẻ từ nhóm học được phép dùng. Hồ sơ đánh giá cung cấp N = 0, 1, 3, 5 nghệ sĩ, giữ cùng nhóm người dùng đủ điều kiện ở mọi N. So Popularity, nội dung thẻ, ItemCF hồ sơ và kết hợp. N = 0 kiểm tra fallback; thiếu thẻ cần có đường xử lý và số lượng trường hợp. Không gộp kết quả này với warm-start như cùng một thí nghiệm.</w:t>
      </w:r>
    </w:p>
    <w:p>
      <w:pPr/>
      <w:r>
        <w:t xml:space="preserve">Khi báo ILD phải nêu vector/độ tương đồng nào được dùng và cách xử lý nghệ sĩ thiếu đặc trưng. Khi báo ARP phải nêu mức phổ biến tính theo số người nghe hay đại lượng khác và chỉ tính từ train. Catalog coverage phải có mẫu số là danh mục nào. Một chỉ số không thể thay cho tất cả: Coverage cao hơn chưa chắc chính xác hơn, ARP thấp hơn chưa chắc phù hợp hơn.</w:t>
      </w:r>
    </w:p>
    <w:p>
      <w:pPr>
        <w:pStyle w:val="Heading2"/>
      </w:pPr>
      <w:r>
        <w:t xml:space="preserve">5 3 Cách phát biểu tốt hơn hoặc chưa tốt hơn</w:t>
      </w:r>
    </w:p>
    <w:p>
      <w:pPr/>
      <w:r>
        <w:t xml:space="preserve">Với chỉ số càng cao càng tốt, chênh lệch tuyệt đối là M_nhóm − M_đối_chứng; chênh lệch tương đối là (M_nhóm − M_đối_chứng) / M_đối_chứng × 100%, khi mẫu số khác 0. Với ARP, thời gian và bộ nhớ phải nói rõ chiều ưu tiên; ARP thấp hơn chỉ là giảm mức phổ biến. Không gọi chênh lệch tuyệt đối 0,01 là tăng 1% nếu chưa xác định thang và mẫu số.</w:t>
      </w:r>
    </w:p>
    <w:p>
      <w:pPr/>
      <w:r>
        <w:rPr>
          <w:b/>
        </w:rPr>
        <w:t xml:space="preserve">Ví dụ minh họa: </w:t>
      </w:r>
      <w:r>
        <w:t xml:space="preserve">Giả sử NDCG@10 của nền là 0,200 và M1 là 0,194: mức giảm tương đối là 3%. Nếu ILD tăng và ARP giảm, có thể kết luận M1 đạt đánh đổi đã đặt trong thí nghiệm đó, chưa thể nói M1 tốt hơn trên mọi phương diện. Các số này chỉ là ví dụ tính toán, không phải kết quả của khóa luận.</w:t>
      </w:r>
    </w:p>
    <w:p>
      <w:pPr/>
      <w:r>
        <w:t xml:space="preserve">Báo trung bình và độ lệch chuẩn qua seed phù hợp, bootstrap 95% theo người dùng và kiểm định cặp đã định trước. Kế hoạch nhóm dự kiến bootstrap 1.000 lần, Wilcoxon và hiệu chỉnh Holm cho các cặp chính. Chênh lệch rất nhỏ dù có ý nghĩa thống kê vẫn cần đánh giá giá trị thực tế. Không chọn seed cao nhất để trình bày.</w:t>
      </w:r>
    </w:p>
    <w:p>
      <w:pPr/>
      <w:r>
        <w:rPr>
          <w:b/>
        </w:rPr>
        <w:t xml:space="preserve">Khung viết sau thực nghiệm: </w:t>
      </w:r>
      <w:r>
        <w:t xml:space="preserve">Mô hình A đạt NDCG@10 là [giá trị], so với [giá trị] của B trên cùng split và cùng ứng viên; chênh lệch tương đối [giá trị]%, khoảng tin cậy [giá trị]. Đổi lại, thời gian huấn luyện hoặc ILD thay đổi [giá trị]. Kết luận chỉ áp dụng cho phạm vi đánh giá này.</w:t>
      </w:r>
    </w:p>
    <w:p>
      <w:pPr>
        <w:pStyle w:val="Heading1"/>
      </w:pPr>
      <w:r>
        <w:t xml:space="preserve">6 Giải thích giới hạn phần cứng và thời gian bằng bằng chứng</w:t>
      </w:r>
    </w:p>
    <w:p>
      <w:pPr/>
      <w:r>
        <w:t xml:space="preserve">Phần cứng thường ảnh hưởng trực tiếp tốc độ và khả năng chạy cấu hình lớn. Nó chỉ có thể giải thích chất lượng thấp hơn khi thật sự làm giảm ngân sách tìm kiếm, số epoch, kích thước mô hình hoặc quy mô dữ liệu. Cùng thuật toán, dữ liệu và cấu hình, chạy CPU chậm hơn không tự động có nghĩa độ chính xác phải thấp hơn. Cần kiểm tra evaluator và rò rỉ trước khi quy nguyên nhân cho tài nguyên.</w:t>
      </w:r>
    </w:p>
    <w:p>
      <w:pPr/>
      <w:r>
        <w:t xml:space="preserve">Mỗi run nên ghi CPU, GPU/VRAM nếu có, RAM, hệ điều hành, phiên bản thư viện, số luồng, seed, số cấu hình thử, số epoch thực tế và tiêu chí dừng. Đo riêng thời gian xử lý dữ liệu, huấn luyện, sinh ứng viên và tái xếp hạng; đo RAM/VRAM đỉnh, kích thước artifact và độ trễ suy luận. Khi đo suy luận cần nêu batch, số yêu cầu, warm-up và trung vị/p95. Không lấy thời gian từ hai máy khác nhau để khẳng định thuật toán nhanh hơn.</w:t>
      </w:r>
    </w:p>
    <w:p>
      <w:pPr/>
      <w:r>
        <w:t xml:space="preserve">Nếu có lỗi hết RAM/VRAM hoặc run vượt ngân sách, lưu log và nêu cấu hình không thể chạy. Muốn kiểm tra ảnh hưởng của giới hạn, có thể so các cấu hình vừa tài nguyên theo một đường chất lượng–chi phí trên cùng máy. Đây là cách thu thập bằng chứng; chưa thực hiện thì chỉ được ghi giả thuyết hoặc giới hạn phạm vi, không ghi thành nguyên nhân đã được chứng minh.</w:t>
      </w:r>
    </w:p>
    <w:p>
      <w:pPr/>
      <w:r>
        <w:t xml:space="preserve">Do ngân sách thời gian từ nay đến cuối tháng 11/2026, nhóm ưu tiên hoàn thiện sáu baseline và kiểm chứng M1/M2 theo kế hoạch. Không tự thêm GNN, VAE, SASRec hoặc thu thập KG chỉ để danh sách mô hình dài hơn. Nếu cần chọn một đối chứng ngoài, ưu tiên bài [5] vì có mã và gần nguồn dữ liệu; việc chạy thêm vẫn cần được thống nhất như một bước riêng của dự án.</w:t>
      </w:r>
    </w:p>
    <w:p>
      <w:pPr/>
      <w:r>
        <w:rPr>
          <w:b/>
        </w:rPr>
        <w:t xml:space="preserve">Khung viết khi chưa vượt đối chứng: </w:t>
      </w:r>
      <w:r>
        <w:t xml:space="preserve">Kết quả thấp hơn bài [số] chưa thể được quy hoàn toàn cho phần cứng vì hai thiết lập còn khác [dữ liệu/ứng viên/thông tin phụ]. Trong điều kiện cùng protocol nội bộ, giới hạn tài nguyên đã được quan sát ở [log hoặc phép đo], khiến nhóm chỉ thử [ngân sách thực tế]. Do chưa có đối chứng lớn hơn, đây là giới hạn nghiên cứu và giả thuyết giải thích, không phải kết luận nhân quả.</w:t>
      </w:r>
    </w:p>
    <w:p>
      <w:pPr>
        <w:pStyle w:val="Heading1"/>
      </w:pPr>
      <w:r>
        <w:t xml:space="preserve">7 Tài liệu tham khảo và nguồn dữ liệu</w:t>
      </w:r>
    </w:p>
    <w:p>
      <w:pPr/>
      <w:r>
        <w:t xml:space="preserve">Danh mục [1]–[10] dưới đây tương ứng đúng thứ tự phân tích. DOI/trang bài báo dùng để xác định công trình; liên kết PDF ở từng mục hỗ trợ đọc toàn văn. Ngày truy cập nguồn trực tuyến 20/10/2026. Tên nguyên bản được giữ ở danh mục để thuận tiện tìm kiếm.</w:t>
      </w:r>
    </w:p>
    <w:p>
      <w:pPr/>
      <w:r>
        <w:t xml:space="preserve">[1] S. Niu, K. Chi, T. Su, Y. Yang, and J. Gao, “Knowledge-Aware Recommendation Based on Hypergraph and Knowledge Graph,” AI, vol. 7, no. 6, art. 215, 2026. </w:t>
      </w:r>
      <w:hyperlink r:id="rIdReview23">
        <w:r>
          <w:rPr>
            <w:rStyle w:val="Hyperlink"/>
            <w:color w:val="0000FF"/>
            <w:u w:val="single"/>
          </w:rPr>
          <w:t xml:space="preserve">DOI hoặc trang công bố</w:t>
        </w:r>
      </w:hyperlink>
    </w:p>
    <w:p>
      <w:pPr/>
      <w:r>
        <w:t xml:space="preserve">[2] Z. Sheikhi Darani and M. Hosseini, “Personalized novelty-aware recommendation in social recommender systems: A Framework,” PLOS One, vol. 21, no. 4, e0344537, 2026. </w:t>
      </w:r>
      <w:hyperlink r:id="rIdReview24">
        <w:r>
          <w:rPr>
            <w:rStyle w:val="Hyperlink"/>
            <w:color w:val="0000FF"/>
            <w:u w:val="single"/>
          </w:rPr>
          <w:t xml:space="preserve">DOI hoặc trang công bố</w:t>
        </w:r>
      </w:hyperlink>
    </w:p>
    <w:p>
      <w:pPr/>
      <w:r>
        <w:t xml:space="preserve">[3] M. Schirmer, A. Thielmann, P. Schwöbel, T. Martynec, G. Di Benedetto, B. London, and Y. Stein, “Aligning Recommendations with User Popularity Preferences,” arXiv:2604.01036v1, 2026; arXiv ghi Accepted at FAccT 2026. </w:t>
      </w:r>
      <w:hyperlink r:id="rIdReview25">
        <w:r>
          <w:rPr>
            <w:rStyle w:val="Hyperlink"/>
            <w:color w:val="0000FF"/>
            <w:u w:val="single"/>
          </w:rPr>
          <w:t xml:space="preserve">DOI hoặc trang công bố</w:t>
        </w:r>
      </w:hyperlink>
    </w:p>
    <w:p>
      <w:pPr/>
      <w:r>
        <w:t xml:space="preserve">[4] D. Samir, E. Abd El Reheem, S. M. Darwish, and M. M. Madbouly, “A neutrosophic clustering approach to handle recommendation uncertainty for gray sheep users,” Scientific Reports, vol. 16, art. 9663, 2026. </w:t>
      </w:r>
      <w:hyperlink r:id="rIdReview26">
        <w:r>
          <w:rPr>
            <w:rStyle w:val="Hyperlink"/>
            <w:color w:val="0000FF"/>
            <w:u w:val="single"/>
          </w:rPr>
          <w:t xml:space="preserve">DOI hoặc trang công bố</w:t>
        </w:r>
      </w:hyperlink>
    </w:p>
    <w:p>
      <w:pPr/>
      <w:r>
        <w:t xml:space="preserve">[5] L. Wang, W. Wang, X. Xiao, and Q. Li, “Social Relation Meets Recommendation: Augmentation and Alignment,” CIKM 2025, pp. 5309–5313, 2025; nội dung đối chiếu arXiv:2502.15695v3. </w:t>
      </w:r>
      <w:hyperlink r:id="rIdReview27">
        <w:r>
          <w:rPr>
            <w:rStyle w:val="Hyperlink"/>
            <w:color w:val="0000FF"/>
            <w:u w:val="single"/>
          </w:rPr>
          <w:t xml:space="preserve">DOI hoặc trang công bố</w:t>
        </w:r>
      </w:hyperlink>
    </w:p>
    <w:p>
      <w:pPr/>
      <w:r>
        <w:t xml:space="preserve">[6] N. Bisht, X. Gong, and G. Xu, “ENSUR: Equitable and Statistically Unbiased Recommendation,” ICML 2025, PMLR, vol. 267, pp. 4435–4454, 2025. </w:t>
      </w:r>
      <w:hyperlink r:id="rIdReview28">
        <w:r>
          <w:rPr>
            <w:rStyle w:val="Hyperlink"/>
            <w:color w:val="0000FF"/>
            <w:u w:val="single"/>
          </w:rPr>
          <w:t xml:space="preserve">DOI hoặc trang công bố</w:t>
        </w:r>
      </w:hyperlink>
    </w:p>
    <w:p>
      <w:pPr/>
      <w:r>
        <w:t xml:space="preserve">[7] P. D. F. Atauchi, A. L. Zanon, L. C. D. da Rocha, and M. G. Manzato, “Do Calibrated Recommendations Affect Explanations? A Study on Post-Hoc Adjustments,” Journal on Interactive Systems, vol. 16, no. 1, pp. 441–460, 2025. </w:t>
      </w:r>
      <w:hyperlink r:id="rIdReview29">
        <w:r>
          <w:rPr>
            <w:rStyle w:val="Hyperlink"/>
            <w:color w:val="0000FF"/>
            <w:u w:val="single"/>
          </w:rPr>
          <w:t xml:space="preserve">DOI hoặc trang công bố</w:t>
        </w:r>
      </w:hyperlink>
    </w:p>
    <w:p>
      <w:pPr/>
      <w:r>
        <w:t xml:space="preserve">[8] J. Zhao, “S-VAERec: A Hybrid Music Recommendation Strategy Based on Generative Modelling and Music Similarity,” Applied and Computational Engineering, vol. 146, pp. 232–241, 2025. </w:t>
      </w:r>
      <w:hyperlink r:id="rIdReview30">
        <w:r>
          <w:rPr>
            <w:rStyle w:val="Hyperlink"/>
            <w:color w:val="0000FF"/>
            <w:u w:val="single"/>
          </w:rPr>
          <w:t xml:space="preserve">DOI hoặc trang công bố</w:t>
        </w:r>
      </w:hyperlink>
    </w:p>
    <w:p>
      <w:pPr/>
      <w:r>
        <w:t xml:space="preserve">[9] D. V. Martal and M. K. Najib, “Music Artist Recommendation System Based on Listening History Using SVD and MICE Imputation Approaches,” Zeta Math Journal, vol. 10, no. 1, pp. 70–80, 2025. </w:t>
      </w:r>
      <w:hyperlink r:id="rIdReview31">
        <w:r>
          <w:rPr>
            <w:rStyle w:val="Hyperlink"/>
            <w:color w:val="0000FF"/>
            <w:u w:val="single"/>
          </w:rPr>
          <w:t xml:space="preserve">DOI hoặc trang công bố</w:t>
        </w:r>
      </w:hyperlink>
    </w:p>
    <w:p>
      <w:pPr/>
      <w:r>
        <w:t xml:space="preserve">[10] F. Hu and J. Lin, “Temporal Enhancement of Top-N Recommendation on Heterogeneous Graphs,” Applied Sciences, vol. 15, no. 7, art. 3929, 2025. </w:t>
      </w:r>
      <w:hyperlink r:id="rIdReview32">
        <w:r>
          <w:rPr>
            <w:rStyle w:val="Hyperlink"/>
            <w:color w:val="0000FF"/>
            <w:u w:val="single"/>
          </w:rPr>
          <w:t xml:space="preserve">DOI hoặc trang công bố</w:t>
        </w:r>
      </w:hyperlink>
    </w:p>
    <w:p>
      <w:pPr/>
      <w:r>
        <w:t xml:space="preserve">Nguồn dữ liệu chính: GroupLens, HetRec 2011, Last.FM. </w:t>
      </w:r>
      <w:hyperlink r:id="rIdReview33">
        <w:r>
          <w:rPr>
            <w:rStyle w:val="Hyperlink"/>
            <w:color w:val="0000FF"/>
            <w:u w:val="single"/>
          </w:rPr>
          <w:t xml:space="preserve">Trang phát hành</w:t>
        </w:r>
      </w:hyperlink>
    </w:p>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gate.net/publication/350083916_Flower_classification_using_CNN_and_transfer_learning_in_CNN-_Agriculture_Perspective" TargetMode="External"/><Relationship Id="rId10" Type="http://schemas.openxmlformats.org/officeDocument/2006/relationships/hyperlink" Target="https://www.sciencedirect.com/science/article/abs/pii/S0263224120302414" TargetMode="External"/><Relationship Id="rId11" Type="http://schemas.openxmlformats.org/officeDocument/2006/relationships/hyperlink" Target="https://dergipark.org.tr/en/pub/ejosat/article/1039632" TargetMode="External"/><Relationship Id="rId12" Type="http://schemas.openxmlformats.org/officeDocument/2006/relationships/hyperlink" Target="https://link.springer.com/article/10.1186/s13007-021-00767-w" TargetMode="External"/><Relationship Id="rId13" Type="http://schemas.openxmlformats.org/officeDocument/2006/relationships/hyperlink" Target="https://doi.org/10.3390/math10152767" TargetMode="External"/><Relationship Id="rId14" Type="http://schemas.openxmlformats.org/officeDocument/2006/relationships/hyperlink" Target="https://doi.org/10.1155/2022/9359353" TargetMode="External"/><Relationship Id="rId15" Type="http://schemas.openxmlformats.org/officeDocument/2006/relationships/hyperlink" Target="https://drpress.org/ojs/index.php/ajst/article/view/5055" TargetMode="External"/><Relationship Id="rId16" Type="http://schemas.openxmlformats.org/officeDocument/2006/relationships/hyperlink" Target="https://jurnal.polibatam.ac.id/index.php/JAIC/article/view/8730" TargetMode="External"/><Relationship Id="rId17" Type="http://schemas.openxmlformats.org/officeDocument/2006/relationships/hyperlink" Target="https://jurnal.polgan.ac.id/index.php/jmp/article/view/14980" TargetMode="External"/><Relationship Id="rId18" Type="http://schemas.openxmlformats.org/officeDocument/2006/relationships/hyperlink" Target="https://www.sciencedirect.com/science/article/pii/S2772375526004338" TargetMode="External"/><Relationship Id="rId19" Type="http://schemas.openxmlformats.org/officeDocument/2006/relationships/hyperlink" Target="https://francis-press.com/uploads/papers/jaEPwF89rtBCUMksZsl7yzVmdZmm0DDViDJDVTGZ.pdf" TargetMode="External"/><Relationship Id="rId20" Type="http://schemas.openxmlformats.org/officeDocument/2006/relationships/hyperlink" Target="https://journal.stekom.ac.id/index.php/elkom/article/download/3238/2257/11573" TargetMode="External"/><Relationship Id="rIdReview1" Type="http://schemas.openxmlformats.org/officeDocument/2006/relationships/hyperlink" Target="https://doi.org/10.3390/ai7060215" TargetMode="External"/><Relationship Id="rIdReview2" Type="http://schemas.openxmlformats.org/officeDocument/2006/relationships/hyperlink" Target="https://mdpi-res.com/d_attachment/ai/ai-07-00215/article_deploy/ai-07-00215.pdf" TargetMode="External"/><Relationship Id="rIdReview3" Type="http://schemas.openxmlformats.org/officeDocument/2006/relationships/hyperlink" Target="https://doi.org/10.1371/journal.pone.0344537" TargetMode="External"/><Relationship Id="rIdReview4" Type="http://schemas.openxmlformats.org/officeDocument/2006/relationships/hyperlink" Target="https://journals.plos.org/plosone/article/file?id=10.1371/journal.pone.0344537&amp;type=printable" TargetMode="External"/><Relationship Id="rIdReview5" Type="http://schemas.openxmlformats.org/officeDocument/2006/relationships/hyperlink" Target="https://doi.org/10.48550/arXiv.2604.01036" TargetMode="External"/><Relationship Id="rIdReview6" Type="http://schemas.openxmlformats.org/officeDocument/2006/relationships/hyperlink" Target="https://arxiv.org/pdf/2604.01036v1" TargetMode="External"/><Relationship Id="rIdReview7" Type="http://schemas.openxmlformats.org/officeDocument/2006/relationships/hyperlink" Target="https://doi.org/10.1038/s41598-026-41651-8" TargetMode="External"/><Relationship Id="rIdReview8" Type="http://schemas.openxmlformats.org/officeDocument/2006/relationships/hyperlink" Target="https://www.nature.com/articles/s41598-026-41651-8.pdf" TargetMode="External"/><Relationship Id="rIdReview9" Type="http://schemas.openxmlformats.org/officeDocument/2006/relationships/hyperlink" Target="https://doi.org/10.1145/3746252.3760873" TargetMode="External"/><Relationship Id="rIdReview10" Type="http://schemas.openxmlformats.org/officeDocument/2006/relationships/hyperlink" Target="https://arxiv.org/pdf/2502.15695v3" TargetMode="External"/><Relationship Id="rIdReview11" Type="http://schemas.openxmlformats.org/officeDocument/2006/relationships/hyperlink" Target="https://github.com/WANGLin0126/CLSRec" TargetMode="External"/><Relationship Id="rIdReview12" Type="http://schemas.openxmlformats.org/officeDocument/2006/relationships/hyperlink" Target="https://proceedings.mlr.press/v267/bisht25a.html" TargetMode="External"/><Relationship Id="rIdReview13" Type="http://schemas.openxmlformats.org/officeDocument/2006/relationships/hyperlink" Target="https://raw.githubusercontent.com/mlresearch/v267/main/assets/bisht25a/bisht25a.pdf" TargetMode="External"/><Relationship Id="rIdReview14" Type="http://schemas.openxmlformats.org/officeDocument/2006/relationships/hyperlink" Target="https://doi.org/10.5753/jis.2025.5563" TargetMode="External"/><Relationship Id="rIdReview15" Type="http://schemas.openxmlformats.org/officeDocument/2006/relationships/hyperlink" Target="https://repositorio.usp.br/directbitstream/31e18a01-5867-4c31-8c25-6f892a6d2d2c/3269152.pdf" TargetMode="External"/><Relationship Id="rIdReview16" Type="http://schemas.openxmlformats.org/officeDocument/2006/relationships/hyperlink" Target="https://github.com/andlzanon/lod-personalized-recommender" TargetMode="External"/><Relationship Id="rIdReview17" Type="http://schemas.openxmlformats.org/officeDocument/2006/relationships/hyperlink" Target="https://doi.org/10.54254/2755-2721/2025.TJ22697" TargetMode="External"/><Relationship Id="rIdReview18" Type="http://schemas.openxmlformats.org/officeDocument/2006/relationships/hyperlink" Target="https://ace.ewapub.com/article/view/22697.pdf" TargetMode="External"/><Relationship Id="rIdReview19" Type="http://schemas.openxmlformats.org/officeDocument/2006/relationships/hyperlink" Target="https://doi.org/10.31102/zeta.2025.10.1.70-80" TargetMode="External"/><Relationship Id="rIdReview20" Type="http://schemas.openxmlformats.org/officeDocument/2006/relationships/hyperlink" Target="https://journal.uim.ac.id/index.php/zeta/article/download/3106/1561/" TargetMode="External"/><Relationship Id="rIdReview21" Type="http://schemas.openxmlformats.org/officeDocument/2006/relationships/hyperlink" Target="https://doi.org/10.3390/app15073929" TargetMode="External"/><Relationship Id="rIdReview22" Type="http://schemas.openxmlformats.org/officeDocument/2006/relationships/hyperlink" Target="https://mdpi-res.com/d_attachment/applsci/applsci-15-03929/article_deploy/applsci-15-03929.pdf" TargetMode="External"/><Relationship Id="rIdReview23" Type="http://schemas.openxmlformats.org/officeDocument/2006/relationships/hyperlink" Target="https://doi.org/10.3390/ai7060215" TargetMode="External"/><Relationship Id="rIdReview24" Type="http://schemas.openxmlformats.org/officeDocument/2006/relationships/hyperlink" Target="https://doi.org/10.1371/journal.pone.0344537" TargetMode="External"/><Relationship Id="rIdReview25" Type="http://schemas.openxmlformats.org/officeDocument/2006/relationships/hyperlink" Target="https://doi.org/10.48550/arXiv.2604.01036" TargetMode="External"/><Relationship Id="rIdReview26" Type="http://schemas.openxmlformats.org/officeDocument/2006/relationships/hyperlink" Target="https://doi.org/10.1038/s41598-026-41651-8" TargetMode="External"/><Relationship Id="rIdReview27" Type="http://schemas.openxmlformats.org/officeDocument/2006/relationships/hyperlink" Target="https://doi.org/10.1145/3746252.3760873" TargetMode="External"/><Relationship Id="rIdReview28" Type="http://schemas.openxmlformats.org/officeDocument/2006/relationships/hyperlink" Target="https://proceedings.mlr.press/v267/bisht25a.html" TargetMode="External"/><Relationship Id="rIdReview29" Type="http://schemas.openxmlformats.org/officeDocument/2006/relationships/hyperlink" Target="https://doi.org/10.5753/jis.2025.5563" TargetMode="External"/><Relationship Id="rIdReview30" Type="http://schemas.openxmlformats.org/officeDocument/2006/relationships/hyperlink" Target="https://doi.org/10.54254/2755-2721/2025.TJ22697" TargetMode="External"/><Relationship Id="rIdReview31" Type="http://schemas.openxmlformats.org/officeDocument/2006/relationships/hyperlink" Target="https://doi.org/10.31102/zeta.2025.10.1.70-80" TargetMode="External"/><Relationship Id="rIdReview32" Type="http://schemas.openxmlformats.org/officeDocument/2006/relationships/hyperlink" Target="https://doi.org/10.3390/app15073929" TargetMode="External"/><Relationship Id="rIdReview33" Type="http://schemas.openxmlformats.org/officeDocument/2006/relationships/hyperlink" Target="https://grouplens.org/datasets/hetrec-2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