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Chi phí tuân thủ thủ tục hành chính và quyết định mở rộng đầu tư của doanh nghiệp tư nhân</w:t>
      </w:r>
    </w:p>
    <w:p>
      <w:pPr>
        <w:pStyle w:val="Subtitle"/>
      </w:pPr>
      <w:r>
        <w:t xml:space="preserve">Bằng chứng từ khảo sát doanh nghiệp cấp tỉnh 2021–2025</w:t>
      </w:r>
    </w:p>
    <w:p>
      <w:pPr>
        <w:pStyle w:val="Author"/>
      </w:pPr>
      <w:r>
        <w:t xml:space="preserve">Nguyễn Văn An</w:t>
      </w:r>
    </w:p>
    <w:p>
      <w:pPr>
        <w:pStyle w:val="Author"/>
      </w:pPr>
      <w:r>
        <w:t xml:space="preserve">Trần Thị Bình</w:t>
      </w:r>
    </w:p>
    <w:p>
      <w:pPr>
        <w:pStyle w:val="Date"/>
      </w:pPr>
      <w:r>
        <w:t xml:space="preserve">10 tháng 10 năm 2026 · VCCI Working Paper số 2026/01</w:t>
      </w:r>
    </w:p>
    <w:p>
      <w:pPr>
        <w:pStyle w:val="AbstractTitle"/>
      </w:pPr>
      <w:r>
        <w:t xml:space="preserve">Tóm tắt</w:t>
      </w:r>
    </w:p>
    <w:p>
      <w:pPr>
        <w:pStyle w:val="Abstract"/>
      </w:pPr>
      <w:r>
        <w:t xml:space="preserve">Bài viết ước lượng tác động của chi phí tuân thủ thủ tục hành chính lên quyết định mở rộng đầu tư của doanh nghiệp tư nhân, sử dụng dữ liệu khảo sát 8.400 doanh nghiệp tại 63 tỉnh, thành phố giai đoạn 2021–2025. Một ngày chờ thêm để hoàn tất thủ tục làm giảm 0,6 điểm phần trăm xác suất doanh nghiệp mở rộng đầu tư trong năm tiếp theo. Tác động mạnh hơn ở doanh nghiệp nhỏ và doanh nghiệp mới thành lập.</w:t>
      </w:r>
    </w:p>
    <w:p>
      <w:pPr>
        <w:pStyle w:val="FirstParagraph"/>
      </w:pPr>
      <w:r>
        <w:rPr>
          <w:b/>
          <w:bCs/>
        </w:rPr>
        <w:t xml:space="preserve">Từ khóa:</w:t>
      </w:r>
      <w:r>
        <w:t xml:space="preserve"> </w:t>
      </w:r>
      <w:r>
        <w:t xml:space="preserve">chi phí tuân thủ; thủ tục hành chính; đầu tư tư nhân; Việt Nam</w:t>
      </w:r>
    </w:p>
    <w:p>
      <w:pPr>
        <w:pStyle w:val="AbstractTitle"/>
      </w:pPr>
      <w:r>
        <w:t xml:space="preserve">Abstract</w:t>
      </w:r>
    </w:p>
    <w:p>
      <w:pPr>
        <w:pStyle w:val="Abstract"/>
      </w:pPr>
      <w:r>
        <w:t xml:space="preserve">This paper estimates the effect of administrative compliance costs on private firms’ decisions to expand investment, using survey data on 8,400 firms in 63 provinces over 2021–2025. One additional day needed to complete procedures lowers the probability that a firm expands investment in the following year by 0.6 percentage points. The effect is larger for small and newly established firms.</w:t>
      </w:r>
    </w:p>
    <w:p>
      <w:pPr>
        <w:pStyle w:val="BodyText"/>
      </w:pPr>
      <w:r>
        <w:rPr>
          <w:b/>
          <w:bCs/>
        </w:rPr>
        <w:t xml:space="preserve">Keywords:</w:t>
      </w:r>
      <w:r>
        <w:t xml:space="preserve"> </w:t>
      </w:r>
      <w:r>
        <w:t xml:space="preserve">compliance costs; administrative procedures; private investment; Vietnam</w:t>
      </w:r>
    </w:p>
    <w:p>
      <w:pPr>
        <w:pStyle w:val="BodyText"/>
      </w:pPr>
      <w:r>
        <w:rPr>
          <w:b/>
          <w:bCs/>
        </w:rPr>
        <w:t xml:space="preserve">Mã JEL:</w:t>
      </w:r>
      <w:r>
        <w:t xml:space="preserve"> </w:t>
      </w:r>
      <w:r>
        <w:t xml:space="preserve">D22, H11, K23, O17</w:t>
      </w:r>
    </w:p>
    <w:p>
      <w:pPr>
        <w:pStyle w:val="VCCISmall"/>
      </w:pPr>
      <w:r>
        <w:rPr>
          <w:b/>
          <w:bCs/>
        </w:rPr>
        <w:t xml:space="preserve">Trích dẫn đề nghị:</w:t>
      </w:r>
      <w:r>
        <w:t xml:space="preserve"> </w:t>
      </w:r>
      <w:r>
        <w:t xml:space="preserve">Nguyễn Văn An, Trần Thị Bình (2026). Chi phí tuân thủ thủ tục hành chính và quyết định mở rộng đầu tư của doanh nghiệp tư nhân. VCCI Working Paper số 2026/01. Hà Nội: Liên đoàn Thương mại và Công nghiệp Việt Nam.</w:t>
      </w:r>
    </w:p>
    <w:p>
      <w:pPr>
        <w:pStyle w:val="VCCISmall"/>
      </w:pPr>
      <w:r>
        <w:t xml:space="preserve">Quan điểm trong bài là của tác giả, không nhất thiết phản ánh quan điểm của Liên đoàn Thương mại và Công nghiệp Việt Nam.</w:t>
      </w:r>
    </w:p>
    <w:bookmarkStart w:id="31" w:name="giới-thiệu"/>
    <w:p>
      <w:pPr>
        <w:pStyle w:val="Heading1"/>
      </w:pPr>
      <w:r>
        <w:t xml:space="preserve">1. Giới thiệu</w:t>
      </w:r>
    </w:p>
    <w:p>
      <w:pPr>
        <w:pStyle w:val="FirstParagraph"/>
      </w:pPr>
      <w:r>
        <w:t xml:space="preserve">Chi phí tuân thủ thủ tục hành chính là một trong những rào cản được doanh nghiệp nhắc đến nhiều nhất trong các khảo sát về môi trường kinh doanh</w:t>
      </w:r>
      <w:r>
        <w:t xml:space="preserve"> </w:t>
      </w:r>
      <w:r>
        <w:t xml:space="preserve">(VCCI, 2026)</w:t>
      </w:r>
      <w:r>
        <w:t xml:space="preserve">. Nghiên cứu trước cho thấy thời gian chờ đợi kéo dài làm tăng chi phí cơ hội của vốn và trì hoãn quyết định đầu tư</w:t>
      </w:r>
      <w:r>
        <w:t xml:space="preserve"> </w:t>
      </w:r>
      <w:r>
        <w:t xml:space="preserve">(Nguyễn &amp; Trần, 2024)</w:t>
      </w:r>
      <w:r>
        <w:t xml:space="preserve">.</w:t>
      </w:r>
    </w:p>
    <w:p>
      <w:pPr>
        <w:pStyle w:val="BodyText"/>
      </w:pPr>
      <w:r>
        <w:t xml:space="preserve">Bài viết đóng góp theo hai hướng. Thứ nhất, chúng tôi đo chi phí tuân thủ bằng thời gian xử lý thực tế từ hồ sơ hành chính thay vì đánh giá chủ quan. Thứ hai, chúng tôi khai thác khác biệt về tiến độ cải cách giữa các tỉnh để nhận diện tác động.</w:t>
      </w:r>
    </w:p>
    <w:bookmarkEnd w:id="31"/>
    <w:bookmarkStart w:id="36" w:name="dữ-liệu-và-phương-pháp"/>
    <w:p>
      <w:pPr>
        <w:pStyle w:val="Heading1"/>
      </w:pPr>
      <w:r>
        <w:t xml:space="preserve">2. Dữ liệu và phương pháp</w:t>
      </w:r>
    </w:p>
    <w:bookmarkStart w:id="33" w:name="dữ-liệu"/>
    <w:p>
      <w:pPr>
        <w:pStyle w:val="Heading2"/>
      </w:pPr>
      <w:r>
        <w:t xml:space="preserve">2.1 Dữ liệu</w:t>
      </w:r>
    </w:p>
    <w:p>
      <w:pPr>
        <w:pStyle w:val="FirstParagraph"/>
      </w:pPr>
      <w:r>
        <w:t xml:space="preserve">Dữ liệu gồm khảo sát doanh nghiệp hằng năm và hồ sơ thủ tục trên hệ thống một cửa của 63 tỉnh, thành phố (</w:t>
      </w:r>
      <w:hyperlink w:anchor="tbl-mota">
        <w:r>
          <w:rPr>
            <w:rStyle w:val="Hyperlink"/>
          </w:rPr>
          <w:t xml:space="preserve">Bảng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tbl-mota"/>
          <w:p>
            <w:pPr>
              <w:jc w:val="center"/>
            </w:pPr>
            <w:pPr>
              <w:jc w:val="left"/>
              <w:spacing w:before="200"/>
              <w:pStyle w:val="ImageCaption"/>
            </w:pPr>
            <w:r>
              <w:t xml:space="preserve">Bảng 1: Thống kê mô tả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Biến</w:t>
                  </w:r>
                </w:p>
              </w:tc>
              <w:tc>
                <w:tcPr/>
                <w:p>
                  <w:pPr>
                    <w:pStyle w:val="Compact"/>
                    <w:jc w:val="right"/>
                    <w:jc w:val="center"/>
                  </w:pPr>
                  <w:r>
                    <w:t xml:space="preserve">Trung bình</w:t>
                  </w:r>
                </w:p>
              </w:tc>
              <w:tc>
                <w:tcPr/>
                <w:p>
                  <w:pPr>
                    <w:pStyle w:val="Compact"/>
                    <w:jc w:val="right"/>
                    <w:jc w:val="center"/>
                  </w:pPr>
                  <w:r>
                    <w:t xml:space="preserve">Độ lệch chuẩn</w:t>
                  </w:r>
                </w:p>
              </w:tc>
              <w:tc>
                <w:tcPr/>
                <w:p>
                  <w:pPr>
                    <w:pStyle w:val="Compact"/>
                    <w:jc w:val="right"/>
                    <w:jc w:val="center"/>
                  </w:pPr>
                  <w:r>
                    <w:t xml:space="preserve">Số quan sát</w:t>
                  </w:r>
                </w:p>
              </w:tc>
            </w:tr>
            <w:tr>
              <w:tc>
                <w:tcPr/>
                <w:p>
                  <w:pPr>
                    <w:pStyle w:val="Compact"/>
                    <w:jc w:val="center"/>
                  </w:pPr>
                  <w:r>
                    <w:t xml:space="preserve">Mở rộng đầu tư (0/1)</w:t>
                  </w:r>
                </w:p>
              </w:tc>
              <w:tc>
                <w:tcPr/>
                <w:p>
                  <w:pPr>
                    <w:pStyle w:val="Compact"/>
                    <w:jc w:val="right"/>
                    <w:jc w:val="center"/>
                  </w:pPr>
                  <w:r>
                    <w:t xml:space="preserve">0,31</w:t>
                  </w:r>
                </w:p>
              </w:tc>
              <w:tc>
                <w:tcPr/>
                <w:p>
                  <w:pPr>
                    <w:pStyle w:val="Compact"/>
                    <w:jc w:val="right"/>
                    <w:jc w:val="center"/>
                  </w:pPr>
                  <w:r>
                    <w:t xml:space="preserve">0,46</w:t>
                  </w:r>
                </w:p>
              </w:tc>
              <w:tc>
                <w:tcPr/>
                <w:p>
                  <w:pPr>
                    <w:pStyle w:val="Compact"/>
                    <w:jc w:val="right"/>
                    <w:jc w:val="center"/>
                  </w:pPr>
                  <w:r>
                    <w:t xml:space="preserve">8.400</w:t>
                  </w:r>
                </w:p>
              </w:tc>
            </w:tr>
            <w:tr>
              <w:tc>
                <w:tcPr/>
                <w:p>
                  <w:pPr>
                    <w:pStyle w:val="Compact"/>
                    <w:jc w:val="center"/>
                  </w:pPr>
                  <w:r>
                    <w:t xml:space="preserve">Thời gian thủ tục (ngày)</w:t>
                  </w:r>
                </w:p>
              </w:tc>
              <w:tc>
                <w:tcPr/>
                <w:p>
                  <w:pPr>
                    <w:pStyle w:val="Compact"/>
                    <w:jc w:val="right"/>
                    <w:jc w:val="center"/>
                  </w:pPr>
                  <w:r>
                    <w:t xml:space="preserve">58,2</w:t>
                  </w:r>
                </w:p>
              </w:tc>
              <w:tc>
                <w:tcPr/>
                <w:p>
                  <w:pPr>
                    <w:pStyle w:val="Compact"/>
                    <w:jc w:val="right"/>
                    <w:jc w:val="center"/>
                  </w:pPr>
                  <w:r>
                    <w:t xml:space="preserve">17,9</w:t>
                  </w:r>
                </w:p>
              </w:tc>
              <w:tc>
                <w:tcPr/>
                <w:p>
                  <w:pPr>
                    <w:pStyle w:val="Compact"/>
                    <w:jc w:val="right"/>
                    <w:jc w:val="center"/>
                  </w:pPr>
                  <w:r>
                    <w:t xml:space="preserve">8.400</w:t>
                  </w:r>
                </w:p>
              </w:tc>
            </w:tr>
            <w:tr>
              <w:tc>
                <w:tcPr/>
                <w:p>
                  <w:pPr>
                    <w:pStyle w:val="Compact"/>
                    <w:jc w:val="center"/>
                  </w:pPr>
                  <w:r>
                    <w:t xml:space="preserve">Quy mô lao động (log)</w:t>
                  </w:r>
                </w:p>
              </w:tc>
              <w:tc>
                <w:tcPr/>
                <w:p>
                  <w:pPr>
                    <w:pStyle w:val="Compact"/>
                    <w:jc w:val="right"/>
                    <w:jc w:val="center"/>
                  </w:pPr>
                  <w:r>
                    <w:t xml:space="preserve">3,12</w:t>
                  </w:r>
                </w:p>
              </w:tc>
              <w:tc>
                <w:tcPr/>
                <w:p>
                  <w:pPr>
                    <w:pStyle w:val="Compact"/>
                    <w:jc w:val="right"/>
                    <w:jc w:val="center"/>
                  </w:pPr>
                  <w:r>
                    <w:t xml:space="preserve">1,08</w:t>
                  </w:r>
                </w:p>
              </w:tc>
              <w:tc>
                <w:tcPr/>
                <w:p>
                  <w:pPr>
                    <w:pStyle w:val="Compact"/>
                    <w:jc w:val="right"/>
                    <w:jc w:val="center"/>
                  </w:pPr>
                  <w:r>
                    <w:t xml:space="preserve">8.400</w:t>
                  </w:r>
                </w:p>
              </w:tc>
            </w:tr>
          </w:tbl>
          <w:bookmarkEnd w:id="32"/>
          <w:p/>
        </w:tc>
      </w:tr>
    </w:tbl>
    <w:bookmarkEnd w:id="33"/>
    <w:bookmarkStart w:id="35" w:name="mô-hình"/>
    <w:p>
      <w:pPr>
        <w:pStyle w:val="Heading2"/>
      </w:pPr>
      <w:r>
        <w:t xml:space="preserve">2.2 Mô hình</w:t>
      </w:r>
    </w:p>
    <w:p>
      <w:pPr>
        <w:pStyle w:val="FirstParagraph"/>
      </w:pPr>
      <w:r>
        <w:t xml:space="preserve">Chúng tôi ước lượng mô hình xác suất tuyến tính với hiệu ứng cố định tỉnh và năm:</w:t>
      </w:r>
    </w:p>
    <w:p>
      <w:pPr>
        <w:pStyle w:val="BodyText"/>
      </w:pPr>
      <w:bookmarkStart w:id="34" w:name="eq-mohinh"/>
      <m:oMathPara>
        <m:oMathParaPr>
          <m:jc m:val="center"/>
        </m:oMathParaPr>
        <m:oMath>
          <m:sSub>
            <m:e>
              <m:r>
                <m:t>y</m:t>
              </m:r>
            </m:e>
            <m:sub>
              <m:r>
                <m:t>i</m:t>
              </m:r>
              <m:r>
                <m:t>p</m:t>
              </m:r>
              <m:r>
                <m:t>t</m:t>
              </m:r>
            </m:sub>
          </m:sSub>
          <m:r>
            <m:rPr>
              <m:sty m:val="p"/>
            </m:rPr>
            <m:t>=</m:t>
          </m:r>
          <m:r>
            <m:t>β</m:t>
          </m:r>
          <m:r>
            <m:t> </m:t>
          </m:r>
          <m:sSub>
            <m:e>
              <m:r>
                <m:t>d</m:t>
              </m:r>
            </m:e>
            <m:sub>
              <m:r>
                <m:t>p</m:t>
              </m:r>
              <m:r>
                <m:t>t</m:t>
              </m:r>
            </m:sub>
          </m:sSub>
          <m:r>
            <m:rPr>
              <m:sty m:val="p"/>
            </m:rPr>
            <m:t>+</m:t>
          </m:r>
          <m:sSubSup>
            <m:e>
              <m:r>
                <m:t>X</m:t>
              </m:r>
            </m:e>
            <m:sub>
              <m:r>
                <m:t>i</m:t>
              </m:r>
              <m:r>
                <m:t>t</m:t>
              </m:r>
            </m:sub>
            <m:sup>
              <m:r>
                <m:rPr>
                  <m:sty m:val="p"/>
                </m:rPr>
                <m:t>′</m:t>
              </m:r>
            </m:sup>
          </m:sSubSup>
          <m:r>
            <m:t>γ</m:t>
          </m:r>
          <m:r>
            <m:rPr>
              <m:sty m:val="p"/>
            </m:rPr>
            <m:t>+</m:t>
          </m:r>
          <m:sSub>
            <m:e>
              <m:r>
                <m:t>α</m:t>
              </m:r>
            </m:e>
            <m:sub>
              <m:r>
                <m:t>p</m:t>
              </m:r>
            </m:sub>
          </m:sSub>
          <m:r>
            <m:rPr>
              <m:sty m:val="p"/>
            </m:rPr>
            <m:t>+</m:t>
          </m:r>
          <m:sSub>
            <m:e>
              <m:r>
                <m:t>τ</m:t>
              </m:r>
            </m:e>
            <m:sub>
              <m:r>
                <m:t>t</m:t>
              </m:r>
            </m:sub>
          </m:sSub>
          <m:r>
            <m:rPr>
              <m:sty m:val="p"/>
            </m:rPr>
            <m:t>+</m:t>
          </m:r>
          <m:sSub>
            <m:e>
              <m:r>
                <m:t>ε</m:t>
              </m:r>
            </m:e>
            <m:sub>
              <m:r>
                <m:t>i</m:t>
              </m:r>
              <m:r>
                <m:t>p</m:t>
              </m:r>
              <m:r>
                <m:t>t</m:t>
              </m:r>
            </m:sub>
          </m:sSub>
          <m:r>
            <m:t>  </m:t>
          </m:r>
          <m:r>
            <m:rPr>
              <m:sty m:val="p"/>
            </m:rPr>
            <m:t>(</m:t>
          </m:r>
          <m:r>
            <m:t>1</m:t>
          </m:r>
          <m:r>
            <m:rPr>
              <m:sty m:val="p"/>
            </m:rPr>
            <m:t>)</m:t>
          </m:r>
        </m:oMath>
      </m:oMathPara>
      <w:bookmarkEnd w:id="34"/>
    </w:p>
    <w:p>
      <w:pPr>
        <w:pStyle w:val="FirstParagraph"/>
      </w:pPr>
      <w:r>
        <w:t xml:space="preserve">trong đó</w:t>
      </w:r>
      <w:r>
        <w:t xml:space="preserve"> </w:t>
      </w:r>
      <m:oMath>
        <m:sSub>
          <m:e>
            <m:r>
              <m:t>y</m:t>
            </m:r>
          </m:e>
          <m:sub>
            <m:r>
              <m:t>i</m:t>
            </m:r>
            <m:r>
              <m:t>p</m:t>
            </m:r>
            <m:r>
              <m:t>t</m:t>
            </m:r>
          </m:sub>
        </m:sSub>
      </m:oMath>
      <w:r>
        <w:t xml:space="preserve"> </w:t>
      </w:r>
      <w:r>
        <w:t xml:space="preserve">cho biết doanh nghiệp</w:t>
      </w:r>
      <w:r>
        <w:t xml:space="preserve"> </w:t>
      </w:r>
      <m:oMath>
        <m:r>
          <m:t>i</m:t>
        </m:r>
      </m:oMath>
      <w:r>
        <w:t xml:space="preserve"> </w:t>
      </w:r>
      <w:r>
        <w:t xml:space="preserve">ở tỉnh</w:t>
      </w:r>
      <w:r>
        <w:t xml:space="preserve"> </w:t>
      </w:r>
      <m:oMath>
        <m:r>
          <m:t>p</m:t>
        </m:r>
      </m:oMath>
      <w:r>
        <w:t xml:space="preserve"> </w:t>
      </w:r>
      <w:r>
        <w:t xml:space="preserve">có mở rộng đầu tư trong năm</w:t>
      </w:r>
      <w:r>
        <w:t xml:space="preserve"> </w:t>
      </w:r>
      <m:oMath>
        <m:r>
          <m:t>t</m:t>
        </m:r>
        <m:r>
          <m:rPr>
            <m:sty m:val="p"/>
          </m:rPr>
          <m:t>+</m:t>
        </m:r>
        <m:r>
          <m:t>1</m:t>
        </m:r>
      </m:oMath>
      <w:r>
        <w:t xml:space="preserve"> </w:t>
      </w:r>
      <w:r>
        <w:t xml:space="preserve">hay không, và</w:t>
      </w:r>
      <w:r>
        <w:t xml:space="preserve"> </w:t>
      </w:r>
      <m:oMath>
        <m:sSub>
          <m:e>
            <m:r>
              <m:t>d</m:t>
            </m:r>
          </m:e>
          <m:sub>
            <m:r>
              <m:t>p</m:t>
            </m:r>
            <m:r>
              <m:t>t</m:t>
            </m:r>
          </m:sub>
        </m:sSub>
      </m:oMath>
      <w:r>
        <w:t xml:space="preserve"> </w:t>
      </w:r>
      <w:r>
        <w:t xml:space="preserve">là thời gian xử lý thủ tục trung vị của tỉnh.</w:t>
      </w:r>
    </w:p>
    <w:bookmarkEnd w:id="35"/>
    <w:bookmarkEnd w:id="36"/>
    <w:bookmarkStart w:id="38" w:name="kết-quả"/>
    <w:p>
      <w:pPr>
        <w:pStyle w:val="Heading1"/>
      </w:pPr>
      <w:r>
        <w:t xml:space="preserve">3. Kết quả</w:t>
      </w:r>
    </w:p>
    <w:p>
      <w:pPr>
        <w:pStyle w:val="FirstParagraph"/>
      </w:pPr>
      <w:r>
        <w:t xml:space="preserve">Hệ số</w:t>
      </w:r>
      <w:r>
        <w:t xml:space="preserve"> </w:t>
      </w:r>
      <m:oMath>
        <m:r>
          <m:t>β</m:t>
        </m:r>
      </m:oMath>
      <w:r>
        <w:t xml:space="preserve"> </w:t>
      </w:r>
      <w:r>
        <w:t xml:space="preserve">trong</w:t>
      </w:r>
      <w:r>
        <w:t xml:space="preserve"> </w:t>
      </w:r>
      <w:hyperlink w:anchor="eq-mohinh">
        <w:r>
          <w:rPr>
            <w:rStyle w:val="Hyperlink"/>
          </w:rPr>
          <w:t xml:space="preserve">Phương trình 1</w:t>
        </w:r>
      </w:hyperlink>
      <w:r>
        <w:t xml:space="preserve"> </w:t>
      </w:r>
      <w:r>
        <w:t xml:space="preserve">bằng −0,006 và có ý nghĩa thống kê ở mức 1% (</w:t>
      </w:r>
      <w:hyperlink w:anchor="tbl-ketqua">
        <w:r>
          <w:rPr>
            <w:rStyle w:val="Hyperlink"/>
          </w:rPr>
          <w:t xml:space="preserve">Bảng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tbl-ketqua"/>
          <w:p>
            <w:pPr>
              <w:jc w:val="center"/>
            </w:pPr>
            <w:pPr>
              <w:jc w:val="left"/>
              <w:spacing w:before="200"/>
              <w:pStyle w:val="ImageCaption"/>
            </w:pPr>
            <w:r>
              <w:t xml:space="preserve">Bảng 2: Ước lượng tác động của thời gian thủ tục. Sai số chuẩn theo cụm tỉnh trong ngoặc; *** p &lt; 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center"/>
                  </w:pPr>
                  <w:r>
                    <w:t xml:space="preserve">Thời gian thủ tục</w:t>
                  </w:r>
                </w:p>
              </w:tc>
              <w:tc>
                <w:tcPr/>
                <w:p>
                  <w:pPr>
                    <w:pStyle w:val="Compact"/>
                    <w:jc w:val="right"/>
                    <w:jc w:val="center"/>
                  </w:pPr>
                  <w:r>
                    <w:t xml:space="preserve">−0,008***</w:t>
                  </w:r>
                </w:p>
              </w:tc>
              <w:tc>
                <w:tcPr/>
                <w:p>
                  <w:pPr>
                    <w:pStyle w:val="Compact"/>
                    <w:jc w:val="right"/>
                    <w:jc w:val="center"/>
                  </w:pPr>
                  <w:r>
                    <w:t xml:space="preserve">−0,006***</w:t>
                  </w:r>
                </w:p>
              </w:tc>
              <w:tc>
                <w:tcPr/>
                <w:p>
                  <w:pPr>
                    <w:pStyle w:val="Compact"/>
                    <w:jc w:val="right"/>
                    <w:jc w:val="center"/>
                  </w:pPr>
                  <w:r>
                    <w:t xml:space="preserve">−0,006***</w:t>
                  </w:r>
                </w:p>
              </w:tc>
            </w:tr>
            <w:tr>
              <w:tc>
                <w:tcPr/>
                <w:p>
                  <w:pPr>
                    <w:pStyle w:val="Compact"/>
                  </w:pPr>
                </w:p>
              </w:tc>
              <w:tc>
                <w:tcPr/>
                <w:p>
                  <w:pPr>
                    <w:pStyle w:val="Compact"/>
                    <w:jc w:val="right"/>
                    <w:jc w:val="center"/>
                  </w:pPr>
                  <w:r>
                    <w:t xml:space="preserve">(0,002)</w:t>
                  </w:r>
                </w:p>
              </w:tc>
              <w:tc>
                <w:tcPr/>
                <w:p>
                  <w:pPr>
                    <w:pStyle w:val="Compact"/>
                    <w:jc w:val="right"/>
                    <w:jc w:val="center"/>
                  </w:pPr>
                  <w:r>
                    <w:t xml:space="preserve">(0,002)</w:t>
                  </w:r>
                </w:p>
              </w:tc>
              <w:tc>
                <w:tcPr/>
                <w:p>
                  <w:pPr>
                    <w:pStyle w:val="Compact"/>
                    <w:jc w:val="right"/>
                    <w:jc w:val="center"/>
                  </w:pPr>
                  <w:r>
                    <w:t xml:space="preserve">(0,002)</w:t>
                  </w:r>
                </w:p>
              </w:tc>
            </w:tr>
            <w:tr>
              <w:tc>
                <w:tcPr/>
                <w:p>
                  <w:pPr>
                    <w:pStyle w:val="Compact"/>
                    <w:jc w:val="center"/>
                  </w:pPr>
                  <w:r>
                    <w:t xml:space="preserve">Biến kiểm soát</w:t>
                  </w:r>
                </w:p>
              </w:tc>
              <w:tc>
                <w:tcPr/>
                <w:p>
                  <w:pPr>
                    <w:pStyle w:val="Compact"/>
                    <w:jc w:val="right"/>
                    <w:jc w:val="center"/>
                  </w:pPr>
                  <w:r>
                    <w:t xml:space="preserve">Không</w:t>
                  </w:r>
                </w:p>
              </w:tc>
              <w:tc>
                <w:tcPr/>
                <w:p>
                  <w:pPr>
                    <w:pStyle w:val="Compact"/>
                    <w:jc w:val="right"/>
                    <w:jc w:val="center"/>
                  </w:pPr>
                  <w:r>
                    <w:t xml:space="preserve">Có</w:t>
                  </w:r>
                </w:p>
              </w:tc>
              <w:tc>
                <w:tcPr/>
                <w:p>
                  <w:pPr>
                    <w:pStyle w:val="Compact"/>
                    <w:jc w:val="right"/>
                    <w:jc w:val="center"/>
                  </w:pPr>
                  <w:r>
                    <w:t xml:space="preserve">Có</w:t>
                  </w:r>
                </w:p>
              </w:tc>
            </w:tr>
            <w:tr>
              <w:tc>
                <w:tcPr/>
                <w:p>
                  <w:pPr>
                    <w:pStyle w:val="Compact"/>
                    <w:jc w:val="center"/>
                  </w:pPr>
                  <w:r>
                    <w:t xml:space="preserve">Hiệu ứng cố định tỉnh, năm</w:t>
                  </w:r>
                </w:p>
              </w:tc>
              <w:tc>
                <w:tcPr/>
                <w:p>
                  <w:pPr>
                    <w:pStyle w:val="Compact"/>
                    <w:jc w:val="right"/>
                    <w:jc w:val="center"/>
                  </w:pPr>
                  <w:r>
                    <w:t xml:space="preserve">Có</w:t>
                  </w:r>
                </w:p>
              </w:tc>
              <w:tc>
                <w:tcPr/>
                <w:p>
                  <w:pPr>
                    <w:pStyle w:val="Compact"/>
                    <w:jc w:val="right"/>
                    <w:jc w:val="center"/>
                  </w:pPr>
                  <w:r>
                    <w:t xml:space="preserve">Có</w:t>
                  </w:r>
                </w:p>
              </w:tc>
              <w:tc>
                <w:tcPr/>
                <w:p>
                  <w:pPr>
                    <w:pStyle w:val="Compact"/>
                    <w:jc w:val="right"/>
                    <w:jc w:val="center"/>
                  </w:pPr>
                  <w:r>
                    <w:t xml:space="preserve">Có</w:t>
                  </w:r>
                </w:p>
              </w:tc>
            </w:tr>
            <w:tr>
              <w:tc>
                <w:tcPr/>
                <w:p>
                  <w:pPr>
                    <w:pStyle w:val="Compact"/>
                    <w:jc w:val="center"/>
                  </w:pPr>
                  <w:r>
                    <w:t xml:space="preserve">Số quan sát</w:t>
                  </w:r>
                </w:p>
              </w:tc>
              <w:tc>
                <w:tcPr/>
                <w:p>
                  <w:pPr>
                    <w:pStyle w:val="Compact"/>
                    <w:jc w:val="right"/>
                    <w:jc w:val="center"/>
                  </w:pPr>
                  <w:r>
                    <w:t xml:space="preserve">8.400</w:t>
                  </w:r>
                </w:p>
              </w:tc>
              <w:tc>
                <w:tcPr/>
                <w:p>
                  <w:pPr>
                    <w:pStyle w:val="Compact"/>
                    <w:jc w:val="right"/>
                    <w:jc w:val="center"/>
                  </w:pPr>
                  <w:r>
                    <w:t xml:space="preserve">8.400</w:t>
                  </w:r>
                </w:p>
              </w:tc>
              <w:tc>
                <w:tcPr/>
                <w:p>
                  <w:pPr>
                    <w:pStyle w:val="Compact"/>
                    <w:jc w:val="right"/>
                    <w:jc w:val="center"/>
                  </w:pPr>
                  <w:r>
                    <w:t xml:space="preserve">8.400</w:t>
                  </w:r>
                </w:p>
              </w:tc>
            </w:tr>
          </w:tbl>
          <w:bookmarkEnd w:id="37"/>
          <w:p/>
        </w:tc>
      </w:tr>
    </w:tbl>
    <w:bookmarkEnd w:id="38"/>
    <w:bookmarkStart w:id="39" w:name="kết-luận"/>
    <w:p>
      <w:pPr>
        <w:pStyle w:val="Heading1"/>
      </w:pPr>
      <w:r>
        <w:t xml:space="preserve">4. Kết luận</w:t>
      </w:r>
    </w:p>
    <w:p>
      <w:pPr>
        <w:pStyle w:val="FirstParagraph"/>
      </w:pPr>
      <w:r>
        <w:t xml:space="preserve">Rút ngắn thời gian xử lý thủ tục có thể khuyến khích doanh nghiệp tư nhân mở rộng đầu tư, đặc biệt ở nhóm doanh nghiệp nhỏ.</w:t>
      </w:r>
    </w:p>
    <w:bookmarkEnd w:id="39"/>
    <w:bookmarkStart w:id="43" w:name="bibliography"/>
    <w:p>
      <w:pPr>
        <w:pStyle w:val="Heading1"/>
      </w:pPr>
      <w:r>
        <w:t xml:space="preserve">Tài liệu tham khảo</w:t>
      </w:r>
    </w:p>
    <w:bookmarkStart w:id="42" w:name="refs"/>
    <w:bookmarkStart w:id="40" w:name="ref-nguyen2024compliance"/>
    <w:p>
      <w:pPr>
        <w:pStyle w:val="Bibliography"/>
      </w:pPr>
      <w:r>
        <w:t xml:space="preserve">Nguyễn, T. H., &amp; Trần, Đ. L. (2024). Chi phí tuân thủ thủ tục hành chính và quyết định đầu tư của doanh nghiệp tư nhân.</w:t>
      </w:r>
      <w:r>
        <w:t xml:space="preserve"> </w:t>
      </w:r>
      <w:r>
        <w:rPr>
          <w:i/>
          <w:iCs/>
        </w:rPr>
        <w:t xml:space="preserve">Tạp chí Kinh tế và Phát triển</w:t>
      </w:r>
      <w:r>
        <w:t xml:space="preserve">,</w:t>
      </w:r>
      <w:r>
        <w:t xml:space="preserve"> </w:t>
      </w:r>
      <w:r>
        <w:rPr>
          <w:i/>
          <w:iCs/>
        </w:rPr>
        <w:t xml:space="preserve">318</w:t>
      </w:r>
      <w:r>
        <w:t xml:space="preserve">, 45–58.</w:t>
      </w:r>
    </w:p>
    <w:bookmarkEnd w:id="40"/>
    <w:bookmarkStart w:id="41" w:name="ref-vcci2025pci"/>
    <w:p>
      <w:pPr>
        <w:pStyle w:val="Bibliography"/>
      </w:pPr>
      <w:r>
        <w:t xml:space="preserve">VCCI. (2026).</w:t>
      </w:r>
      <w:r>
        <w:t xml:space="preserve"> </w:t>
      </w:r>
      <w:r>
        <w:rPr>
          <w:i/>
          <w:iCs/>
        </w:rPr>
        <w:t xml:space="preserve">Chỉ số Năng lực Cạnh tranh cấp tỉnh của Việt Nam năm 2025</w:t>
      </w:r>
      <w:r>
        <w:t xml:space="preserve">. Liên đoàn Thương mại và Công nghiệp Việt Nam.</w:t>
      </w:r>
    </w:p>
    <w:bookmarkEnd w:id="41"/>
    <w:bookmarkEnd w:id="42"/>
    <w:bookmarkEnd w:id="43"/>
    <w:sectPr w:rsidR="00494F50">
      <w:headerReference r:id="rId10" w:type="default"/>
      <w:footerReference r:id="rId11" w:type="default"/>
      <w:headerReference r:id="rId12" w:type="first"/>
      <w:footerReference r:id="rId13" w:type="first"/>
      <w:pgSz w:h="16838" w:w="11906"/>
      <w:pgMar w:bottom="567" w:footer="0" w:gutter="0" w:header="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e Vietnam Pro SemiBold">
    <w:panose1 w:val="00000000000000000000"/>
    <w:charset w:val="00"/>
    <w:family w:val="auto"/>
    <w:pitch w:val="variable"/>
    <w:sig w:usb0="A000006F" w:usb1="0000005B" w:usb2="00000000" w:usb3="00000000" w:csb0="00000113" w:csb1="00000000"/>
    <w:embedRegular r:id="rIdVcciFont11" w:fontKey="{C9119713-E5E6-4A5F-B7E7-4AD2352CD97E}"/>
  </w:font>
  <w:font w:name="Be Vietnam Pro">
    <w:panose1 w:val="00000000000000000000"/>
    <w:charset w:val="00"/>
    <w:family w:val="auto"/>
    <w:pitch w:val="variable"/>
    <w:sig w:usb0="A000006F" w:usb1="0000005B" w:usb2="00000000" w:usb3="00000000" w:csb0="00000113" w:csb1="00000000"/>
    <w:embedRegular r:id="rIdVcciFont8" w:fontKey="{771EB601-FDC4-4C68-9098-0704E90DB1B7}"/>
    <w:embedBold r:id="rIdVcciFont9" w:fontKey="{863C5070-5B7B-4795-80A7-446CC3E9566D}"/>
  </w:font>
  <w:font w:name="Lora Medium">
    <w:panose1 w:val="00000000000000000000"/>
    <w:charset w:val="00"/>
    <w:family w:val="auto"/>
    <w:pitch w:val="variable"/>
    <w:sig w:usb0="A00002FF" w:usb1="5000204B" w:usb2="00000000" w:usb3="00000000" w:csb0="00000097" w:csb1="00000000"/>
    <w:embedRegular r:id="rIdVcciFont4" w:fontKey="{CFE1F8E4-27FD-4201-BAD5-56633B205AC1}"/>
    <w:embedItalic r:id="rIdVcciFont5" w:fontKey="{F688CC5C-FBDB-4C9D-A7CE-61AFC7ABEFA5}"/>
  </w:font>
  <w:font w:name="Lora SemiBold">
    <w:panose1 w:val="00000000000000000000"/>
    <w:charset w:val="00"/>
    <w:family w:val="auto"/>
    <w:pitch w:val="variable"/>
    <w:sig w:usb0="A00002FF" w:usb1="5000204B" w:usb2="00000000" w:usb3="00000000" w:csb0="00000097" w:csb1="00000000"/>
    <w:embedRegular r:id="rIdVcciFont6" w:fontKey="{221ACC78-756B-484B-B0AA-653CCDBAE995}"/>
    <w:embedItalic r:id="rIdVcciFont7" w:fontKey="{F1A42A89-D831-4201-BC71-8443A483ED4B}"/>
  </w:font>
  <w:font w:name="Lora">
    <w:panose1 w:val="00000000000000000000"/>
    <w:charset w:val="00"/>
    <w:family w:val="auto"/>
    <w:pitch w:val="variable"/>
    <w:sig w:usb0="A00002FF" w:usb1="5000204B" w:usb2="00000000" w:usb3="00000000" w:csb0="00000097" w:csb1="00000000"/>
    <w:embedRegular r:id="rIdVcciFont1" w:fontKey="{B4F1C89F-603E-4AD8-9614-2513E4F2196E}"/>
    <w:embedBold r:id="rIdVcciFont2" w:fontKey="{594EF416-D114-4560-AD79-EB044232D09A}"/>
    <w:embedItalic r:id="rIdVcciFont3" w:fontKey="{D5C4FD73-5D84-40E1-AB5D-CA38C4524CD6}"/>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 Vietnam Pro Medium">
    <w:charset w:val="00"/>
    <w:family w:val="auto"/>
    <w:pitch w:val="variable"/>
    <w:embedRegular r:id="rIdVcciFont10" w:fontKey="{1B864E62-7AC4-4041-BD55-7F88842246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325E" w14:textId="77777777" w:rsidR="00494F50" w:rsidRDefault="00494F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EDA7" w14:textId="77777777" w:rsidR="00494F50" w:rsidRDefault="00494F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26D3" w14:textId="5B63C622" w:rsidR="00494F50" w:rsidRDefault="001D4893">
    <w:pPr>
      <w:pStyle w:val="Footer"/>
    </w:pPr>
    <w:r>
      <w:t>vcci.com.vn</w:t>
    </w:r>
    <w:r>
      <w:ptab w:relativeTo="margin" w:alignment="right" w:leader="none"/>
    </w:r>
    <w:r>
      <w:t xml:space="preserve">Trang </w:t>
    </w:r>
    <w:r>
      <w:fldChar w:fldCharType="begin"/>
    </w:r>
    <w:r>
      <w:instrText>PAGE</w:instrText>
    </w:r>
    <w:r>
      <w:fldChar w:fldCharType="separate"/>
    </w:r>
    <w:r w:rsidR="00D034D0">
      <w:rPr>
        <w:noProof/>
      </w:rPr>
      <w:t>1</w:t>
    </w:r>
    <w:r>
      <w:fldChar w:fldCharType="end"/>
    </w:r>
    <w:r>
      <w:t xml:space="preserve"> / </w:t>
    </w:r>
    <w:r>
      <w:fldChar w:fldCharType="begin"/>
    </w:r>
    <w:r>
      <w:instrText>SECTIONPAGES</w:instrText>
    </w:r>
    <w:r>
      <w:fldChar w:fldCharType="separate"/>
    </w:r>
    <w:r w:rsidR="00D034D0">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ED0B7" w14:textId="77777777" w:rsidR="00494F50" w:rsidRDefault="00494F5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C1BF" w14:textId="77777777" w:rsidR="00494F50" w:rsidRDefault="00494F50"/>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9427" w14:textId="77777777" w:rsidR="00494F50" w:rsidRDefault="00494F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CB69" w14:textId="77777777" w:rsidR="00494F50" w:rsidRDefault="00494F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447D" w14:textId="77777777" w:rsidR="00494F50" w:rsidRDefault="001D4893">
    <w:pPr>
      <w:pStyle w:val="Header"/>
      <w:pBdr>
        <w:bottom w:val="single" w:sz="4" w:space="6" w:color="E6E1D5"/>
      </w:pBdr>
    </w:pPr>
    <w:r>
      <w:rPr>
        <w:noProof/>
      </w:rPr>
      <w:drawing>
        <wp:inline distT="0" distB="0" distL="0" distR="0" wp14:anchorId="6869E9B1" wp14:editId="423714A6">
          <wp:extent cx="864000" cy="259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64000" cy="259920"/>
                  </a:xfrm>
                  <a:prstGeom prst="rect">
                    <a:avLst/>
                  </a:prstGeom>
                </pic:spPr>
              </pic:pic>
            </a:graphicData>
          </a:graphic>
        </wp:inline>
      </w:drawing>
    </w:r>
    <w:r>
      <w:ptab w:relativeTo="margin" w:alignment="right" w:leader="none"/>
    </w:r>
    <w:r>
      <w:t>[Tên báo cáo rút g</w:t>
    </w:r>
    <w:r>
      <w:t>ọ</w:t>
    </w:r>
    <w:r>
      <w:t>n]  ·  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9073" w14:textId="77777777" w:rsidR="00494F50" w:rsidRDefault="00494F5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16AD" w14:textId="77777777" w:rsidR="00494F50" w:rsidRDefault="00494F50"/>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4D063A"/>
    <w:multiLevelType w:val="hybridMultilevel"/>
    <w:tmpl w:val="2E0C0F72"/>
    <w:lvl w:ilvl="0" w:tplc="02EC8E70">
      <w:start w:val="1"/>
      <w:numFmt w:val="bullet"/>
      <w:lvlText w:val="■"/>
      <w:lvlJc w:val="left"/>
      <w:pPr>
        <w:ind w:hanging="255" w:left="340"/>
      </w:pPr>
      <w:rPr>
        <w:color w:val="264896"/>
        <w:sz w:val="12"/>
        <w:szCs w:val="12"/>
      </w:rPr>
    </w:lvl>
    <w:lvl w:ilvl="1" w:tplc="DF2AF266">
      <w:start w:val="1"/>
      <w:numFmt w:val="bullet"/>
      <w:lvlText w:val="–"/>
      <w:lvlJc w:val="left"/>
      <w:pPr>
        <w:ind w:hanging="255" w:left="680"/>
      </w:pPr>
      <w:rPr>
        <w:color w:val="5C6478"/>
      </w:rPr>
    </w:lvl>
    <w:lvl w:ilvl="2" w:tplc="BC24587C">
      <w:numFmt w:val="decimal"/>
      <w:lvlText w:val=""/>
      <w:lvlJc w:val="left"/>
    </w:lvl>
    <w:lvl w:ilvl="3" w:tplc="13169F24">
      <w:numFmt w:val="decimal"/>
      <w:lvlText w:val=""/>
      <w:lvlJc w:val="left"/>
    </w:lvl>
    <w:lvl w:ilvl="4" w:tplc="8F1EE764">
      <w:numFmt w:val="decimal"/>
      <w:lvlText w:val=""/>
      <w:lvlJc w:val="left"/>
    </w:lvl>
    <w:lvl w:ilvl="5" w:tplc="648E0E0C">
      <w:numFmt w:val="decimal"/>
      <w:lvlText w:val=""/>
      <w:lvlJc w:val="left"/>
    </w:lvl>
    <w:lvl w:ilvl="6" w:tplc="5EFA1E9E">
      <w:numFmt w:val="decimal"/>
      <w:lvlText w:val=""/>
      <w:lvlJc w:val="left"/>
    </w:lvl>
    <w:lvl w:ilvl="7" w:tplc="FF4A8832">
      <w:numFmt w:val="decimal"/>
      <w:lvlText w:val=""/>
      <w:lvlJc w:val="left"/>
    </w:lvl>
    <w:lvl w:ilvl="8" w:tplc="6F94EA6E">
      <w:numFmt w:val="decimal"/>
      <w:lvlText w:val=""/>
      <w:lvlJc w:val="left"/>
    </w:lvl>
  </w:abstractNum>
  <w:abstractNum w15:restartNumberingAfterBreak="0" w:abstractNumId="1">
    <w:nsid w:val="393D0AC7"/>
    <w:multiLevelType w:val="hybridMultilevel"/>
    <w:tmpl w:val="4152571A"/>
    <w:lvl w:ilvl="0" w:tplc="E3E420F0">
      <w:start w:val="1"/>
      <w:numFmt w:val="decimal"/>
      <w:lvlText w:val="%1."/>
      <w:lvlJc w:val="left"/>
      <w:pPr>
        <w:ind w:hanging="340" w:left="340"/>
      </w:pPr>
      <w:rPr>
        <w:rFonts w:ascii="Be Vietnam Pro SemiBold" w:cs="Be Vietnam Pro SemiBold" w:eastAsia="Be Vietnam Pro SemiBold" w:hAnsi="Be Vietnam Pro SemiBold"/>
        <w:color w:val="264896"/>
      </w:rPr>
    </w:lvl>
    <w:lvl w:ilvl="1" w:tplc="0096D978">
      <w:numFmt w:val="decimal"/>
      <w:lvlText w:val=""/>
      <w:lvlJc w:val="left"/>
    </w:lvl>
    <w:lvl w:ilvl="2" w:tplc="916662A2">
      <w:numFmt w:val="decimal"/>
      <w:lvlText w:val=""/>
      <w:lvlJc w:val="left"/>
    </w:lvl>
    <w:lvl w:ilvl="3" w:tplc="59EC34DC">
      <w:numFmt w:val="decimal"/>
      <w:lvlText w:val=""/>
      <w:lvlJc w:val="left"/>
    </w:lvl>
    <w:lvl w:ilvl="4" w:tplc="3BE41D74">
      <w:numFmt w:val="decimal"/>
      <w:lvlText w:val=""/>
      <w:lvlJc w:val="left"/>
    </w:lvl>
    <w:lvl w:ilvl="5" w:tplc="65223B9A">
      <w:numFmt w:val="decimal"/>
      <w:lvlText w:val=""/>
      <w:lvlJc w:val="left"/>
    </w:lvl>
    <w:lvl w:ilvl="6" w:tplc="F176DDD0">
      <w:numFmt w:val="decimal"/>
      <w:lvlText w:val=""/>
      <w:lvlJc w:val="left"/>
    </w:lvl>
    <w:lvl w:ilvl="7" w:tplc="EFAC4FCE">
      <w:numFmt w:val="decimal"/>
      <w:lvlText w:val=""/>
      <w:lvlJc w:val="left"/>
    </w:lvl>
    <w:lvl w:ilvl="8" w:tplc="0268AD36">
      <w:numFmt w:val="decimal"/>
      <w:lvlText w:val=""/>
      <w:lvlJc w:val="left"/>
    </w:lvl>
  </w:abstractNum>
  <w:abstractNum w15:restartNumberingAfterBreak="0" w:abstractNumId="2">
    <w:nsid w:val="5005191E"/>
    <w:multiLevelType w:val="hybridMultilevel"/>
    <w:tmpl w:val="0D1C4F4E"/>
    <w:lvl w:ilvl="0" w:tentative="1" w:tplc="B6962FD8">
      <w:start w:val="1"/>
      <w:numFmt w:val="bullet"/>
      <w:lvlText w:val="●"/>
      <w:lvlJc w:val="left"/>
      <w:pPr>
        <w:ind w:hanging="360" w:left="720"/>
      </w:pPr>
    </w:lvl>
    <w:lvl w:ilvl="1" w:tentative="1" w:tplc="E012D0F8">
      <w:start w:val="1"/>
      <w:numFmt w:val="bullet"/>
      <w:lvlText w:val="○"/>
      <w:lvlJc w:val="left"/>
      <w:pPr>
        <w:ind w:hanging="360" w:left="1440"/>
      </w:pPr>
    </w:lvl>
    <w:lvl w:ilvl="2" w:tentative="1" w:tplc="3514B544">
      <w:start w:val="1"/>
      <w:numFmt w:val="bullet"/>
      <w:lvlText w:val="■"/>
      <w:lvlJc w:val="left"/>
      <w:pPr>
        <w:ind w:hanging="360" w:left="2160"/>
      </w:pPr>
    </w:lvl>
    <w:lvl w:ilvl="3" w:tentative="1" w:tplc="A254F2D0">
      <w:start w:val="1"/>
      <w:numFmt w:val="bullet"/>
      <w:lvlText w:val="●"/>
      <w:lvlJc w:val="left"/>
      <w:pPr>
        <w:ind w:hanging="360" w:left="2880"/>
      </w:pPr>
    </w:lvl>
    <w:lvl w:ilvl="4" w:tentative="1" w:tplc="B4500A58">
      <w:start w:val="1"/>
      <w:numFmt w:val="bullet"/>
      <w:lvlText w:val="○"/>
      <w:lvlJc w:val="left"/>
      <w:pPr>
        <w:ind w:hanging="360" w:left="3600"/>
      </w:pPr>
    </w:lvl>
    <w:lvl w:ilvl="5" w:tentative="1" w:tplc="203A9814">
      <w:start w:val="1"/>
      <w:numFmt w:val="bullet"/>
      <w:lvlText w:val="■"/>
      <w:lvlJc w:val="left"/>
      <w:pPr>
        <w:ind w:hanging="360" w:left="4320"/>
      </w:pPr>
    </w:lvl>
    <w:lvl w:ilvl="6" w:tentative="1" w:tplc="E692F82C">
      <w:start w:val="1"/>
      <w:numFmt w:val="bullet"/>
      <w:lvlText w:val="●"/>
      <w:lvlJc w:val="left"/>
      <w:pPr>
        <w:ind w:hanging="360" w:left="5040"/>
      </w:pPr>
    </w:lvl>
    <w:lvl w:ilvl="7" w:tentative="1" w:tplc="5B5A15F2">
      <w:start w:val="1"/>
      <w:numFmt w:val="bullet"/>
      <w:lvlText w:val="●"/>
      <w:lvlJc w:val="left"/>
      <w:pPr>
        <w:ind w:hanging="360" w:left="5760"/>
      </w:pPr>
    </w:lvl>
    <w:lvl w:ilvl="8" w:tentative="1" w:tplc="6A10754C">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21350052" w:numId="1">
    <w:abstractNumId w:val="2"/>
    <w:lvlOverride w:ilvl="0">
      <w:startOverride w:val="1"/>
    </w:lvlOverride>
  </w:num>
  <w:num w16cid:durableId="857503433" w:numId="2">
    <w:abstractNumId w:val="0"/>
    <w:lvlOverride w:ilvl="0">
      <w:startOverride w:val="1"/>
    </w:lvlOverride>
  </w:num>
  <w:num w16cid:durableId="1843858036" w:numId="3">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3"/>
  <w:displayBackgroundShape/>
  <w:embedTrueTypeFonts/>
  <w:embedSystemFonts/>
  <w:proofState w:grammar="clean" w:spelling="clean"/>
  <w:stylePaneFormatFilter w:val="0004"/>
  <w:doNotTrackMoves/>
  <w:defaultTabStop w:val="720"/>
  <w:defaultTableStyle w:val="VCCITabl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F50"/>
    <w:rsid w:val="001D4893"/>
    <w:rsid w:val="00494F50"/>
    <w:rsid w:val="00870099"/>
    <w:rsid w:val="00D034D0"/>
  </w:rsids>
  <w:themeFontLang w:val="en-A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e Vietnam Pro" w:cs="Be Vietnam Pro" w:eastAsia="Be Vietnam Pro" w:hAnsi="Be Vietnam Pro"/>
        <w:color w:val="161A26"/>
        <w:lang w:bidi="ar-SA" w:eastAsia="en-AU" w:val="vi"/>
      </w:rPr>
    </w:rPrDefault>
    <w:pPrDefault>
      <w:pPr>
        <w:spacing w:after="140" w:line="33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spacing w:after="200" w:before="120" w:line="264" w:lineRule="auto"/>
      <w:outlineLvl w:val="0"/>
    </w:pPr>
    <w:rPr>
      <w:rFonts w:ascii="Lora Medium" w:cs="Lora Medium" w:eastAsia="Lora Medium" w:hAnsi="Lora Medium"/>
      <w:color w:val="264896"/>
      <w:sz w:val="44"/>
      <w:szCs w:val="44"/>
    </w:rPr>
  </w:style>
  <w:style w:styleId="Heading2" w:type="paragraph">
    <w:name w:val="heading 2"/>
    <w:basedOn w:val="Normal"/>
    <w:next w:val="Normal"/>
    <w:uiPriority w:val="9"/>
    <w:unhideWhenUsed/>
    <w:qFormat/>
    <w:pPr>
      <w:keepNext/>
      <w:spacing w:after="120" w:before="360" w:line="288" w:lineRule="auto"/>
      <w:outlineLvl w:val="1"/>
    </w:pPr>
    <w:rPr>
      <w:rFonts w:ascii="Lora SemiBold" w:cs="Lora SemiBold" w:eastAsia="Lora SemiBold" w:hAnsi="Lora SemiBold"/>
      <w:color w:val="264896"/>
      <w:sz w:val="28"/>
      <w:szCs w:val="28"/>
    </w:rPr>
  </w:style>
  <w:style w:styleId="Heading3" w:type="paragraph">
    <w:name w:val="heading 3"/>
    <w:basedOn w:val="Normal"/>
    <w:next w:val="Normal"/>
    <w:uiPriority w:val="9"/>
    <w:unhideWhenUsed/>
    <w:qFormat/>
    <w:pPr>
      <w:keepNext/>
      <w:spacing w:after="80" w:before="280"/>
      <w:outlineLvl w:val="2"/>
    </w:pPr>
    <w:rPr>
      <w:rFonts w:ascii="Be Vietnam Pro SemiBold" w:cs="Be Vietnam Pro SemiBold" w:eastAsia="Be Vietnam Pro SemiBold" w:hAnsi="Be Vietnam Pro SemiBold"/>
      <w:caps/>
      <w:color w:val="9C570C"/>
      <w:spacing w:val="24"/>
      <w:sz w:val="17"/>
      <w:szCs w:val="17"/>
    </w:rPr>
  </w:style>
  <w:style w:styleId="Heading4" w:type="paragraph">
    <w:name w:val="heading 4"/>
    <w:basedOn w:val="Normal"/>
    <w:next w:val="Normal"/>
    <w:uiPriority w:val="9"/>
    <w:semiHidden/>
    <w:unhideWhenUsed/>
    <w:qFormat/>
    <w:pPr>
      <w:outlineLvl w:val="3"/>
    </w:pPr>
    <w:rPr>
      <w:i/>
      <w:iCs/>
      <w:color w:val="2E74B5"/>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pPr>
      <w:spacing w:after="240" w:line="240" w:lineRule="auto"/>
    </w:pPr>
    <w:rPr>
      <w:rFonts w:ascii="Lora Medium" w:cs="Lora Medium" w:eastAsia="Lora Medium" w:hAnsi="Lora Medium"/>
      <w:color w:val="264896"/>
      <w:sz w:val="68"/>
      <w:szCs w:val="68"/>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style>
  <w:style w:customStyle="1" w:styleId="EndnoteTextChar" w:type="character">
    <w:name w:val="Endnote Text Char"/>
    <w:link w:val="EndnoteText"/>
    <w:uiPriority w:val="99"/>
    <w:semiHidden/>
    <w:unhideWhenUsed/>
    <w:rPr>
      <w:sz w:val="20"/>
      <w:szCs w:val="20"/>
    </w:rPr>
  </w:style>
  <w:style w:styleId="Subtitle" w:type="paragraph">
    <w:name w:val="Subtitle"/>
    <w:basedOn w:val="Normal"/>
    <w:next w:val="Normal"/>
    <w:uiPriority w:val="11"/>
    <w:qFormat/>
    <w:pPr>
      <w:spacing w:after="240" w:line="312" w:lineRule="auto"/>
    </w:pPr>
    <w:rPr>
      <w:color w:val="5C6478"/>
      <w:sz w:val="26"/>
      <w:szCs w:val="26"/>
    </w:rPr>
  </w:style>
  <w:style w:customStyle="1" w:styleId="VCCILabel" w:type="paragraph">
    <w:name w:val="VCCI Label"/>
    <w:basedOn w:val="Normal"/>
    <w:next w:val="Normal"/>
    <w:qFormat/>
    <w:pPr>
      <w:spacing w:after="160"/>
    </w:pPr>
    <w:rPr>
      <w:rFonts w:ascii="Be Vietnam Pro SemiBold" w:cs="Be Vietnam Pro SemiBold" w:eastAsia="Be Vietnam Pro SemiBold" w:hAnsi="Be Vietnam Pro SemiBold"/>
      <w:caps/>
      <w:color w:val="9C570C"/>
      <w:spacing w:val="36"/>
      <w:sz w:val="16"/>
      <w:szCs w:val="16"/>
    </w:rPr>
  </w:style>
  <w:style w:customStyle="1" w:styleId="VCCILead" w:type="paragraph">
    <w:name w:val="VCCI Lead"/>
    <w:basedOn w:val="Normal"/>
    <w:next w:val="Normal"/>
    <w:qFormat/>
    <w:pPr>
      <w:spacing w:after="240" w:line="360" w:lineRule="auto"/>
    </w:pPr>
    <w:rPr>
      <w:rFonts w:ascii="Lora" w:cs="Lora" w:eastAsia="Lora" w:hAnsi="Lora"/>
      <w:color w:val="264896"/>
      <w:sz w:val="26"/>
      <w:szCs w:val="26"/>
    </w:rPr>
  </w:style>
  <w:style w:styleId="Quote" w:type="paragraph">
    <w:name w:val="Quote"/>
    <w:basedOn w:val="Normal"/>
    <w:next w:val="Normal"/>
    <w:qFormat/>
    <w:pPr>
      <w:pBdr>
        <w:left w:color="FFCD00" w:space="14" w:sz="24" w:val="single"/>
      </w:pBdr>
      <w:spacing w:after="240" w:before="240"/>
      <w:ind w:left="454"/>
    </w:pPr>
    <w:rPr>
      <w:rFonts w:ascii="Lora" w:cs="Lora" w:eastAsia="Lora" w:hAnsi="Lora"/>
      <w:i/>
      <w:iCs/>
      <w:color w:val="264896"/>
      <w:sz w:val="26"/>
      <w:szCs w:val="26"/>
    </w:rPr>
  </w:style>
  <w:style w:customStyle="1" w:styleId="VCCICallout" w:type="paragraph">
    <w:name w:val="VCCI Callout"/>
    <w:basedOn w:val="Normal"/>
    <w:next w:val="Normal"/>
    <w:qFormat/>
    <w:pPr>
      <w:pBdr>
        <w:top w:color="E7ECF6" w:space="8" w:sz="4" w:val="single"/>
        <w:left w:color="264896" w:space="10" w:sz="24" w:val="single"/>
        <w:bottom w:color="E7ECF6" w:space="8" w:sz="4" w:val="single"/>
        <w:right w:color="E7ECF6" w:space="10" w:sz="4" w:val="single"/>
      </w:pBdr>
      <w:shd w:color="auto" w:fill="E7ECF6" w:val="clear"/>
      <w:spacing w:after="200" w:before="200" w:line="312" w:lineRule="auto"/>
      <w:ind w:left="227" w:right="227"/>
    </w:pPr>
    <w:rPr>
      <w:sz w:val="19"/>
      <w:szCs w:val="19"/>
    </w:rPr>
  </w:style>
  <w:style w:styleId="Caption" w:type="paragraph">
    <w:name w:val="caption"/>
    <w:basedOn w:val="Normal"/>
    <w:next w:val="Normal"/>
    <w:qFormat/>
    <w:pPr>
      <w:spacing w:after="280" w:before="80"/>
    </w:pPr>
    <w:rPr>
      <w:color w:val="5C6478"/>
      <w:sz w:val="15"/>
      <w:szCs w:val="15"/>
    </w:rPr>
  </w:style>
  <w:style w:customStyle="1" w:styleId="VCCISmall" w:type="paragraph">
    <w:name w:val="VCCI Small"/>
    <w:basedOn w:val="Normal"/>
    <w:next w:val="Normal"/>
    <w:qFormat/>
    <w:pPr>
      <w:spacing w:after="40" w:line="264" w:lineRule="auto"/>
    </w:pPr>
    <w:rPr>
      <w:color w:val="5C6478"/>
      <w:sz w:val="15"/>
      <w:szCs w:val="15"/>
    </w:rPr>
  </w:style>
  <w:style w:customStyle="1" w:styleId="VCCIFigureNumber" w:type="paragraph">
    <w:name w:val="VCCI Figure Number"/>
    <w:basedOn w:val="Normal"/>
    <w:next w:val="Normal"/>
    <w:qFormat/>
    <w:pPr>
      <w:spacing w:after="0" w:line="240" w:lineRule="auto"/>
    </w:pPr>
    <w:rPr>
      <w:rFonts w:ascii="Lora Medium" w:cs="Lora Medium" w:eastAsia="Lora Medium" w:hAnsi="Lora Medium"/>
      <w:color w:val="264896"/>
      <w:sz w:val="48"/>
      <w:szCs w:val="48"/>
    </w:rPr>
  </w:style>
  <w:style w:customStyle="1" w:styleId="VCCITOCHeading" w:type="paragraph">
    <w:name w:val="VCCI TOC Heading"/>
    <w:basedOn w:val="Normal"/>
    <w:next w:val="Normal"/>
    <w:qFormat/>
    <w:pPr>
      <w:spacing w:after="360"/>
    </w:pPr>
    <w:rPr>
      <w:rFonts w:ascii="Lora Medium" w:cs="Lora Medium" w:eastAsia="Lora Medium" w:hAnsi="Lora Medium"/>
      <w:color w:val="264896"/>
      <w:sz w:val="44"/>
      <w:szCs w:val="44"/>
    </w:rPr>
  </w:style>
  <w:style w:styleId="Header" w:type="paragraph">
    <w:name w:val="header"/>
    <w:basedOn w:val="Normal"/>
    <w:qFormat/>
    <w:pPr>
      <w:spacing w:after="0" w:line="240" w:lineRule="auto"/>
    </w:pPr>
    <w:rPr>
      <w:color w:val="5C6478"/>
      <w:sz w:val="14"/>
      <w:szCs w:val="14"/>
    </w:rPr>
  </w:style>
  <w:style w:styleId="Footer" w:type="paragraph">
    <w:name w:val="footer"/>
    <w:basedOn w:val="Normal"/>
    <w:qFormat/>
    <w:pPr>
      <w:spacing w:after="0" w:line="240" w:lineRule="auto"/>
    </w:pPr>
    <w:rPr>
      <w:color w:val="5C6478"/>
      <w:sz w:val="14"/>
      <w:szCs w:val="14"/>
    </w:rPr>
  </w:style>
  <w:style w:styleId="TOC1" w:type="paragraph">
    <w:name w:val="toc 1"/>
    <w:basedOn w:val="Normal"/>
    <w:next w:val="Normal"/>
    <w:uiPriority w:val="39"/>
    <w:qFormat/>
    <w:pPr>
      <w:spacing w:after="80" w:before="200"/>
    </w:pPr>
    <w:rPr>
      <w:rFonts w:ascii="Lora SemiBold" w:cs="Lora SemiBold" w:eastAsia="Lora SemiBold" w:hAnsi="Lora SemiBold"/>
      <w:color w:val="264896"/>
      <w:sz w:val="22"/>
      <w:szCs w:val="22"/>
    </w:rPr>
  </w:style>
  <w:style w:styleId="TOC2" w:type="paragraph">
    <w:name w:val="toc 2"/>
    <w:basedOn w:val="Normal"/>
    <w:next w:val="Normal"/>
    <w:uiPriority w:val="39"/>
    <w:qFormat/>
    <w:pPr>
      <w:spacing w:after="60"/>
      <w:ind w:left="340"/>
    </w:pPr>
    <w:rPr>
      <w:sz w:val="19"/>
      <w:szCs w:val="19"/>
    </w:rPr>
  </w:style>
  <w:style w:styleId="TOC3" w:type="paragraph">
    <w:name w:val="toc 3"/>
    <w:basedOn w:val="Normal"/>
    <w:next w:val="Normal"/>
    <w:uiPriority w:val="39"/>
    <w:qFormat/>
    <w:pPr>
      <w:spacing w:after="40"/>
      <w:ind w:left="680"/>
    </w:pPr>
    <w:rPr>
      <w:color w:val="5C6478"/>
      <w:sz w:val="18"/>
      <w:szCs w:val="18"/>
    </w:rPr>
  </w:style>
  <w:style w:customStyle="1" w:styleId="VCCITable" w:type="table">
    <w:name w:val="VCCI Table"/>
    <w:basedOn w:val="TableNormal"/>
    <w:uiPriority w:val="40"/>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color="264896" w:space="0" w:sz="8" w:val="single"/>
        <w:right w:val="nil"/>
        <w:insideH w:color="E6E1D5" w:space="0" w:sz="4" w:val="single"/>
        <w:insideV w:val="nil"/>
      </w:tblBorders>
      <w:tblCellMar>
        <w:top w:type="dxa" w:w="96"/>
        <w:left w:type="dxa" w:w="142"/>
        <w:bottom w:type="dxa" w:w="96"/>
        <w:right w:type="dxa" w:w="142"/>
      </w:tblCellMar>
    </w:tblPr>
    <w:tcPr>
      <w:vAlign w:val="center"/>
    </w:tcPr>
    <w:tblStylePr w:type="firstRow">
      <w:rPr>
        <w:rFonts w:ascii="Be Vietnam Pro SemiBold" w:cs="Be Vietnam Pro SemiBold" w:eastAsia="Be Vietnam Pro SemiBold" w:hAnsi="Be Vietnam Pro SemiBold"/>
        <w:color w:val="FFFFFF"/>
        <w:sz w:val="17"/>
        <w:szCs w:val="17"/>
      </w:rPr>
      <w:tblPr/>
      <w:tcPr>
        <w:tcBorders>
          <w:top w:color="264896" w:space="0" w:sz="4" w:val="single"/>
          <w:bottom w:color="264896" w:space="0" w:sz="4" w:val="single"/>
        </w:tcBorders>
        <w:shd w:color="auto" w:fill="264896" w:val="clear"/>
      </w:tcPr>
    </w:tblStylePr>
    <w:tblStylePr w:type="lastRow">
      <w:rPr>
        <w:rFonts w:ascii="Be Vietnam Pro SemiBold" w:cs="Be Vietnam Pro SemiBold" w:eastAsia="Be Vietnam Pro SemiBold" w:hAnsi="Be Vietnam Pro SemiBold"/>
      </w:rPr>
      <w:tblPr/>
      <w:tcPr>
        <w:tcBorders>
          <w:top w:color="264896" w:space="0" w:sz="8" w:val="single"/>
        </w:tcBorders>
        <w:shd w:color="auto" w:fill="F4F0E6" w:val="clear"/>
      </w:tcPr>
    </w:tblStylePr>
    <w:tblStylePr w:type="firstCol">
      <w:rPr>
        <w:rFonts w:ascii="Be Vietnam Pro SemiBold" w:cs="Be Vietnam Pro SemiBold" w:eastAsia="Be Vietnam Pro SemiBold" w:hAnsi="Be Vietnam Pro SemiBold"/>
      </w:rPr>
      <w:tblPr/>
    </w:tblStylePr>
    <w:tblStylePr w:type="band2Horz">
      <w:tblPr/>
      <w:tcPr>
        <w:shd w:color="auto" w:fill="FBF9F4" w:val="clear"/>
      </w:tcPr>
    </w:tblStylePr>
  </w:style>
  <w:style w:customStyle="1" w:styleId="VCCITableLight" w:type="table">
    <w:name w:val="VCCI Table Light"/>
    <w:basedOn w:val="TableNormal"/>
    <w:uiPriority w:val="41"/>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color="E6E1D5" w:space="0" w:sz="4" w:val="single"/>
        <w:right w:val="nil"/>
        <w:insideH w:color="E6E1D5" w:space="0" w:sz="4" w:val="single"/>
        <w:insideV w:val="nil"/>
      </w:tblBorders>
      <w:tblCellMar>
        <w:top w:type="dxa" w:w="80"/>
        <w:left w:type="dxa" w:w="0"/>
        <w:bottom w:type="dxa" w:w="80"/>
        <w:right w:type="dxa" w:w="170"/>
      </w:tblCellMar>
    </w:tblPr>
    <w:tcPr>
      <w:vAlign w:val="top"/>
    </w:tcPr>
    <w:tblStylePr w:type="firstRow">
      <w:rPr>
        <w:rFonts w:ascii="Be Vietnam Pro SemiBold" w:cs="Be Vietnam Pro SemiBold" w:eastAsia="Be Vietnam Pro SemiBold" w:hAnsi="Be Vietnam Pro SemiBold"/>
        <w:caps/>
        <w:color w:val="9C570C"/>
        <w:spacing w:val="24"/>
        <w:sz w:val="15"/>
        <w:szCs w:val="15"/>
      </w:rPr>
      <w:tblPr/>
      <w:tcPr>
        <w:tcBorders>
          <w:bottom w:color="264896" w:space="0" w:sz="8" w:val="single"/>
        </w:tcBorders>
      </w:tcPr>
    </w:tblStylePr>
    <w:tblStylePr w:type="firstCol">
      <w:rPr>
        <w:rFonts w:ascii="Be Vietnam Pro SemiBold" w:cs="Be Vietnam Pro SemiBold" w:eastAsia="Be Vietnam Pro SemiBold" w:hAnsi="Be Vietnam Pro SemiBold"/>
        <w:color w:val="264896"/>
      </w:rPr>
      <w:tblPr/>
    </w:tblStylePr>
  </w:style>
  <w:style w:customStyle="1" w:styleId="VCCITableTint" w:type="table">
    <w:name w:val="VCCI Table Tint"/>
    <w:basedOn w:val="TableNormal"/>
    <w:uiPriority w:val="42"/>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val="nil"/>
        <w:right w:val="nil"/>
        <w:insideH w:color="FFFFFF" w:space="0" w:sz="24" w:val="single"/>
        <w:insideV w:color="FFFFFF" w:space="0" w:sz="24" w:val="single"/>
      </w:tblBorders>
      <w:tblCellMar>
        <w:top w:type="dxa" w:w="170"/>
        <w:left w:type="dxa" w:w="170"/>
        <w:bottom w:type="dxa" w:w="170"/>
        <w:right w:type="dxa" w:w="170"/>
      </w:tblCellMar>
    </w:tblPr>
    <w:tcPr>
      <w:shd w:color="auto" w:fill="E7ECF6" w:val="clear"/>
      <w:vAlign w:val="top"/>
    </w:tcPr>
    <w:tblStylePr w:type="firstRow">
      <w:rPr>
        <w:color w:val="264896"/>
      </w:rPr>
      <w:tblPr/>
    </w:tblStylePr>
  </w:style>
  <w:style w:customStyle="1" w:styleId="Table" w:type="table">
    <w:name w:val="Table"/>
    <w:basedOn w:val="TableNormal"/>
    <w:uiPriority w:val="40"/>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color="264896" w:space="0" w:sz="8" w:val="single"/>
        <w:right w:val="nil"/>
        <w:insideH w:color="E6E1D5" w:space="0" w:sz="4" w:val="single"/>
        <w:insideV w:val="nil"/>
      </w:tblBorders>
      <w:tblCellMar>
        <w:top w:type="dxa" w:w="96"/>
        <w:left w:type="dxa" w:w="142"/>
        <w:bottom w:type="dxa" w:w="96"/>
        <w:right w:type="dxa" w:w="142"/>
      </w:tblCellMar>
    </w:tblPr>
    <w:tcPr>
      <w:vAlign w:val="center"/>
    </w:tcPr>
    <w:tblStylePr w:type="firstRow">
      <w:rPr>
        <w:rFonts w:ascii="Be Vietnam Pro SemiBold" w:cs="Be Vietnam Pro SemiBold" w:eastAsia="Be Vietnam Pro SemiBold" w:hAnsi="Be Vietnam Pro SemiBold"/>
        <w:color w:val="FFFFFF"/>
        <w:sz w:val="17"/>
        <w:szCs w:val="17"/>
      </w:rPr>
      <w:tblPr/>
      <w:tcPr>
        <w:tcBorders>
          <w:top w:color="264896" w:space="0" w:sz="4" w:val="single"/>
          <w:bottom w:color="264896" w:space="0" w:sz="4" w:val="single"/>
        </w:tcBorders>
        <w:shd w:color="auto" w:fill="264896" w:val="clear"/>
      </w:tcPr>
    </w:tblStylePr>
    <w:tblStylePr w:type="lastRow">
      <w:rPr>
        <w:rFonts w:ascii="Be Vietnam Pro SemiBold" w:cs="Be Vietnam Pro SemiBold" w:eastAsia="Be Vietnam Pro SemiBold" w:hAnsi="Be Vietnam Pro SemiBold"/>
      </w:rPr>
      <w:tblPr/>
      <w:tcPr>
        <w:tcBorders>
          <w:top w:color="264896" w:space="0" w:sz="8" w:val="single"/>
        </w:tcBorders>
        <w:shd w:color="auto" w:fill="F4F0E6" w:val="clear"/>
      </w:tcPr>
    </w:tblStylePr>
    <w:tblStylePr w:type="firstCol">
      <w:rPr>
        <w:rFonts w:ascii="Be Vietnam Pro SemiBold" w:cs="Be Vietnam Pro SemiBold" w:eastAsia="Be Vietnam Pro SemiBold" w:hAnsi="Be Vietnam Pro SemiBold"/>
      </w:rPr>
      <w:tblPr/>
    </w:tblStylePr>
    <w:tblStylePr w:type="band2Horz">
      <w:tblPr/>
      <w:tcPr>
        <w:shd w:color="auto" w:fill="FBF9F4" w:val="clear"/>
      </w:tcPr>
    </w:tblStylePr>
  </w:style>
  <w:style w:customStyle="1" w:styleId="BodyText" w:type="paragraph">
    <w:name w:val="Body Text"/>
    <w:basedOn w:val="Normal"/>
    <w:qFormat/>
  </w:style>
  <w:style w:customStyle="1" w:styleId="FirstParagraph" w:type="paragraph">
    <w:name w:val="First Paragraph"/>
    <w:basedOn w:val="BodyText"/>
    <w:qFormat/>
  </w:style>
  <w:style w:customStyle="1" w:styleId="Compact" w:type="paragraph">
    <w:name w:val="Compact"/>
    <w:basedOn w:val="BodyText"/>
    <w:qFormat/>
    <w:pPr>
      <w:spacing w:after="36" w:before="36"/>
    </w:pPr>
  </w:style>
  <w:style w:customStyle="1" w:styleId="Author" w:type="paragraph">
    <w:name w:val="Author"/>
    <w:basedOn w:val="Normal"/>
    <w:qFormat/>
    <w:rPr>
      <w:b/>
      <w:color w:val="161A26"/>
    </w:rPr>
  </w:style>
  <w:style w:customStyle="1" w:styleId="Date" w:type="paragraph">
    <w:name w:val="Date"/>
    <w:basedOn w:val="Normal"/>
    <w:qFormat/>
    <w:rPr>
      <w:color w:val="5C6478"/>
    </w:rPr>
  </w:style>
  <w:style w:customStyle="1" w:styleId="Abstract" w:type="paragraph">
    <w:name w:val="Abstract"/>
    <w:basedOn w:val="VCCICallout"/>
    <w:qFormat/>
  </w:style>
  <w:style w:customStyle="1" w:styleId="AbstractTitle" w:type="paragraph">
    <w:name w:val="Abstract Title"/>
    <w:basedOn w:val="VCCILabel"/>
    <w:qFormat/>
  </w:style>
  <w:style w:customStyle="1" w:styleId="Bibliography" w:type="paragraph">
    <w:name w:val="Bibliography"/>
    <w:basedOn w:val="Normal"/>
    <w:qFormat/>
    <w:pPr>
      <w:ind w:hanging="360" w:left="360"/>
    </w:pPr>
  </w:style>
  <w:style w:customStyle="1" w:styleId="BlockText" w:type="paragraph">
    <w:name w:val="Block Text"/>
    <w:basedOn w:val="Quote"/>
    <w:qFormat/>
  </w:style>
  <w:style w:customStyle="1" w:styleId="ImageCaption" w:type="paragraph">
    <w:name w:val="Image Caption"/>
    <w:basedOn w:val="Caption"/>
    <w:qFormat/>
  </w:style>
  <w:style w:customStyle="1" w:styleId="TableCaption" w:type="paragraph">
    <w:name w:val="Table Caption"/>
    <w:basedOn w:val="Caption"/>
    <w:qFormat/>
  </w:style>
  <w:style w:customStyle="1" w:styleId="Figure" w:type="paragraph">
    <w:name w:val="Figure"/>
    <w:basedOn w:val="Normal"/>
    <w:qFormat/>
    <w:pPr>
      <w:keepNext/>
    </w:pPr>
  </w:style>
  <w:style w:customStyle="1" w:styleId="CaptionedFigure" w:type="paragraph">
    <w:name w:val="Captioned Figure"/>
    <w:basedOn w:val="Figure"/>
    <w:qFormat/>
  </w:style>
  <w:style w:customStyle="1" w:styleId="TOCHeading" w:type="paragraph">
    <w:name w:val="TOC Heading"/>
    <w:basedOn w:val="VCCITOCHeading"/>
    <w:qFormat/>
  </w:style>
  <w:style w:customStyle="1" w:styleId="SourceCode" w:type="paragraph">
    <w:name w:val="Source Code"/>
    <w:basedOn w:val="Normal"/>
    <w:qFormat/>
    <w:rPr>
      <w:rFonts w:ascii="Consolas" w:hAnsi="Consolas"/>
      <w:sz w:val="17"/>
    </w:rPr>
  </w:style>
  <w:style w:customStyle="1" w:styleId="DefinitionTerm" w:type="paragraph">
    <w:name w:val="Definition Term"/>
    <w:basedOn w:val="Normal"/>
    <w:qFormat/>
    <w:rPr>
      <w:b/>
    </w:rPr>
  </w:style>
  <w:style w:customStyle="1" w:styleId="Definition" w:type="paragraph">
    <w:name w:val="Definition"/>
    <w:basedOn w:val="Normal"/>
    <w:qFormat/>
  </w:style>
  <w:style w:customStyle="1" w:styleId="BodyTextChar" w:type="character">
    <w:name w:val="Body Text Char"/>
    <w:basedOn w:val="DefaultParagraphFont"/>
    <w:qFormat/>
  </w:style>
  <w:style w:customStyle="1" w:styleId="VerbatimChar" w:type="character">
    <w:name w:val="Verbatim Char"/>
    <w:basedOn w:val="DefaultParagraphFont"/>
    <w:qFormat/>
    <w:rPr>
      <w:rFonts w:ascii="Consolas" w:hAnsi="Consolas"/>
    </w:rPr>
  </w:style>
  <w:style w:customStyle="1" w:styleId="SectionNumber" w:type="character">
    <w:name w:val="Section Number"/>
    <w:basedOn w:val="DefaultParagraphFont"/>
    <w:qFormat/>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30" Target="numbering.xml" /><Relationship Type="http://schemas.openxmlformats.org/officeDocument/2006/relationships/styles" Id="rId29" Target="styles.xml" /><Relationship Type="http://schemas.openxmlformats.org/officeDocument/2006/relationships/settings" Id="rId28" Target="settings.xml" /><Relationship Type="http://schemas.openxmlformats.org/officeDocument/2006/relationships/webSettings" Id="rId27" Target="webSettings.xml" /><Relationship Type="http://schemas.openxmlformats.org/officeDocument/2006/relationships/fontTable" Id="rId26" Target="fontTable.xml" /><Relationship Type="http://schemas.openxmlformats.org/officeDocument/2006/relationships/theme" Id="rId25" Target="theme/theme1.xml" /><Relationship Type="http://schemas.openxmlformats.org/officeDocument/2006/relationships/footnotes" Id="rId24" Target="footnotes.xml" /><Relationship Type="http://schemas.openxmlformats.org/officeDocument/2006/relationships/comments" Id="rId23" Target="comments.xml" /><Relationship Id="rId8" Target="media/image2.png" Type="http://schemas.openxmlformats.org/officeDocument/2006/relationships/image" /><Relationship Id="rId13" Target="footer2.xml" Type="http://schemas.openxmlformats.org/officeDocument/2006/relationships/footer" /><Relationship Id="rId18" Target="media/image7.png" Type="http://schemas.openxmlformats.org/officeDocument/2006/relationships/image" /><Relationship Id="rId21" Target="header5.xml" Type="http://schemas.openxmlformats.org/officeDocument/2006/relationships/header" /><Relationship Id="rId7" Target="media/image1.png" Type="http://schemas.openxmlformats.org/officeDocument/2006/relationships/image" /><Relationship Id="rId12" Target="header2.xml" Type="http://schemas.openxmlformats.org/officeDocument/2006/relationships/header" /><Relationship Id="rId17" Target="footer3.xml" Type="http://schemas.openxmlformats.org/officeDocument/2006/relationships/footer" /><Relationship Id="rId16" Target="header3.xml" Type="http://schemas.openxmlformats.org/officeDocument/2006/relationships/header" /><Relationship Id="rId20" Target="footer4.xml" Type="http://schemas.openxmlformats.org/officeDocument/2006/relationships/footer" /><Relationship Id="rId11" Target="footer1.xml" Type="http://schemas.openxmlformats.org/officeDocument/2006/relationships/footer" /><Relationship Id="rId15" Target="media/image5.png" Type="http://schemas.openxmlformats.org/officeDocument/2006/relationships/image" /><Relationship Id="rId10" Target="header1.xml" Type="http://schemas.openxmlformats.org/officeDocument/2006/relationships/header" /><Relationship Id="rId19" Target="header4.xml" Type="http://schemas.openxmlformats.org/officeDocument/2006/relationships/header" /><Relationship Id="rId9" Target="media/image3.png" Type="http://schemas.openxmlformats.org/officeDocument/2006/relationships/image" /><Relationship Id="rId14" Target="media/image4.png" Type="http://schemas.openxmlformats.org/officeDocument/2006/relationships/image" /><Relationship Id="rId22" Target="footer5.xml" Type="http://schemas.openxmlformats.org/officeDocument/2006/relationships/footer" /></Relationships>
</file>

<file path=word/_rels/fontTable.xml.rels><?xml version="1.0" encoding="UTF-8" standalone="yes"?>
<Relationships xmlns="http://schemas.openxmlformats.org/package/2006/relationships"><Relationship Id="rIdVcciFont1" Type="http://schemas.openxmlformats.org/officeDocument/2006/relationships/font" Target="fonts/font1.odttf"/><Relationship Id="rIdVcciFont2" Type="http://schemas.openxmlformats.org/officeDocument/2006/relationships/font" Target="fonts/font2.odttf"/><Relationship Id="rIdVcciFont3" Type="http://schemas.openxmlformats.org/officeDocument/2006/relationships/font" Target="fonts/font3.odttf"/><Relationship Id="rIdVcciFont4" Type="http://schemas.openxmlformats.org/officeDocument/2006/relationships/font" Target="fonts/font4.odttf"/><Relationship Id="rIdVcciFont5" Type="http://schemas.openxmlformats.org/officeDocument/2006/relationships/font" Target="fonts/font5.odttf"/><Relationship Id="rIdVcciFont6" Type="http://schemas.openxmlformats.org/officeDocument/2006/relationships/font" Target="fonts/font6.odttf"/><Relationship Id="rIdVcciFont7" Type="http://schemas.openxmlformats.org/officeDocument/2006/relationships/font" Target="fonts/font7.odttf"/><Relationship Id="rIdVcciFont8" Type="http://schemas.openxmlformats.org/officeDocument/2006/relationships/font" Target="fonts/font8.odttf"/><Relationship Id="rIdVcciFont9" Type="http://schemas.openxmlformats.org/officeDocument/2006/relationships/font" Target="fonts/font9.odttf"/><Relationship Id="rIdVcciFont10" Type="http://schemas.openxmlformats.org/officeDocument/2006/relationships/font" Target="fonts/font10.odttf"/><Relationship Id="rIdVcciFont11" Type="http://schemas.openxmlformats.org/officeDocument/2006/relationships/font" Target="fonts/font11.odttf"/></Relationships>
</file>

<file path=word/_rels/footnotes.xml.rels><?xml version="1.0" encoding="UTF-8"?><Relationships xmlns="http://schemas.openxmlformats.org/package/2006/relationships" />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VCCI">
  <a:themeElements>
    <a:clrScheme name="VCCI">
      <a:dk1>
        <a:srgbClr val="161A26"/>
      </a:dk1>
      <a:lt1>
        <a:srgbClr val="FFFFFF"/>
      </a:lt1>
      <a:dk2>
        <a:srgbClr val="0B1A4F"/>
      </a:dk2>
      <a:lt2>
        <a:srgbClr val="F4F0E6"/>
      </a:lt2>
      <a:accent1>
        <a:srgbClr val="264896"/>
      </a:accent1>
      <a:accent2>
        <a:srgbClr val="8FA6D6"/>
      </a:accent2>
      <a:accent3>
        <a:srgbClr val="CC713C"/>
      </a:accent3>
      <a:accent4>
        <a:srgbClr val="5C6478"/>
      </a:accent4>
      <a:accent5>
        <a:srgbClr val="F2B18E"/>
      </a:accent5>
      <a:accent6>
        <a:srgbClr val="FFCD00"/>
      </a:accent6>
      <a:hlink>
        <a:srgbClr val="264896"/>
      </a:hlink>
      <a:folHlink>
        <a:srgbClr val="9C570C"/>
      </a:folHlink>
    </a:clrScheme>
    <a:fontScheme name="VCCI">
      <a:majorFont>
        <a:latin typeface="Lora Medium"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e Vietnam Pro"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 phí tuân thủ thủ tục hành chính và quyết định mở rộng đầu tư của doanh nghiệp tư nhân</dc:title>
  <dc:creator>Nguyễn Văn An; Trần Thị Bình</dc:creator>
  <dc:language>vi</dc:language>
  <cp:keywords>chi phí tuân thủ, thủ tục hành chính, đầu tư tư nhân, Việt Nam</cp:keywords>
  <dcterms:created xsi:type="dcterms:W3CDTF">2026-10-10T02:19:49Z</dcterms:created>
  <dcterms:modified xsi:type="dcterms:W3CDTF">2026-10-10T02:19:49Z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Bài viết ước lượng tác động của chi phí tuân thủ thủ tục hành chính lên quyết định mở rộng đầu tư của doanh nghiệp tư nhân, sử dụng dữ liệu khảo sát 8.400 doanh nghiệp tại 63 tỉnh, thành phố giai đoạn 2021–2025. Một ngày chờ thêm để hoàn tất thủ tục làm giảm 0,6 điểm phần trăm xác suất doanh nghiệp mở rộng đầu tư trong năm tiếp theo. Tác động mạnh hơn ở doanh nghiệp nhỏ và doanh nghiệp mới thành lập.</vt:lpwstr>
  </property>
  <property fmtid="{D5CDD505-2E9C-101B-9397-08002B2CF9AE}" pid="3" name="abstract-en">
    <vt:lpwstr>This paper estimates the effect of administrative compliance costs on private firms’ decisions to expand investment, using survey data on 8,400 firms in 63 provinces over 2021–2025. One additional day needed to complete procedures lowers the probability that a firm expands investment in the following year by 0.6 percentage points. The effect is larger for small and newly established firms.</vt:lpwstr>
  </property>
  <property fmtid="{D5CDD505-2E9C-101B-9397-08002B2CF9AE}" pid="4" name="abstract-title">
    <vt:lpwstr>Tóm tắt</vt:lpwstr>
  </property>
  <property fmtid="{D5CDD505-2E9C-101B-9397-08002B2CF9AE}" pid="5" name="affiliations">
    <vt:lpwstr/>
  </property>
  <property fmtid="{D5CDD505-2E9C-101B-9397-08002B2CF9AE}" pid="6" name="authors">
    <vt:lpwstr/>
  </property>
  <property fmtid="{D5CDD505-2E9C-101B-9397-08002B2CF9AE}" pid="7" name="biblio-config">
    <vt:lpwstr>True</vt:lpwstr>
  </property>
  <property fmtid="{D5CDD505-2E9C-101B-9397-08002B2CF9AE}" pid="8" name="bibliography">
    <vt:lpwstr>references.bib</vt:lpwstr>
  </property>
  <property fmtid="{D5CDD505-2E9C-101B-9397-08002B2CF9AE}" pid="9" name="by-affiliation">
    <vt:lpwstr/>
  </property>
  <property fmtid="{D5CDD505-2E9C-101B-9397-08002B2CF9AE}" pid="10" name="by-author">
    <vt:lpwstr/>
  </property>
  <property fmtid="{D5CDD505-2E9C-101B-9397-08002B2CF9AE}" pid="11" name="csl">
    <vt:lpwstr>_extensions/vcci/vcci-wp/apa.csl</vt:lpwstr>
  </property>
  <property fmtid="{D5CDD505-2E9C-101B-9397-08002B2CF9AE}" pid="12" name="date">
    <vt:lpwstr>10 tháng 10 năm 2026 · VCCI Working Paper số 2026/01</vt:lpwstr>
  </property>
  <property fmtid="{D5CDD505-2E9C-101B-9397-08002B2CF9AE}" pid="13" name="date-format">
    <vt:lpwstr>D [tháng] M [năm] YYYY</vt:lpwstr>
  </property>
  <property fmtid="{D5CDD505-2E9C-101B-9397-08002B2CF9AE}" pid="14" name="engines">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jel">
    <vt:lpwstr/>
  </property>
  <property fmtid="{D5CDD505-2E9C-101B-9397-08002B2CF9AE}" pid="19" name="keywords-en">
    <vt:lpwstr/>
  </property>
  <property fmtid="{D5CDD505-2E9C-101B-9397-08002B2CF9AE}" pid="20" name="knitr">
    <vt:lpwstr/>
  </property>
  <property fmtid="{D5CDD505-2E9C-101B-9397-08002B2CF9AE}" pid="21" name="labels">
    <vt:lpwstr/>
  </property>
  <property fmtid="{D5CDD505-2E9C-101B-9397-08002B2CF9AE}" pid="22" name="number-depth">
    <vt:lpwstr>2</vt:lpwstr>
  </property>
  <property fmtid="{D5CDD505-2E9C-101B-9397-08002B2CF9AE}" pid="23" name="papersize">
    <vt:lpwstr>a4</vt:lpwstr>
  </property>
  <property fmtid="{D5CDD505-2E9C-101B-9397-08002B2CF9AE}" pid="24" name="reference-section-title">
    <vt:lpwstr>Tài liệu tham khảo</vt:lpwstr>
  </property>
  <property fmtid="{D5CDD505-2E9C-101B-9397-08002B2CF9AE}" pid="25" name="revealjs-plugins">
    <vt:lpwstr/>
  </property>
  <property fmtid="{D5CDD505-2E9C-101B-9397-08002B2CF9AE}" pid="26" name="short-title">
    <vt:lpwstr>Chi phí tuân thủ và mở rộng đầu tư</vt:lpwstr>
  </property>
  <property fmtid="{D5CDD505-2E9C-101B-9397-08002B2CF9AE}" pid="27" name="subtitle">
    <vt:lpwstr>Bằng chứng từ khảo sát doanh nghiệp cấp tỉnh 2021–2025</vt:lpwstr>
  </property>
  <property fmtid="{D5CDD505-2E9C-101B-9397-08002B2CF9AE}" pid="28" name="thanks">
    <vt:lpwstr>Nhóm tác giả cảm ơn các doanh nghiệp đã tham gia khảo sát. Số liệu trong tài liệu mẫu này là giả lập.</vt:lpwstr>
  </property>
  <property fmtid="{D5CDD505-2E9C-101B-9397-08002B2CF9AE}" pid="29" name="toc-title">
    <vt:lpwstr>Mục lục</vt:lpwstr>
  </property>
  <property fmtid="{D5CDD505-2E9C-101B-9397-08002B2CF9AE}" pid="30" name="vcci-abstract-alt">
    <vt:lpwstr>This paper estimates the effect of administrative compliance costs on private firms’ decisions to expand investment, using survey data on 8,400 firms in 63 provinces over 2021–2025. One additional day needed to complete procedures lowers the probability that a firm expands investment in the following year by 0.6 percentage points. The effect is larger for small and newly established firms.</vt:lpwstr>
  </property>
  <property fmtid="{D5CDD505-2E9C-101B-9397-08002B2CF9AE}" pid="31" name="vcci-keywords-alt">
    <vt:lpwstr/>
  </property>
  <property fmtid="{D5CDD505-2E9C-101B-9397-08002B2CF9AE}" pid="32" name="wp-number">
    <vt:lpwstr>2026/01</vt:lpwstr>
  </property>
</Properties>
</file>