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34.png" ContentType="image/png"/>
  <Override PartName="/word/media/rId49.png" ContentType="image/png"/>
  <Override PartName="/word/media/rId43.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Đánh giá chi phí tuân thủ thủ tục đầu tư tại tỉnh Hòa Bình Xanh</w:t>
      </w:r>
    </w:p>
    <w:p>
      <w:pPr>
        <w:pStyle w:val="Subtitle"/>
      </w:pPr>
      <w:r>
        <w:t xml:space="preserve">Báo cáo tư vấn cho Ủy ban nhân dân tỉnh về cải cách thủ tục hành chính giai đoạn 2026–2030</w:t>
      </w:r>
    </w:p>
    <w:p>
      <w:pPr>
        <w:pStyle w:val="Author"/>
      </w:pPr>
      <w:r>
        <w:t xml:space="preserve">Nguyễn Văn An</w:t>
      </w:r>
    </w:p>
    <w:p>
      <w:pPr>
        <w:pStyle w:val="Author"/>
      </w:pPr>
      <w:r>
        <w:t xml:space="preserve">Trần Thị Bình</w:t>
      </w:r>
    </w:p>
    <w:p>
      <w:pPr>
        <w:pStyle w:val="Date"/>
      </w:pPr>
      <w:r>
        <w:t xml:space="preserve">10 tháng 10 năm 2026</w:t>
      </w:r>
    </w:p>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bookmarkStart w:id="31" w:name="tóm-tắt"/>
    <w:p>
      <w:pPr>
        <w:pStyle w:val="Heading1"/>
      </w:pPr>
      <w:r>
        <w:t xml:space="preserve">Tóm tắt</w:t>
      </w:r>
    </w:p>
    <w:p>
      <w:pPr>
        <w:pStyle w:val="VCCILead"/>
      </w:pPr>
      <w:r>
        <w:t xml:space="preserve">Doanh nghiệp tại tỉnh mất trung bình 64 ngày để hoàn tất thủ tục đầu tư, dài hơn 40% so với nhóm tỉnh dẫn đầu. Ba thủ tục chiếm hai phần ba thời gian chờ.</w:t>
      </w:r>
    </w:p>
    <w:p>
      <w:pPr>
        <w:pStyle w:val="VCCIFigureNumber"/>
      </w:pPr>
      <w:r>
        <w:t xml:space="preserve">64 ngày</w:t>
      </w:r>
    </w:p>
    <w:p>
      <w:pPr>
        <w:pStyle w:val="VCCISmall"/>
      </w:pPr>
      <w:r>
        <w:t xml:space="preserve">Thời gian hoàn tất thủ tục đầu tư (trung vị)</w:t>
      </w:r>
    </w:p>
    <w:p>
      <w:pPr>
        <w:pStyle w:val="VCCIFigureNumber"/>
      </w:pPr>
      <w:r>
        <w:t xml:space="preserve">38%</w:t>
      </w:r>
    </w:p>
    <w:p>
      <w:pPr>
        <w:pStyle w:val="VCCISmall"/>
      </w:pPr>
      <w:r>
        <w:t xml:space="preserve">Doanh nghiệp phải đi lại từ ba lần trở lên</w:t>
      </w:r>
    </w:p>
    <w:p>
      <w:pPr>
        <w:pStyle w:val="VCCIFigureNumber"/>
      </w:pPr>
      <w:r>
        <w:t xml:space="preserve">12</w:t>
      </w:r>
    </w:p>
    <w:p>
      <w:pPr>
        <w:pStyle w:val="VCCISmall"/>
      </w:pPr>
      <w:r>
        <w:t xml:space="preserve">Thủ tục có thể chuyển sang trực tuyến toàn trình</w:t>
      </w:r>
    </w:p>
    <w:p>
      <w:pPr>
        <w:pStyle w:val="BodyText"/>
      </w:pPr>
      <w:r>
        <w:t xml:space="preserve">Báo cáo đánh giá chi phí tuân thủ của 420 doanh nghiệp đã thực hiện thủ tục đầu tư trong giai đoạn 2024–2026 và đề xuất lộ trình cải cách cho Ủy ban nhân dân tỉnh.</w:t>
      </w:r>
    </w:p>
    <w:p>
      <w:pPr>
        <w:pStyle w:val="VCCICallout"/>
      </w:pPr>
      <w:r>
        <w:rPr>
          <w:b/>
          <w:bCs/>
        </w:rPr>
        <w:t xml:space="preserve">Ba khuyến nghị ưu tiên</w:t>
      </w:r>
    </w:p>
    <w:p>
      <w:pPr>
        <w:pStyle w:val="Compact"/>
        <w:numPr>
          <w:ilvl w:val="0"/>
          <w:numId w:val="1001"/>
        </w:numPr>
      </w:pPr>
      <w:r>
        <w:t xml:space="preserve">Liên thông thủ tục chấp thuận chủ trương đầu tư với thẩm định môi trường.</w:t>
      </w:r>
    </w:p>
    <w:p>
      <w:pPr>
        <w:pStyle w:val="Compact"/>
        <w:numPr>
          <w:ilvl w:val="0"/>
          <w:numId w:val="1001"/>
        </w:numPr>
      </w:pPr>
      <w:r>
        <w:t xml:space="preserve">Công bố thời hạn xử lý thực tế của từng sở, ngành mỗi quý.</w:t>
      </w:r>
    </w:p>
    <w:p>
      <w:pPr>
        <w:pStyle w:val="Compact"/>
        <w:numPr>
          <w:ilvl w:val="0"/>
          <w:numId w:val="1001"/>
        </w:numPr>
      </w:pPr>
      <w:r>
        <w:t xml:space="preserve">Đưa 12 thủ tục sang dịch vụ công trực tuyến toàn trình trong năm 2027.</w:t>
      </w:r>
    </w:p>
    <w:bookmarkEnd w:id="31"/>
    <w:bookmarkStart w:id="39" w:name="bối-cảnh-và-phương-pháp"/>
    <w:p>
      <w:pPr>
        <w:pStyle w:val="Heading1"/>
      </w:pPr>
      <w:r>
        <w:t xml:space="preserve">1. Bối cảnh và phương pháp</w:t>
      </w:r>
    </w:p>
    <w:bookmarkStart w:id="32" w:name="bối-cảnh"/>
    <w:p>
      <w:pPr>
        <w:pStyle w:val="Heading2"/>
      </w:pPr>
      <w:r>
        <w:t xml:space="preserve">Bối cảnh</w:t>
      </w:r>
    </w:p>
    <w:p>
      <w:pPr>
        <w:pStyle w:val="FirstParagraph"/>
      </w:pPr>
      <w:r>
        <w:t xml:space="preserve">Tỉnh đặt mục tiêu thu hút vốn đầu tư tư nhân tăng 15% mỗi năm. Khảo sát năm 2025 cho thấy thủ tục đầu tư là rào cản lớn nhất mà doanh nghiệp mới gia nhập thị trường nêu ra.</w:t>
      </w:r>
    </w:p>
    <w:bookmarkEnd w:id="32"/>
    <w:bookmarkStart w:id="38" w:name="phương-pháp"/>
    <w:p>
      <w:pPr>
        <w:pStyle w:val="Heading2"/>
      </w:pPr>
      <w:r>
        <w:t xml:space="preserve">Phương pháp</w:t>
      </w:r>
    </w:p>
    <w:bookmarkStart w:id="37" w:name="nguồn-dữ-liệu"/>
    <w:p>
      <w:pPr>
        <w:pStyle w:val="Heading3"/>
      </w:pPr>
      <w:r>
        <w:t xml:space="preserve">Nguồn dữ liệu</w:t>
      </w:r>
    </w:p>
    <w:p>
      <w:pPr>
        <w:pStyle w:val="FirstParagraph"/>
      </w:pPr>
      <w:r>
        <w:t xml:space="preserve">Nhóm thực hiện kết hợp ba nguồn: khảo sát doanh nghiệp, hồ sơ thủ tục trên hệ thống một cửa, và phỏng vấn sâu cán bộ các sở, ngành.</w:t>
      </w:r>
    </w:p>
    <w:tbl>
      <w:tblPr>
        <w:tblStyle w:val="Table"/>
        <w:tblW w:type="pct" w:w="5000"/>
        <w:tblLayout w:type="fixed"/>
        <w:tblLook w:firstRow="0" w:lastRow="0" w:firstColumn="0" w:lastColumn="0" w:noHBand="0" w:noVBand="0" w:val="0000"/>
      </w:tblPr>
      <w:tblGrid>
        <w:gridCol w:w="7920"/>
      </w:tblGrid>
      <w:tr>
        <w:tc>
          <w:tcPr/>
          <w:bookmarkStart w:id="33" w:name="tbl-nguon"/>
          <w:p>
            <w:pPr>
              <w:jc w:val="center"/>
            </w:pPr>
            <w:pPr>
              <w:jc w:val="left"/>
              <w:spacing w:before="200"/>
              <w:pStyle w:val="ImageCaption"/>
            </w:pPr>
            <w:r>
              <w:t xml:space="preserve">Bảng 1: Nguồn dữ liệu của báo cáo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Nguồn</w:t>
                  </w:r>
                </w:p>
              </w:tc>
              <w:tc>
                <w:tcPr/>
                <w:p>
                  <w:pPr>
                    <w:pStyle w:val="Compact"/>
                    <w:jc w:val="right"/>
                    <w:jc w:val="center"/>
                  </w:pPr>
                  <w:r>
                    <w:t xml:space="preserve">Quy mô</w:t>
                  </w:r>
                </w:p>
              </w:tc>
              <w:tc>
                <w:tcPr/>
                <w:p>
                  <w:pPr>
                    <w:pStyle w:val="Compact"/>
                    <w:jc w:val="center"/>
                  </w:pPr>
                  <w:r>
                    <w:t xml:space="preserve">Thời gian</w:t>
                  </w:r>
                </w:p>
              </w:tc>
            </w:tr>
            <w:tr>
              <w:tc>
                <w:tcPr/>
                <w:p>
                  <w:pPr>
                    <w:pStyle w:val="Compact"/>
                    <w:jc w:val="center"/>
                  </w:pPr>
                  <w:r>
                    <w:t xml:space="preserve">Khảo sát doanh nghiệp</w:t>
                  </w:r>
                </w:p>
              </w:tc>
              <w:tc>
                <w:tcPr/>
                <w:p>
                  <w:pPr>
                    <w:pStyle w:val="Compact"/>
                    <w:jc w:val="right"/>
                    <w:jc w:val="center"/>
                  </w:pPr>
                  <w:r>
                    <w:t xml:space="preserve">420 phiếu</w:t>
                  </w:r>
                </w:p>
              </w:tc>
              <w:tc>
                <w:tcPr/>
                <w:p>
                  <w:pPr>
                    <w:pStyle w:val="Compact"/>
                    <w:jc w:val="center"/>
                  </w:pPr>
                  <w:r>
                    <w:t xml:space="preserve">03–06/2026</w:t>
                  </w:r>
                </w:p>
              </w:tc>
            </w:tr>
            <w:tr>
              <w:tc>
                <w:tcPr/>
                <w:p>
                  <w:pPr>
                    <w:pStyle w:val="Compact"/>
                    <w:jc w:val="center"/>
                  </w:pPr>
                  <w:r>
                    <w:t xml:space="preserve">Hồ sơ trên hệ thống một cửa</w:t>
                  </w:r>
                </w:p>
              </w:tc>
              <w:tc>
                <w:tcPr/>
                <w:p>
                  <w:pPr>
                    <w:pStyle w:val="Compact"/>
                    <w:jc w:val="right"/>
                    <w:jc w:val="center"/>
                  </w:pPr>
                  <w:r>
                    <w:t xml:space="preserve">1.315 hồ sơ</w:t>
                  </w:r>
                </w:p>
              </w:tc>
              <w:tc>
                <w:tcPr/>
                <w:p>
                  <w:pPr>
                    <w:pStyle w:val="Compact"/>
                    <w:jc w:val="center"/>
                  </w:pPr>
                  <w:r>
                    <w:t xml:space="preserve">2024–2026</w:t>
                  </w:r>
                </w:p>
              </w:tc>
            </w:tr>
            <w:tr>
              <w:tc>
                <w:tcPr/>
                <w:p>
                  <w:pPr>
                    <w:pStyle w:val="Compact"/>
                    <w:jc w:val="center"/>
                  </w:pPr>
                  <w:r>
                    <w:t xml:space="preserve">Phỏng vấn sâu</w:t>
                  </w:r>
                </w:p>
              </w:tc>
              <w:tc>
                <w:tcPr/>
                <w:p>
                  <w:pPr>
                    <w:pStyle w:val="Compact"/>
                    <w:jc w:val="right"/>
                    <w:jc w:val="center"/>
                  </w:pPr>
                  <w:r>
                    <w:t xml:space="preserve">26 cuộc</w:t>
                  </w:r>
                </w:p>
              </w:tc>
              <w:tc>
                <w:tcPr/>
                <w:p>
                  <w:pPr>
                    <w:pStyle w:val="Compact"/>
                    <w:jc w:val="center"/>
                  </w:pPr>
                  <w:r>
                    <w:t xml:space="preserve">05–07/2026</w:t>
                  </w:r>
                </w:p>
              </w:tc>
            </w:tr>
          </w:tbl>
          <w:bookmarkEnd w:id="33"/>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Users\TRONG TRUONG\AppData\Local\Program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Ghi chú</w:t>
            </w:r>
          </w:p>
        </w:tc>
      </w:tr>
      <w:tr>
        <w:trPr>
          <w:cantSplit/>
        </w:trPr>
        <w:tc>
          <w:tcPr>
            <w:tcMar>
              <w:top w:w="108" w:type="dxa"/>
              <w:bottom w:w="108" w:type="dxa"/>
            </w:tcMar>
          </w:tcPr>
          <w:p>
            <w:pPr>
              <w:pStyle w:val="BodyText"/>
            </w:pPr>
            <w:pPr>
              <w:spacing w:before="16" w:after="16"/>
            </w:pPr>
            <w:r>
              <w:t xml:space="preserve">Số liệu trong tài liệu mẫu này là giả lập, chỉ để minh họa định dạng.</w:t>
            </w:r>
          </w:p>
          <w:p/>
        </w:tc>
      </w:tr>
    </w:tbl>
    <w:bookmarkEnd w:id="37"/>
    <w:bookmarkEnd w:id="38"/>
    <w:bookmarkEnd w:id="39"/>
    <w:bookmarkStart w:id="47" w:name="kết-quả"/>
    <w:p>
      <w:pPr>
        <w:pStyle w:val="Heading1"/>
      </w:pPr>
      <w:r>
        <w:t xml:space="preserve">2. Kết quả</w:t>
      </w:r>
    </w:p>
    <w:bookmarkStart w:id="41" w:name="thời-gian-và-chi-phí"/>
    <w:p>
      <w:pPr>
        <w:pStyle w:val="Heading2"/>
      </w:pPr>
      <w:r>
        <w:t xml:space="preserve">Thời gian và chi phí</w:t>
      </w:r>
    </w:p>
    <w:p>
      <w:pPr>
        <w:pStyle w:val="FirstParagraph"/>
      </w:pPr>
      <w:r>
        <w:t xml:space="preserve">Thời gian hoàn tất thủ tục giảm từ 78 ngày năm 2024 xuống 64 ngày năm 2026, nhưng vẫn cao hơn nhóm tỉnh dẫn đầu (</w:t>
      </w:r>
      <w:hyperlink w:anchor="tbl-thoigian">
        <w:r>
          <w:rPr>
            <w:rStyle w:val="Hyperlink"/>
          </w:rPr>
          <w:t xml:space="preserve">Bảng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tbl-thoigian"/>
          <w:p>
            <w:pPr>
              <w:jc w:val="center"/>
            </w:pPr>
            <w:pPr>
              <w:jc w:val="left"/>
              <w:spacing w:before="200"/>
              <w:pStyle w:val="ImageCaption"/>
            </w:pPr>
            <w:r>
              <w:t xml:space="preserve">Bảng 2: Thời gian xử lý trung vị theo thủ tục (ngày)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Thủ tục</w:t>
                  </w:r>
                </w:p>
              </w:tc>
              <w:tc>
                <w:tcPr/>
                <w:p>
                  <w:pPr>
                    <w:pStyle w:val="Compact"/>
                    <w:jc w:val="right"/>
                    <w:jc w:val="center"/>
                  </w:pPr>
                  <w:r>
                    <w:t xml:space="preserve">2024</w:t>
                  </w:r>
                </w:p>
              </w:tc>
              <w:tc>
                <w:tcPr/>
                <w:p>
                  <w:pPr>
                    <w:pStyle w:val="Compact"/>
                    <w:jc w:val="right"/>
                    <w:jc w:val="center"/>
                  </w:pPr>
                  <w:r>
                    <w:t xml:space="preserve">2025</w:t>
                  </w:r>
                </w:p>
              </w:tc>
              <w:tc>
                <w:tcPr/>
                <w:p>
                  <w:pPr>
                    <w:pStyle w:val="Compact"/>
                    <w:jc w:val="right"/>
                    <w:jc w:val="center"/>
                  </w:pPr>
                  <w:r>
                    <w:t xml:space="preserve">2026</w:t>
                  </w:r>
                </w:p>
              </w:tc>
              <w:tc>
                <w:tcPr/>
                <w:p>
                  <w:pPr>
                    <w:pStyle w:val="Compact"/>
                    <w:jc w:val="right"/>
                    <w:jc w:val="center"/>
                  </w:pPr>
                  <w:r>
                    <w:t xml:space="preserve">Thay đổi</w:t>
                  </w:r>
                </w:p>
              </w:tc>
            </w:tr>
            <w:tr>
              <w:tc>
                <w:tcPr/>
                <w:p>
                  <w:pPr>
                    <w:pStyle w:val="Compact"/>
                    <w:jc w:val="center"/>
                  </w:pPr>
                  <w:r>
                    <w:t xml:space="preserve">Chấp thuận chủ trương đầu tư</w:t>
                  </w:r>
                </w:p>
              </w:tc>
              <w:tc>
                <w:tcPr/>
                <w:p>
                  <w:pPr>
                    <w:pStyle w:val="Compact"/>
                    <w:jc w:val="right"/>
                    <w:jc w:val="center"/>
                  </w:pPr>
                  <w:r>
                    <w:t xml:space="preserve">31</w:t>
                  </w:r>
                </w:p>
              </w:tc>
              <w:tc>
                <w:tcPr/>
                <w:p>
                  <w:pPr>
                    <w:pStyle w:val="Compact"/>
                    <w:jc w:val="right"/>
                    <w:jc w:val="center"/>
                  </w:pPr>
                  <w:r>
                    <w:t xml:space="preserve">27</w:t>
                  </w:r>
                </w:p>
              </w:tc>
              <w:tc>
                <w:tcPr/>
                <w:p>
                  <w:pPr>
                    <w:pStyle w:val="Compact"/>
                    <w:jc w:val="right"/>
                    <w:jc w:val="center"/>
                  </w:pPr>
                  <w:r>
                    <w:t xml:space="preserve">24</w:t>
                  </w:r>
                </w:p>
              </w:tc>
              <w:tc>
                <w:tcPr/>
                <w:p>
                  <w:pPr>
                    <w:pStyle w:val="Compact"/>
                    <w:jc w:val="right"/>
                    <w:jc w:val="center"/>
                  </w:pPr>
                  <w:r>
                    <w:t xml:space="preserve">−7</w:t>
                  </w:r>
                </w:p>
              </w:tc>
            </w:tr>
            <w:tr>
              <w:tc>
                <w:tcPr/>
                <w:p>
                  <w:pPr>
                    <w:pStyle w:val="Compact"/>
                    <w:jc w:val="center"/>
                  </w:pPr>
                  <w:r>
                    <w:t xml:space="preserve">Giao đất, cho thuê đất</w:t>
                  </w:r>
                </w:p>
              </w:tc>
              <w:tc>
                <w:tcPr/>
                <w:p>
                  <w:pPr>
                    <w:pStyle w:val="Compact"/>
                    <w:jc w:val="right"/>
                    <w:jc w:val="center"/>
                  </w:pPr>
                  <w:r>
                    <w:t xml:space="preserve">22</w:t>
                  </w:r>
                </w:p>
              </w:tc>
              <w:tc>
                <w:tcPr/>
                <w:p>
                  <w:pPr>
                    <w:pStyle w:val="Compact"/>
                    <w:jc w:val="right"/>
                    <w:jc w:val="center"/>
                  </w:pPr>
                  <w:r>
                    <w:t xml:space="preserve">20</w:t>
                  </w:r>
                </w:p>
              </w:tc>
              <w:tc>
                <w:tcPr/>
                <w:p>
                  <w:pPr>
                    <w:pStyle w:val="Compact"/>
                    <w:jc w:val="right"/>
                    <w:jc w:val="center"/>
                  </w:pPr>
                  <w:r>
                    <w:t xml:space="preserve">19</w:t>
                  </w:r>
                </w:p>
              </w:tc>
              <w:tc>
                <w:tcPr/>
                <w:p>
                  <w:pPr>
                    <w:pStyle w:val="Compact"/>
                    <w:jc w:val="right"/>
                    <w:jc w:val="center"/>
                  </w:pPr>
                  <w:r>
                    <w:t xml:space="preserve">−3</w:t>
                  </w:r>
                </w:p>
              </w:tc>
            </w:tr>
            <w:tr>
              <w:tc>
                <w:tcPr/>
                <w:p>
                  <w:pPr>
                    <w:pStyle w:val="Compact"/>
                    <w:jc w:val="center"/>
                  </w:pPr>
                  <w:r>
                    <w:t xml:space="preserve">Thẩm định môi trường</w:t>
                  </w:r>
                </w:p>
              </w:tc>
              <w:tc>
                <w:tcPr/>
                <w:p>
                  <w:pPr>
                    <w:pStyle w:val="Compact"/>
                    <w:jc w:val="right"/>
                    <w:jc w:val="center"/>
                  </w:pPr>
                  <w:r>
                    <w:t xml:space="preserve">15</w:t>
                  </w:r>
                </w:p>
              </w:tc>
              <w:tc>
                <w:tcPr/>
                <w:p>
                  <w:pPr>
                    <w:pStyle w:val="Compact"/>
                    <w:jc w:val="right"/>
                    <w:jc w:val="center"/>
                  </w:pPr>
                  <w:r>
                    <w:t xml:space="preserve">13</w:t>
                  </w:r>
                </w:p>
              </w:tc>
              <w:tc>
                <w:tcPr/>
                <w:p>
                  <w:pPr>
                    <w:pStyle w:val="Compact"/>
                    <w:jc w:val="right"/>
                    <w:jc w:val="center"/>
                  </w:pPr>
                  <w:r>
                    <w:t xml:space="preserve">12</w:t>
                  </w:r>
                </w:p>
              </w:tc>
              <w:tc>
                <w:tcPr/>
                <w:p>
                  <w:pPr>
                    <w:pStyle w:val="Compact"/>
                    <w:jc w:val="right"/>
                    <w:jc w:val="center"/>
                  </w:pPr>
                  <w:r>
                    <w:t xml:space="preserve">−3</w:t>
                  </w:r>
                </w:p>
              </w:tc>
            </w:tr>
            <w:tr>
              <w:tc>
                <w:tcPr/>
                <w:p>
                  <w:pPr>
                    <w:pStyle w:val="Compact"/>
                    <w:jc w:val="center"/>
                  </w:pPr>
                  <w:r>
                    <w:t xml:space="preserve">Cấp phép xây dựng</w:t>
                  </w:r>
                </w:p>
              </w:tc>
              <w:tc>
                <w:tcPr/>
                <w:p>
                  <w:pPr>
                    <w:pStyle w:val="Compact"/>
                    <w:jc w:val="right"/>
                    <w:jc w:val="center"/>
                  </w:pPr>
                  <w:r>
                    <w:t xml:space="preserve">10</w:t>
                  </w:r>
                </w:p>
              </w:tc>
              <w:tc>
                <w:tcPr/>
                <w:p>
                  <w:pPr>
                    <w:pStyle w:val="Compact"/>
                    <w:jc w:val="right"/>
                    <w:jc w:val="center"/>
                  </w:pPr>
                  <w:r>
                    <w:t xml:space="preserve">9</w:t>
                  </w:r>
                </w:p>
              </w:tc>
              <w:tc>
                <w:tcPr/>
                <w:p>
                  <w:pPr>
                    <w:pStyle w:val="Compact"/>
                    <w:jc w:val="right"/>
                    <w:jc w:val="center"/>
                  </w:pPr>
                  <w:r>
                    <w:t xml:space="preserve">9</w:t>
                  </w:r>
                </w:p>
              </w:tc>
              <w:tc>
                <w:tcPr/>
                <w:p>
                  <w:pPr>
                    <w:pStyle w:val="Compact"/>
                    <w:jc w:val="right"/>
                    <w:jc w:val="center"/>
                  </w:pPr>
                  <w:r>
                    <w:t xml:space="preserve">−1</w:t>
                  </w:r>
                </w:p>
              </w:tc>
            </w:tr>
            <w:tr>
              <w:tc>
                <w:tcPr/>
                <w:p>
                  <w:pPr>
                    <w:pStyle w:val="Compact"/>
                    <w:jc w:val="center"/>
                  </w:pPr>
                  <w:r>
                    <w:rPr>
                      <w:b/>
                      <w:bCs/>
                    </w:rPr>
                    <w:t xml:space="preserve">Tổng</w:t>
                  </w:r>
                </w:p>
              </w:tc>
              <w:tc>
                <w:tcPr/>
                <w:p>
                  <w:pPr>
                    <w:pStyle w:val="Compact"/>
                    <w:jc w:val="right"/>
                    <w:jc w:val="center"/>
                  </w:pPr>
                  <w:r>
                    <w:rPr>
                      <w:b/>
                      <w:bCs/>
                    </w:rPr>
                    <w:t xml:space="preserve">78</w:t>
                  </w:r>
                </w:p>
              </w:tc>
              <w:tc>
                <w:tcPr/>
                <w:p>
                  <w:pPr>
                    <w:pStyle w:val="Compact"/>
                    <w:jc w:val="right"/>
                    <w:jc w:val="center"/>
                  </w:pPr>
                  <w:r>
                    <w:rPr>
                      <w:b/>
                      <w:bCs/>
                    </w:rPr>
                    <w:t xml:space="preserve">69</w:t>
                  </w:r>
                </w:p>
              </w:tc>
              <w:tc>
                <w:tcPr/>
                <w:p>
                  <w:pPr>
                    <w:pStyle w:val="Compact"/>
                    <w:jc w:val="right"/>
                    <w:jc w:val="center"/>
                  </w:pPr>
                  <w:r>
                    <w:rPr>
                      <w:b/>
                      <w:bCs/>
                    </w:rPr>
                    <w:t xml:space="preserve">64</w:t>
                  </w:r>
                </w:p>
              </w:tc>
              <w:tc>
                <w:tcPr/>
                <w:p>
                  <w:pPr>
                    <w:pStyle w:val="Compact"/>
                    <w:jc w:val="right"/>
                    <w:jc w:val="center"/>
                  </w:pPr>
                  <w:r>
                    <w:rPr>
                      <w:b/>
                      <w:bCs/>
                    </w:rPr>
                    <w:t xml:space="preserve">−14</w:t>
                  </w:r>
                </w:p>
              </w:tc>
            </w:tr>
          </w:tbl>
          <w:bookmarkEnd w:id="40"/>
          <w:p/>
        </w:tc>
      </w:tr>
    </w:tbl>
    <w:bookmarkEnd w:id="41"/>
    <w:bookmarkStart w:id="46" w:name="khó-khăn-doanh-nghiệp-nêu-ra"/>
    <w:p>
      <w:pPr>
        <w:pStyle w:val="Heading2"/>
      </w:pPr>
      <w:r>
        <w:t xml:space="preserve">Khó khăn doanh nghiệp nêu ra</w:t>
      </w:r>
    </w:p>
    <w:p>
      <w:pPr>
        <w:pStyle w:val="Compact"/>
        <w:numPr>
          <w:ilvl w:val="0"/>
          <w:numId w:val="1002"/>
        </w:numPr>
      </w:pPr>
      <w:r>
        <w:t xml:space="preserve">Yêu cầu bổ sung hồ sơ nhiều lần, mỗi lần một nội dung khác nhau.</w:t>
      </w:r>
    </w:p>
    <w:p>
      <w:pPr>
        <w:pStyle w:val="Compact"/>
        <w:numPr>
          <w:ilvl w:val="0"/>
          <w:numId w:val="1002"/>
        </w:numPr>
      </w:pPr>
      <w:r>
        <w:t xml:space="preserve">Không biết hồ sơ đang ở bước nào và ai đang xử lý.</w:t>
      </w:r>
    </w:p>
    <w:p>
      <w:pPr>
        <w:pStyle w:val="Compact"/>
        <w:numPr>
          <w:ilvl w:val="0"/>
          <w:numId w:val="1002"/>
        </w:numPr>
      </w:pPr>
      <w:r>
        <w:t xml:space="preserve">Thời hạn xử lý ghi trên giấy hẹn không được tuân thủ.</w:t>
      </w:r>
      <w:r>
        <w:rPr>
          <w:rStyle w:val="FootnoteReference"/>
        </w:rPr>
        <w:footnoteReference w:id="42"/>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TRONG TRUONG\AppData\Local\Programs\Quarto\share\formats\docx\warning.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Cảnh báo</w:t>
            </w:r>
          </w:p>
        </w:tc>
      </w:tr>
      <w:tr>
        <w:trPr>
          <w:cantSplit/>
        </w:trPr>
        <w:tc>
          <w:tcPr>
            <w:tcMar>
              <w:top w:w="108" w:type="dxa"/>
              <w:bottom w:w="108" w:type="dxa"/>
            </w:tcMar>
          </w:tcPr>
          <w:p>
            <w:pPr>
              <w:pStyle w:val="BodyText"/>
            </w:pPr>
            <w:pPr>
              <w:spacing w:before="16" w:after="16"/>
            </w:pPr>
            <w:r>
              <w:t xml:space="preserve">Thủ tục giao đất, cho thuê đất có thời gian chờ dao động lớn nhất giữa các huyện.</w:t>
            </w:r>
          </w:p>
          <w:p/>
        </w:tc>
      </w:tr>
    </w:tbl>
    <w:bookmarkEnd w:id="46"/>
    <w:bookmarkEnd w:id="47"/>
    <w:bookmarkStart w:id="53" w:name="khuyến-nghị"/>
    <w:p>
      <w:pPr>
        <w:pStyle w:val="Heading1"/>
      </w:pPr>
      <w:r>
        <w:t xml:space="preserve">3. Khuyến nghị</w:t>
      </w:r>
    </w:p>
    <w:bookmarkStart w:id="52" w:name="lộ-trình-20262030"/>
    <w:p>
      <w:pPr>
        <w:pStyle w:val="Heading2"/>
      </w:pPr>
      <w:r>
        <w:t xml:space="preserve">Lộ trình 2026–2030</w:t>
      </w:r>
    </w:p>
    <w:tbl>
      <w:tblPr>
        <w:tblStyle w:val="Table"/>
        <w:tblW w:type="pct" w:w="5000"/>
        <w:tblLayout w:type="fixed"/>
        <w:tblLook w:firstRow="0" w:lastRow="0" w:firstColumn="0" w:lastColumn="0" w:noHBand="0" w:noVBand="0" w:val="0000"/>
      </w:tblPr>
      <w:tblGrid>
        <w:gridCol w:w="7920"/>
      </w:tblGrid>
      <w:tr>
        <w:tc>
          <w:tcPr/>
          <w:bookmarkStart w:id="48" w:name="tbl-lotrinh"/>
          <w:p>
            <w:pPr>
              <w:jc w:val="center"/>
            </w:pPr>
            <w:pPr>
              <w:jc w:val="left"/>
              <w:spacing w:before="200"/>
              <w:pStyle w:val="ImageCaption"/>
            </w:pPr>
            <w:r>
              <w:t xml:space="preserve">Bảng 3: Lộ trình đề xuất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Giai đoạn</w:t>
                  </w:r>
                </w:p>
              </w:tc>
              <w:tc>
                <w:tcPr/>
                <w:p>
                  <w:pPr>
                    <w:pStyle w:val="Compact"/>
                    <w:jc w:val="center"/>
                  </w:pPr>
                  <w:r>
                    <w:t xml:space="preserve">Việc chính</w:t>
                  </w:r>
                </w:p>
              </w:tc>
              <w:tc>
                <w:tcPr/>
                <w:p>
                  <w:pPr>
                    <w:pStyle w:val="Compact"/>
                    <w:jc w:val="center"/>
                  </w:pPr>
                  <w:r>
                    <w:t xml:space="preserve">Đơn vị chủ trì</w:t>
                  </w:r>
                </w:p>
              </w:tc>
            </w:tr>
            <w:tr>
              <w:tc>
                <w:tcPr/>
                <w:p>
                  <w:pPr>
                    <w:pStyle w:val="Compact"/>
                    <w:jc w:val="center"/>
                  </w:pPr>
                  <w:r>
                    <w:t xml:space="preserve">2026–2027</w:t>
                  </w:r>
                </w:p>
              </w:tc>
              <w:tc>
                <w:tcPr/>
                <w:p>
                  <w:pPr>
                    <w:pStyle w:val="Compact"/>
                    <w:jc w:val="center"/>
                  </w:pPr>
                  <w:r>
                    <w:t xml:space="preserve">Liên thông chủ trương đầu tư và môi trường</w:t>
                  </w:r>
                </w:p>
              </w:tc>
              <w:tc>
                <w:tcPr/>
                <w:p>
                  <w:pPr>
                    <w:pStyle w:val="Compact"/>
                    <w:jc w:val="center"/>
                  </w:pPr>
                  <w:r>
                    <w:t xml:space="preserve">Sở Kế hoạch và Đầu tư</w:t>
                  </w:r>
                </w:p>
              </w:tc>
            </w:tr>
            <w:tr>
              <w:tc>
                <w:tcPr/>
                <w:p>
                  <w:pPr>
                    <w:pStyle w:val="Compact"/>
                    <w:jc w:val="center"/>
                  </w:pPr>
                  <w:r>
                    <w:t xml:space="preserve">2027</w:t>
                  </w:r>
                </w:p>
              </w:tc>
              <w:tc>
                <w:tcPr/>
                <w:p>
                  <w:pPr>
                    <w:pStyle w:val="Compact"/>
                    <w:jc w:val="center"/>
                  </w:pPr>
                  <w:r>
                    <w:t xml:space="preserve">Trực tuyến toàn trình 12 thủ tục</w:t>
                  </w:r>
                </w:p>
              </w:tc>
              <w:tc>
                <w:tcPr/>
                <w:p>
                  <w:pPr>
                    <w:pStyle w:val="Compact"/>
                    <w:jc w:val="center"/>
                  </w:pPr>
                  <w:r>
                    <w:t xml:space="preserve">Văn phòng UBND tỉnh</w:t>
                  </w:r>
                </w:p>
              </w:tc>
            </w:tr>
            <w:tr>
              <w:tc>
                <w:tcPr/>
                <w:p>
                  <w:pPr>
                    <w:pStyle w:val="Compact"/>
                    <w:jc w:val="center"/>
                  </w:pPr>
                  <w:r>
                    <w:t xml:space="preserve">2028–2030</w:t>
                  </w:r>
                </w:p>
              </w:tc>
              <w:tc>
                <w:tcPr/>
                <w:p>
                  <w:pPr>
                    <w:pStyle w:val="Compact"/>
                    <w:jc w:val="center"/>
                  </w:pPr>
                  <w:r>
                    <w:t xml:space="preserve">Công bố thời hạn xử lý thực tế hằng quý</w:t>
                  </w:r>
                </w:p>
              </w:tc>
              <w:tc>
                <w:tcPr/>
                <w:p>
                  <w:pPr>
                    <w:pStyle w:val="Compact"/>
                    <w:jc w:val="center"/>
                  </w:pPr>
                  <w:r>
                    <w:t xml:space="preserve">Các sở, ngành</w:t>
                  </w:r>
                </w:p>
              </w:tc>
            </w:tr>
          </w:tbl>
          <w:bookmarkEnd w:id="48"/>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TRONG TRUONG\AppData\Local\Programs\Quarto\share\formats\docx\tip.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Gợi ý</w:t>
            </w:r>
          </w:p>
        </w:tc>
      </w:tr>
      <w:tr>
        <w:trPr>
          <w:cantSplit/>
        </w:trPr>
        <w:tc>
          <w:tcPr>
            <w:tcMar>
              <w:top w:w="108" w:type="dxa"/>
              <w:bottom w:w="108" w:type="dxa"/>
            </w:tcMar>
          </w:tcPr>
          <w:p>
            <w:pPr>
              <w:pStyle w:val="BodyText"/>
            </w:pPr>
            <w:pPr>
              <w:spacing w:before="16" w:after="16"/>
            </w:pPr>
            <w:r>
              <w:t xml:space="preserve">Công bố thời hạn xử lý thực tế là biện pháp ít tốn kém nhất và có tác động nhanh nhất.</w:t>
            </w:r>
          </w:p>
          <w:p/>
        </w:tc>
      </w:tr>
    </w:tbl>
    <w:bookmarkEnd w:id="52"/>
    <w:bookmarkEnd w:id="53"/>
    <w:sectPr w:rsidR="00494F50">
      <w:headerReference r:id="rId10" w:type="default"/>
      <w:footerReference r:id="rId11" w:type="default"/>
      <w:headerReference r:id="rId12" w:type="first"/>
      <w:footerReference r:id="rId13" w:type="first"/>
      <w:pgSz w:h="16838" w:w="11906"/>
      <w:pgMar w:bottom="567" w:footer="0" w:gutter="0" w:header="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 Vietnam Pro SemiBold">
    <w:panose1 w:val="00000000000000000000"/>
    <w:charset w:val="00"/>
    <w:family w:val="auto"/>
    <w:pitch w:val="variable"/>
    <w:sig w:usb0="A000006F" w:usb1="0000005B" w:usb2="00000000" w:usb3="00000000" w:csb0="00000113" w:csb1="00000000"/>
    <w:embedRegular r:id="rIdVcciFont11" w:fontKey="{C9119713-E5E6-4A5F-B7E7-4AD2352CD97E}"/>
  </w:font>
  <w:font w:name="Be Vietnam Pro">
    <w:panose1 w:val="00000000000000000000"/>
    <w:charset w:val="00"/>
    <w:family w:val="auto"/>
    <w:pitch w:val="variable"/>
    <w:sig w:usb0="A000006F" w:usb1="0000005B" w:usb2="00000000" w:usb3="00000000" w:csb0="00000113" w:csb1="00000000"/>
    <w:embedRegular r:id="rIdVcciFont8" w:fontKey="{771EB601-FDC4-4C68-9098-0704E90DB1B7}"/>
    <w:embedBold r:id="rIdVcciFont9" w:fontKey="{863C5070-5B7B-4795-80A7-446CC3E9566D}"/>
  </w:font>
  <w:font w:name="Lora Medium">
    <w:panose1 w:val="00000000000000000000"/>
    <w:charset w:val="00"/>
    <w:family w:val="auto"/>
    <w:pitch w:val="variable"/>
    <w:sig w:usb0="A00002FF" w:usb1="5000204B" w:usb2="00000000" w:usb3="00000000" w:csb0="00000097" w:csb1="00000000"/>
    <w:embedRegular r:id="rIdVcciFont4" w:fontKey="{CFE1F8E4-27FD-4201-BAD5-56633B205AC1}"/>
    <w:embedItalic r:id="rIdVcciFont5" w:fontKey="{F688CC5C-FBDB-4C9D-A7CE-61AFC7ABEFA5}"/>
  </w:font>
  <w:font w:name="Lora SemiBold">
    <w:panose1 w:val="00000000000000000000"/>
    <w:charset w:val="00"/>
    <w:family w:val="auto"/>
    <w:pitch w:val="variable"/>
    <w:sig w:usb0="A00002FF" w:usb1="5000204B" w:usb2="00000000" w:usb3="00000000" w:csb0="00000097" w:csb1="00000000"/>
    <w:embedRegular r:id="rIdVcciFont6" w:fontKey="{221ACC78-756B-484B-B0AA-653CCDBAE995}"/>
    <w:embedItalic r:id="rIdVcciFont7" w:fontKey="{F1A42A89-D831-4201-BC71-8443A483ED4B}"/>
  </w:font>
  <w:font w:name="Lora">
    <w:panose1 w:val="00000000000000000000"/>
    <w:charset w:val="00"/>
    <w:family w:val="auto"/>
    <w:pitch w:val="variable"/>
    <w:sig w:usb0="A00002FF" w:usb1="5000204B" w:usb2="00000000" w:usb3="00000000" w:csb0="00000097" w:csb1="00000000"/>
    <w:embedRegular r:id="rIdVcciFont1" w:fontKey="{B4F1C89F-603E-4AD8-9614-2513E4F2196E}"/>
    <w:embedBold r:id="rIdVcciFont2" w:fontKey="{594EF416-D114-4560-AD79-EB044232D09A}"/>
    <w:embedItalic r:id="rIdVcciFont3" w:fontKey="{D5C4FD73-5D84-40E1-AB5D-CA38C4524CD6}"/>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 Vietnam Pro Medium">
    <w:charset w:val="00"/>
    <w:family w:val="auto"/>
    <w:pitch w:val="variable"/>
    <w:embedRegular r:id="rIdVcciFont10" w:fontKey="{1B864E62-7AC4-4041-BD55-7F88842246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325E" w14:textId="77777777" w:rsidR="00494F50" w:rsidRDefault="00494F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EDA7" w14:textId="77777777" w:rsidR="00494F50" w:rsidRDefault="00494F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26D3" w14:textId="5B63C622" w:rsidR="00494F50" w:rsidRDefault="001D4893">
    <w:pPr>
      <w:pStyle w:val="Footer"/>
    </w:pPr>
    <w:r>
      <w:t>vcci.com.vn</w:t>
    </w:r>
    <w:r>
      <w:ptab w:relativeTo="margin" w:alignment="right" w:leader="none"/>
    </w:r>
    <w:r>
      <w:t xml:space="preserve">Trang </w:t>
    </w:r>
    <w:r>
      <w:fldChar w:fldCharType="begin"/>
    </w:r>
    <w:r>
      <w:instrText>PAGE</w:instrText>
    </w:r>
    <w:r>
      <w:fldChar w:fldCharType="separate"/>
    </w:r>
    <w:r w:rsidR="00D034D0">
      <w:rPr>
        <w:noProof/>
      </w:rPr>
      <w:t>1</w:t>
    </w:r>
    <w:r>
      <w:fldChar w:fldCharType="end"/>
    </w:r>
    <w:r>
      <w:t xml:space="preserve"> / </w:t>
    </w:r>
    <w:r>
      <w:fldChar w:fldCharType="begin"/>
    </w:r>
    <w:r>
      <w:instrText>SECTIONPAGES</w:instrText>
    </w:r>
    <w:r>
      <w:fldChar w:fldCharType="separate"/>
    </w:r>
    <w:r w:rsidR="00D034D0">
      <w:rPr>
        <w:noProof/>
      </w:rP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D0B7" w14:textId="77777777" w:rsidR="00494F50" w:rsidRDefault="00494F5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C1BF" w14:textId="77777777" w:rsidR="00494F50" w:rsidRDefault="00494F50"/>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r>
        <w:t xml:space="preserve">Câu hỏi mở số 14 của phiếu khảo sát; 212 doanh nghiệp trả lời.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9427" w14:textId="77777777" w:rsidR="00494F50" w:rsidRDefault="00494F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CB69" w14:textId="77777777" w:rsidR="00494F50" w:rsidRDefault="00494F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447D" w14:textId="77777777" w:rsidR="00494F50" w:rsidRDefault="001D4893">
    <w:pPr>
      <w:pStyle w:val="Header"/>
      <w:pBdr>
        <w:bottom w:val="single" w:sz="4" w:space="6" w:color="E6E1D5"/>
      </w:pBdr>
    </w:pPr>
    <w:r>
      <w:rPr>
        <w:noProof/>
      </w:rPr>
      <w:drawing>
        <wp:inline distT="0" distB="0" distL="0" distR="0" wp14:anchorId="6869E9B1" wp14:editId="423714A6">
          <wp:extent cx="864000" cy="259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64000" cy="259920"/>
                  </a:xfrm>
                  <a:prstGeom prst="rect">
                    <a:avLst/>
                  </a:prstGeom>
                </pic:spPr>
              </pic:pic>
            </a:graphicData>
          </a:graphic>
        </wp:inline>
      </w:drawing>
    </w:r>
    <w:r>
      <w:ptab w:relativeTo="margin" w:alignment="right" w:leader="none"/>
    </w:r>
    <w:r>
      <w:t>[Tên báo cáo rút g</w:t>
    </w:r>
    <w:r>
      <w:t>ọ</w:t>
    </w:r>
    <w:r>
      <w:t>n]  ·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9073" w14:textId="77777777" w:rsidR="00494F50" w:rsidRDefault="00494F5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16AD" w14:textId="77777777" w:rsidR="00494F50" w:rsidRDefault="00494F50"/>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4D063A"/>
    <w:multiLevelType w:val="hybridMultilevel"/>
    <w:tmpl w:val="2E0C0F72"/>
    <w:lvl w:ilvl="0" w:tplc="02EC8E70">
      <w:start w:val="1"/>
      <w:numFmt w:val="bullet"/>
      <w:lvlText w:val="■"/>
      <w:lvlJc w:val="left"/>
      <w:pPr>
        <w:ind w:hanging="255" w:left="340"/>
      </w:pPr>
      <w:rPr>
        <w:color w:val="264896"/>
        <w:sz w:val="12"/>
        <w:szCs w:val="12"/>
      </w:rPr>
    </w:lvl>
    <w:lvl w:ilvl="1" w:tplc="DF2AF266">
      <w:start w:val="1"/>
      <w:numFmt w:val="bullet"/>
      <w:lvlText w:val="–"/>
      <w:lvlJc w:val="left"/>
      <w:pPr>
        <w:ind w:hanging="255" w:left="680"/>
      </w:pPr>
      <w:rPr>
        <w:color w:val="5C6478"/>
      </w:rPr>
    </w:lvl>
    <w:lvl w:ilvl="2" w:tplc="BC24587C">
      <w:numFmt w:val="decimal"/>
      <w:lvlText w:val=""/>
      <w:lvlJc w:val="left"/>
    </w:lvl>
    <w:lvl w:ilvl="3" w:tplc="13169F24">
      <w:numFmt w:val="decimal"/>
      <w:lvlText w:val=""/>
      <w:lvlJc w:val="left"/>
    </w:lvl>
    <w:lvl w:ilvl="4" w:tplc="8F1EE764">
      <w:numFmt w:val="decimal"/>
      <w:lvlText w:val=""/>
      <w:lvlJc w:val="left"/>
    </w:lvl>
    <w:lvl w:ilvl="5" w:tplc="648E0E0C">
      <w:numFmt w:val="decimal"/>
      <w:lvlText w:val=""/>
      <w:lvlJc w:val="left"/>
    </w:lvl>
    <w:lvl w:ilvl="6" w:tplc="5EFA1E9E">
      <w:numFmt w:val="decimal"/>
      <w:lvlText w:val=""/>
      <w:lvlJc w:val="left"/>
    </w:lvl>
    <w:lvl w:ilvl="7" w:tplc="FF4A8832">
      <w:numFmt w:val="decimal"/>
      <w:lvlText w:val=""/>
      <w:lvlJc w:val="left"/>
    </w:lvl>
    <w:lvl w:ilvl="8" w:tplc="6F94EA6E">
      <w:numFmt w:val="decimal"/>
      <w:lvlText w:val=""/>
      <w:lvlJc w:val="left"/>
    </w:lvl>
  </w:abstractNum>
  <w:abstractNum w15:restartNumberingAfterBreak="0" w:abstractNumId="1">
    <w:nsid w:val="393D0AC7"/>
    <w:multiLevelType w:val="hybridMultilevel"/>
    <w:tmpl w:val="4152571A"/>
    <w:lvl w:ilvl="0" w:tplc="E3E420F0">
      <w:start w:val="1"/>
      <w:numFmt w:val="decimal"/>
      <w:lvlText w:val="%1."/>
      <w:lvlJc w:val="left"/>
      <w:pPr>
        <w:ind w:hanging="340" w:left="340"/>
      </w:pPr>
      <w:rPr>
        <w:rFonts w:ascii="Be Vietnam Pro SemiBold" w:cs="Be Vietnam Pro SemiBold" w:eastAsia="Be Vietnam Pro SemiBold" w:hAnsi="Be Vietnam Pro SemiBold"/>
        <w:color w:val="264896"/>
      </w:rPr>
    </w:lvl>
    <w:lvl w:ilvl="1" w:tplc="0096D978">
      <w:numFmt w:val="decimal"/>
      <w:lvlText w:val=""/>
      <w:lvlJc w:val="left"/>
    </w:lvl>
    <w:lvl w:ilvl="2" w:tplc="916662A2">
      <w:numFmt w:val="decimal"/>
      <w:lvlText w:val=""/>
      <w:lvlJc w:val="left"/>
    </w:lvl>
    <w:lvl w:ilvl="3" w:tplc="59EC34DC">
      <w:numFmt w:val="decimal"/>
      <w:lvlText w:val=""/>
      <w:lvlJc w:val="left"/>
    </w:lvl>
    <w:lvl w:ilvl="4" w:tplc="3BE41D74">
      <w:numFmt w:val="decimal"/>
      <w:lvlText w:val=""/>
      <w:lvlJc w:val="left"/>
    </w:lvl>
    <w:lvl w:ilvl="5" w:tplc="65223B9A">
      <w:numFmt w:val="decimal"/>
      <w:lvlText w:val=""/>
      <w:lvlJc w:val="left"/>
    </w:lvl>
    <w:lvl w:ilvl="6" w:tplc="F176DDD0">
      <w:numFmt w:val="decimal"/>
      <w:lvlText w:val=""/>
      <w:lvlJc w:val="left"/>
    </w:lvl>
    <w:lvl w:ilvl="7" w:tplc="EFAC4FCE">
      <w:numFmt w:val="decimal"/>
      <w:lvlText w:val=""/>
      <w:lvlJc w:val="left"/>
    </w:lvl>
    <w:lvl w:ilvl="8" w:tplc="0268AD36">
      <w:numFmt w:val="decimal"/>
      <w:lvlText w:val=""/>
      <w:lvlJc w:val="left"/>
    </w:lvl>
  </w:abstractNum>
  <w:abstractNum w15:restartNumberingAfterBreak="0" w:abstractNumId="2">
    <w:nsid w:val="5005191E"/>
    <w:multiLevelType w:val="hybridMultilevel"/>
    <w:tmpl w:val="0D1C4F4E"/>
    <w:lvl w:ilvl="0" w:tentative="1" w:tplc="B6962FD8">
      <w:start w:val="1"/>
      <w:numFmt w:val="bullet"/>
      <w:lvlText w:val="●"/>
      <w:lvlJc w:val="left"/>
      <w:pPr>
        <w:ind w:hanging="360" w:left="720"/>
      </w:pPr>
    </w:lvl>
    <w:lvl w:ilvl="1" w:tentative="1" w:tplc="E012D0F8">
      <w:start w:val="1"/>
      <w:numFmt w:val="bullet"/>
      <w:lvlText w:val="○"/>
      <w:lvlJc w:val="left"/>
      <w:pPr>
        <w:ind w:hanging="360" w:left="1440"/>
      </w:pPr>
    </w:lvl>
    <w:lvl w:ilvl="2" w:tentative="1" w:tplc="3514B544">
      <w:start w:val="1"/>
      <w:numFmt w:val="bullet"/>
      <w:lvlText w:val="■"/>
      <w:lvlJc w:val="left"/>
      <w:pPr>
        <w:ind w:hanging="360" w:left="2160"/>
      </w:pPr>
    </w:lvl>
    <w:lvl w:ilvl="3" w:tentative="1" w:tplc="A254F2D0">
      <w:start w:val="1"/>
      <w:numFmt w:val="bullet"/>
      <w:lvlText w:val="●"/>
      <w:lvlJc w:val="left"/>
      <w:pPr>
        <w:ind w:hanging="360" w:left="2880"/>
      </w:pPr>
    </w:lvl>
    <w:lvl w:ilvl="4" w:tentative="1" w:tplc="B4500A58">
      <w:start w:val="1"/>
      <w:numFmt w:val="bullet"/>
      <w:lvlText w:val="○"/>
      <w:lvlJc w:val="left"/>
      <w:pPr>
        <w:ind w:hanging="360" w:left="3600"/>
      </w:pPr>
    </w:lvl>
    <w:lvl w:ilvl="5" w:tentative="1" w:tplc="203A9814">
      <w:start w:val="1"/>
      <w:numFmt w:val="bullet"/>
      <w:lvlText w:val="■"/>
      <w:lvlJc w:val="left"/>
      <w:pPr>
        <w:ind w:hanging="360" w:left="4320"/>
      </w:pPr>
    </w:lvl>
    <w:lvl w:ilvl="6" w:tentative="1" w:tplc="E692F82C">
      <w:start w:val="1"/>
      <w:numFmt w:val="bullet"/>
      <w:lvlText w:val="●"/>
      <w:lvlJc w:val="left"/>
      <w:pPr>
        <w:ind w:hanging="360" w:left="5040"/>
      </w:pPr>
    </w:lvl>
    <w:lvl w:ilvl="7" w:tentative="1" w:tplc="5B5A15F2">
      <w:start w:val="1"/>
      <w:numFmt w:val="bullet"/>
      <w:lvlText w:val="●"/>
      <w:lvlJc w:val="left"/>
      <w:pPr>
        <w:ind w:hanging="360" w:left="5760"/>
      </w:pPr>
    </w:lvl>
    <w:lvl w:ilvl="8" w:tentative="1" w:tplc="6A10754C">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21350052" w:numId="1">
    <w:abstractNumId w:val="2"/>
    <w:lvlOverride w:ilvl="0">
      <w:startOverride w:val="1"/>
    </w:lvlOverride>
  </w:num>
  <w:num w16cid:durableId="857503433" w:numId="2">
    <w:abstractNumId w:val="0"/>
    <w:lvlOverride w:ilvl="0">
      <w:startOverride w:val="1"/>
    </w:lvlOverride>
  </w:num>
  <w:num w16cid:durableId="1843858036" w:numId="3">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3"/>
  <w:displayBackgroundShape/>
  <w:embedTrueTypeFonts/>
  <w:embedSystemFonts/>
  <w:proofState w:grammar="clean" w:spelling="clean"/>
  <w:stylePaneFormatFilter w:val="0004"/>
  <w:doNotTrackMoves/>
  <w:defaultTabStop w:val="720"/>
  <w:defaultTableStyle w:val="VCCITabl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F50"/>
    <w:rsid w:val="001D4893"/>
    <w:rsid w:val="00494F50"/>
    <w:rsid w:val="00870099"/>
    <w:rsid w:val="00D034D0"/>
  </w:rsids>
  <w:themeFontLang w:val="en-A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e Vietnam Pro" w:cs="Be Vietnam Pro" w:eastAsia="Be Vietnam Pro" w:hAnsi="Be Vietnam Pro"/>
        <w:color w:val="161A26"/>
        <w:lang w:bidi="ar-SA" w:eastAsia="en-AU" w:val="vi"/>
      </w:rPr>
    </w:rPrDefault>
    <w:pPrDefault>
      <w:pPr>
        <w:spacing w:after="140" w:line="33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spacing w:after="200" w:before="120" w:line="264" w:lineRule="auto"/>
      <w:outlineLvl w:val="0"/>
    </w:pPr>
    <w:rPr>
      <w:rFonts w:ascii="Lora Medium" w:cs="Lora Medium" w:eastAsia="Lora Medium" w:hAnsi="Lora Medium"/>
      <w:color w:val="264896"/>
      <w:sz w:val="44"/>
      <w:szCs w:val="44"/>
    </w:rPr>
  </w:style>
  <w:style w:styleId="Heading2" w:type="paragraph">
    <w:name w:val="heading 2"/>
    <w:basedOn w:val="Normal"/>
    <w:next w:val="Normal"/>
    <w:uiPriority w:val="9"/>
    <w:unhideWhenUsed/>
    <w:qFormat/>
    <w:pPr>
      <w:keepNext/>
      <w:spacing w:after="120" w:before="360" w:line="288" w:lineRule="auto"/>
      <w:outlineLvl w:val="1"/>
    </w:pPr>
    <w:rPr>
      <w:rFonts w:ascii="Lora SemiBold" w:cs="Lora SemiBold" w:eastAsia="Lora SemiBold" w:hAnsi="Lora SemiBold"/>
      <w:color w:val="264896"/>
      <w:sz w:val="28"/>
      <w:szCs w:val="28"/>
    </w:rPr>
  </w:style>
  <w:style w:styleId="Heading3" w:type="paragraph">
    <w:name w:val="heading 3"/>
    <w:basedOn w:val="Normal"/>
    <w:next w:val="Normal"/>
    <w:uiPriority w:val="9"/>
    <w:unhideWhenUsed/>
    <w:qFormat/>
    <w:pPr>
      <w:keepNext/>
      <w:spacing w:after="80" w:before="280"/>
      <w:outlineLvl w:val="2"/>
    </w:pPr>
    <w:rPr>
      <w:rFonts w:ascii="Be Vietnam Pro SemiBold" w:cs="Be Vietnam Pro SemiBold" w:eastAsia="Be Vietnam Pro SemiBold" w:hAnsi="Be Vietnam Pro SemiBold"/>
      <w:caps/>
      <w:color w:val="9C570C"/>
      <w:spacing w:val="24"/>
      <w:sz w:val="17"/>
      <w:szCs w:val="17"/>
    </w:rPr>
  </w:style>
  <w:style w:styleId="Heading4" w:type="paragraph">
    <w:name w:val="heading 4"/>
    <w:basedOn w:val="Normal"/>
    <w:next w:val="Normal"/>
    <w:uiPriority w:val="9"/>
    <w:semiHidden/>
    <w:unhideWhenUsed/>
    <w:qFormat/>
    <w:pPr>
      <w:outlineLvl w:val="3"/>
    </w:pPr>
    <w:rPr>
      <w:i/>
      <w:iCs/>
      <w:color w:val="2E74B5"/>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pPr>
      <w:spacing w:after="240" w:line="240" w:lineRule="auto"/>
    </w:pPr>
    <w:rPr>
      <w:rFonts w:ascii="Lora Medium" w:cs="Lora Medium" w:eastAsia="Lora Medium" w:hAnsi="Lora Medium"/>
      <w:color w:val="264896"/>
      <w:sz w:val="68"/>
      <w:szCs w:val="68"/>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style>
  <w:style w:customStyle="1" w:styleId="EndnoteTextChar" w:type="character">
    <w:name w:val="Endnote Text Char"/>
    <w:link w:val="EndnoteText"/>
    <w:uiPriority w:val="99"/>
    <w:semiHidden/>
    <w:unhideWhenUsed/>
    <w:rPr>
      <w:sz w:val="20"/>
      <w:szCs w:val="20"/>
    </w:rPr>
  </w:style>
  <w:style w:styleId="Subtitle" w:type="paragraph">
    <w:name w:val="Subtitle"/>
    <w:basedOn w:val="Normal"/>
    <w:next w:val="Normal"/>
    <w:uiPriority w:val="11"/>
    <w:qFormat/>
    <w:pPr>
      <w:spacing w:after="240" w:line="312" w:lineRule="auto"/>
    </w:pPr>
    <w:rPr>
      <w:color w:val="5C6478"/>
      <w:sz w:val="26"/>
      <w:szCs w:val="26"/>
    </w:rPr>
  </w:style>
  <w:style w:customStyle="1" w:styleId="VCCILabel" w:type="paragraph">
    <w:name w:val="VCCI Label"/>
    <w:basedOn w:val="Normal"/>
    <w:next w:val="Normal"/>
    <w:qFormat/>
    <w:pPr>
      <w:keepNext/>
      <w:spacing w:after="160"/>
    </w:pPr>
    <w:rPr>
      <w:rFonts w:ascii="Be Vietnam Pro SemiBold" w:cs="Be Vietnam Pro SemiBold" w:eastAsia="Be Vietnam Pro SemiBold" w:hAnsi="Be Vietnam Pro SemiBold"/>
      <w:caps/>
      <w:color w:val="9C570C"/>
      <w:spacing w:val="36"/>
      <w:sz w:val="16"/>
      <w:szCs w:val="16"/>
    </w:rPr>
  </w:style>
  <w:style w:customStyle="1" w:styleId="VCCILead" w:type="paragraph">
    <w:name w:val="VCCI Lead"/>
    <w:basedOn w:val="Normal"/>
    <w:next w:val="Normal"/>
    <w:qFormat/>
    <w:pPr>
      <w:spacing w:after="240" w:line="360" w:lineRule="auto"/>
    </w:pPr>
    <w:rPr>
      <w:rFonts w:ascii="Lora" w:cs="Lora" w:eastAsia="Lora" w:hAnsi="Lora"/>
      <w:color w:val="264896"/>
      <w:sz w:val="26"/>
      <w:szCs w:val="26"/>
    </w:rPr>
  </w:style>
  <w:style w:styleId="Quote" w:type="paragraph">
    <w:name w:val="Quote"/>
    <w:basedOn w:val="Normal"/>
    <w:next w:val="Normal"/>
    <w:qFormat/>
    <w:pPr>
      <w:pBdr>
        <w:left w:color="FFCD00" w:space="14" w:sz="24" w:val="single"/>
      </w:pBdr>
      <w:spacing w:after="240" w:before="240"/>
      <w:ind w:left="454"/>
    </w:pPr>
    <w:rPr>
      <w:rFonts w:ascii="Lora" w:cs="Lora" w:eastAsia="Lora" w:hAnsi="Lora"/>
      <w:i/>
      <w:iCs/>
      <w:color w:val="264896"/>
      <w:sz w:val="26"/>
      <w:szCs w:val="26"/>
    </w:rPr>
  </w:style>
  <w:style w:customStyle="1" w:styleId="VCCICallout" w:type="paragraph">
    <w:name w:val="VCCI Callout"/>
    <w:basedOn w:val="Normal"/>
    <w:next w:val="Normal"/>
    <w:qFormat/>
    <w:pPr>
      <w:pBdr>
        <w:top w:color="E7ECF6" w:space="8" w:sz="4" w:val="single"/>
        <w:left w:color="264896" w:space="10" w:sz="24" w:val="single"/>
        <w:bottom w:color="E7ECF6" w:space="8" w:sz="4" w:val="single"/>
        <w:right w:color="E7ECF6" w:space="10" w:sz="4" w:val="single"/>
      </w:pBdr>
      <w:shd w:color="auto" w:fill="E7ECF6" w:val="clear"/>
      <w:spacing w:after="200" w:before="200" w:line="312" w:lineRule="auto"/>
      <w:ind w:left="227" w:right="227"/>
    </w:pPr>
    <w:rPr>
      <w:sz w:val="19"/>
      <w:szCs w:val="19"/>
    </w:rPr>
  </w:style>
  <w:style w:styleId="Caption" w:type="paragraph">
    <w:name w:val="caption"/>
    <w:basedOn w:val="Normal"/>
    <w:next w:val="Normal"/>
    <w:qFormat/>
    <w:pPr>
      <w:spacing w:after="280" w:before="80"/>
    </w:pPr>
    <w:rPr>
      <w:color w:val="5C6478"/>
      <w:sz w:val="15"/>
      <w:szCs w:val="15"/>
    </w:rPr>
  </w:style>
  <w:style w:customStyle="1" w:styleId="VCCISmall" w:type="paragraph">
    <w:name w:val="VCCI Small"/>
    <w:basedOn w:val="Normal"/>
    <w:next w:val="Normal"/>
    <w:qFormat/>
    <w:pPr>
      <w:spacing w:after="40" w:line="264" w:lineRule="auto"/>
    </w:pPr>
    <w:rPr>
      <w:color w:val="5C6478"/>
      <w:sz w:val="15"/>
      <w:szCs w:val="15"/>
    </w:rPr>
  </w:style>
  <w:style w:customStyle="1" w:styleId="VCCIFigureNumber" w:type="paragraph">
    <w:name w:val="VCCI Figure Number"/>
    <w:basedOn w:val="Normal"/>
    <w:next w:val="Normal"/>
    <w:qFormat/>
    <w:pPr>
      <w:spacing w:after="0" w:line="240" w:lineRule="auto"/>
    </w:pPr>
    <w:rPr>
      <w:rFonts w:ascii="Lora Medium" w:cs="Lora Medium" w:eastAsia="Lora Medium" w:hAnsi="Lora Medium"/>
      <w:color w:val="264896"/>
      <w:sz w:val="48"/>
      <w:szCs w:val="48"/>
    </w:rPr>
  </w:style>
  <w:style w:customStyle="1" w:styleId="VCCITOCHeading" w:type="paragraph">
    <w:name w:val="VCCI TOC Heading"/>
    <w:basedOn w:val="Normal"/>
    <w:next w:val="Normal"/>
    <w:qFormat/>
    <w:pPr>
      <w:spacing w:after="360"/>
    </w:pPr>
    <w:rPr>
      <w:rFonts w:ascii="Lora Medium" w:cs="Lora Medium" w:eastAsia="Lora Medium" w:hAnsi="Lora Medium"/>
      <w:color w:val="264896"/>
      <w:sz w:val="44"/>
      <w:szCs w:val="44"/>
    </w:rPr>
  </w:style>
  <w:style w:styleId="Header" w:type="paragraph">
    <w:name w:val="header"/>
    <w:basedOn w:val="Normal"/>
    <w:qFormat/>
    <w:pPr>
      <w:spacing w:after="0" w:line="240" w:lineRule="auto"/>
    </w:pPr>
    <w:rPr>
      <w:color w:val="5C6478"/>
      <w:sz w:val="14"/>
      <w:szCs w:val="14"/>
    </w:rPr>
  </w:style>
  <w:style w:styleId="Footer" w:type="paragraph">
    <w:name w:val="footer"/>
    <w:basedOn w:val="Normal"/>
    <w:qFormat/>
    <w:pPr>
      <w:spacing w:after="0" w:line="240" w:lineRule="auto"/>
    </w:pPr>
    <w:rPr>
      <w:color w:val="5C6478"/>
      <w:sz w:val="14"/>
      <w:szCs w:val="14"/>
    </w:rPr>
  </w:style>
  <w:style w:styleId="TOC1" w:type="paragraph">
    <w:name w:val="toc 1"/>
    <w:basedOn w:val="Normal"/>
    <w:next w:val="Normal"/>
    <w:uiPriority w:val="39"/>
    <w:qFormat/>
    <w:pPr>
      <w:spacing w:after="80" w:before="200"/>
    </w:pPr>
    <w:rPr>
      <w:rFonts w:ascii="Lora SemiBold" w:cs="Lora SemiBold" w:eastAsia="Lora SemiBold" w:hAnsi="Lora SemiBold"/>
      <w:color w:val="264896"/>
      <w:sz w:val="22"/>
      <w:szCs w:val="22"/>
    </w:rPr>
  </w:style>
  <w:style w:styleId="TOC2" w:type="paragraph">
    <w:name w:val="toc 2"/>
    <w:basedOn w:val="Normal"/>
    <w:next w:val="Normal"/>
    <w:uiPriority w:val="39"/>
    <w:qFormat/>
    <w:pPr>
      <w:spacing w:after="60"/>
      <w:ind w:left="340"/>
    </w:pPr>
    <w:rPr>
      <w:sz w:val="19"/>
      <w:szCs w:val="19"/>
    </w:rPr>
  </w:style>
  <w:style w:styleId="TOC3" w:type="paragraph">
    <w:name w:val="toc 3"/>
    <w:basedOn w:val="Normal"/>
    <w:next w:val="Normal"/>
    <w:uiPriority w:val="39"/>
    <w:qFormat/>
    <w:pPr>
      <w:spacing w:after="40"/>
      <w:ind w:left="680"/>
    </w:pPr>
    <w:rPr>
      <w:color w:val="5C6478"/>
      <w:sz w:val="18"/>
      <w:szCs w:val="18"/>
    </w:rPr>
  </w:style>
  <w:style w:customStyle="1" w:styleId="VCCITable" w:type="table">
    <w:name w:val="VCCI Table"/>
    <w:basedOn w:val="TableNormal"/>
    <w:uiPriority w:val="40"/>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264896" w:space="0" w:sz="8" w:val="single"/>
        <w:right w:val="nil"/>
        <w:insideH w:color="E6E1D5" w:space="0" w:sz="4" w:val="single"/>
        <w:insideV w:val="nil"/>
      </w:tblBorders>
      <w:tblCellMar>
        <w:top w:type="dxa" w:w="96"/>
        <w:left w:type="dxa" w:w="142"/>
        <w:bottom w:type="dxa" w:w="96"/>
        <w:right w:type="dxa" w:w="142"/>
      </w:tblCellMar>
    </w:tblPr>
    <w:tcPr>
      <w:vAlign w:val="center"/>
    </w:tcPr>
    <w:tblStylePr w:type="firstRow">
      <w:rPr>
        <w:rFonts w:ascii="Be Vietnam Pro SemiBold" w:cs="Be Vietnam Pro SemiBold" w:eastAsia="Be Vietnam Pro SemiBold" w:hAnsi="Be Vietnam Pro SemiBold"/>
        <w:color w:val="FFFFFF"/>
        <w:sz w:val="17"/>
        <w:szCs w:val="17"/>
      </w:rPr>
      <w:tblPr/>
      <w:tcPr>
        <w:tcBorders>
          <w:top w:color="264896" w:space="0" w:sz="4" w:val="single"/>
          <w:bottom w:color="264896" w:space="0" w:sz="4" w:val="single"/>
        </w:tcBorders>
        <w:shd w:color="auto" w:fill="264896" w:val="clear"/>
      </w:tcPr>
    </w:tblStylePr>
    <w:tblStylePr w:type="lastRow">
      <w:rPr>
        <w:rFonts w:ascii="Be Vietnam Pro SemiBold" w:cs="Be Vietnam Pro SemiBold" w:eastAsia="Be Vietnam Pro SemiBold" w:hAnsi="Be Vietnam Pro SemiBold"/>
      </w:rPr>
      <w:tblPr/>
      <w:tcPr>
        <w:tcBorders>
          <w:top w:color="264896" w:space="0" w:sz="8" w:val="single"/>
        </w:tcBorders>
        <w:shd w:color="auto" w:fill="F4F0E6" w:val="clear"/>
      </w:tcPr>
    </w:tblStylePr>
    <w:tblStylePr w:type="firstCol">
      <w:rPr>
        <w:rFonts w:ascii="Be Vietnam Pro SemiBold" w:cs="Be Vietnam Pro SemiBold" w:eastAsia="Be Vietnam Pro SemiBold" w:hAnsi="Be Vietnam Pro SemiBold"/>
      </w:rPr>
      <w:tblPr/>
    </w:tblStylePr>
    <w:tblStylePr w:type="band2Horz">
      <w:tblPr/>
      <w:tcPr>
        <w:shd w:color="auto" w:fill="FBF9F4" w:val="clear"/>
      </w:tcPr>
    </w:tblStylePr>
  </w:style>
  <w:style w:customStyle="1" w:styleId="VCCITableLight" w:type="table">
    <w:name w:val="VCCI Table Light"/>
    <w:basedOn w:val="TableNormal"/>
    <w:uiPriority w:val="41"/>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E6E1D5" w:space="0" w:sz="4" w:val="single"/>
        <w:right w:val="nil"/>
        <w:insideH w:color="E6E1D5" w:space="0" w:sz="4" w:val="single"/>
        <w:insideV w:val="nil"/>
      </w:tblBorders>
      <w:tblCellMar>
        <w:top w:type="dxa" w:w="80"/>
        <w:left w:type="dxa" w:w="0"/>
        <w:bottom w:type="dxa" w:w="80"/>
        <w:right w:type="dxa" w:w="170"/>
      </w:tblCellMar>
    </w:tblPr>
    <w:tcPr>
      <w:vAlign w:val="top"/>
    </w:tcPr>
    <w:tblStylePr w:type="firstRow">
      <w:rPr>
        <w:rFonts w:ascii="Be Vietnam Pro SemiBold" w:cs="Be Vietnam Pro SemiBold" w:eastAsia="Be Vietnam Pro SemiBold" w:hAnsi="Be Vietnam Pro SemiBold"/>
        <w:caps/>
        <w:color w:val="9C570C"/>
        <w:spacing w:val="24"/>
        <w:sz w:val="15"/>
        <w:szCs w:val="15"/>
      </w:rPr>
      <w:tblPr/>
      <w:tcPr>
        <w:tcBorders>
          <w:bottom w:color="264896" w:space="0" w:sz="8" w:val="single"/>
        </w:tcBorders>
      </w:tcPr>
    </w:tblStylePr>
    <w:tblStylePr w:type="firstCol">
      <w:rPr>
        <w:rFonts w:ascii="Be Vietnam Pro SemiBold" w:cs="Be Vietnam Pro SemiBold" w:eastAsia="Be Vietnam Pro SemiBold" w:hAnsi="Be Vietnam Pro SemiBold"/>
        <w:color w:val="264896"/>
      </w:rPr>
      <w:tblPr/>
    </w:tblStylePr>
  </w:style>
  <w:style w:customStyle="1" w:styleId="VCCITableTint" w:type="table">
    <w:name w:val="VCCI Table Tint"/>
    <w:basedOn w:val="TableNormal"/>
    <w:uiPriority w:val="42"/>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val="nil"/>
        <w:right w:val="nil"/>
        <w:insideH w:color="FFFFFF" w:space="0" w:sz="24" w:val="single"/>
        <w:insideV w:color="FFFFFF" w:space="0" w:sz="24" w:val="single"/>
      </w:tblBorders>
      <w:tblCellMar>
        <w:top w:type="dxa" w:w="170"/>
        <w:left w:type="dxa" w:w="170"/>
        <w:bottom w:type="dxa" w:w="170"/>
        <w:right w:type="dxa" w:w="170"/>
      </w:tblCellMar>
    </w:tblPr>
    <w:tcPr>
      <w:shd w:color="auto" w:fill="E7ECF6" w:val="clear"/>
      <w:vAlign w:val="top"/>
    </w:tcPr>
    <w:tblStylePr w:type="firstRow">
      <w:rPr>
        <w:color w:val="264896"/>
      </w:rPr>
      <w:tblPr/>
    </w:tblStylePr>
  </w:style>
  <w:style w:customStyle="1" w:styleId="Table" w:type="table">
    <w:name w:val="Table"/>
    <w:basedOn w:val="TableNormal"/>
    <w:uiPriority w:val="40"/>
    <w:qFormat/>
    <w:pPr>
      <w:spacing w:after="0" w:before="0" w:line="264" w:lineRule="auto"/>
    </w:pPr>
    <w:rPr>
      <w:rFonts w:ascii="Be Vietnam Pro" w:cs="Be Vietnam Pro" w:eastAsia="Be Vietnam Pro" w:hAnsi="Be Vietnam Pro"/>
      <w:color w:val="161A26"/>
      <w:sz w:val="19"/>
      <w:szCs w:val="19"/>
    </w:rPr>
    <w:tblPr>
      <w:tblStyleRowBandSize w:val="1"/>
      <w:tblStyleColBandSize w:val="1"/>
      <w:tblBorders>
        <w:top w:val="nil"/>
        <w:left w:val="nil"/>
        <w:bottom w:color="264896" w:space="0" w:sz="8" w:val="single"/>
        <w:right w:val="nil"/>
        <w:insideH w:color="E6E1D5" w:space="0" w:sz="4" w:val="single"/>
        <w:insideV w:val="nil"/>
      </w:tblBorders>
      <w:tblCellMar>
        <w:top w:type="dxa" w:w="96"/>
        <w:left w:type="dxa" w:w="142"/>
        <w:bottom w:type="dxa" w:w="96"/>
        <w:right w:type="dxa" w:w="142"/>
      </w:tblCellMar>
    </w:tblPr>
    <w:tcPr>
      <w:vAlign w:val="center"/>
    </w:tcPr>
    <w:tblStylePr w:type="firstRow">
      <w:rPr>
        <w:rFonts w:ascii="Be Vietnam Pro SemiBold" w:cs="Be Vietnam Pro SemiBold" w:eastAsia="Be Vietnam Pro SemiBold" w:hAnsi="Be Vietnam Pro SemiBold"/>
        <w:color w:val="FFFFFF"/>
        <w:sz w:val="17"/>
        <w:szCs w:val="17"/>
      </w:rPr>
      <w:tblPr/>
      <w:tcPr>
        <w:tcBorders>
          <w:top w:color="264896" w:space="0" w:sz="4" w:val="single"/>
          <w:bottom w:color="264896" w:space="0" w:sz="4" w:val="single"/>
        </w:tcBorders>
        <w:shd w:color="auto" w:fill="264896" w:val="clear"/>
      </w:tcPr>
    </w:tblStylePr>
    <w:tblStylePr w:type="lastRow">
      <w:rPr>
        <w:rFonts w:ascii="Be Vietnam Pro SemiBold" w:cs="Be Vietnam Pro SemiBold" w:eastAsia="Be Vietnam Pro SemiBold" w:hAnsi="Be Vietnam Pro SemiBold"/>
      </w:rPr>
      <w:tblPr/>
      <w:tcPr>
        <w:tcBorders>
          <w:top w:color="264896" w:space="0" w:sz="8" w:val="single"/>
        </w:tcBorders>
        <w:shd w:color="auto" w:fill="F4F0E6" w:val="clear"/>
      </w:tcPr>
    </w:tblStylePr>
    <w:tblStylePr w:type="firstCol">
      <w:rPr>
        <w:rFonts w:ascii="Be Vietnam Pro SemiBold" w:cs="Be Vietnam Pro SemiBold" w:eastAsia="Be Vietnam Pro SemiBold" w:hAnsi="Be Vietnam Pro SemiBold"/>
      </w:rPr>
      <w:tblPr/>
    </w:tblStylePr>
    <w:tblStylePr w:type="band2Horz">
      <w:tblPr/>
      <w:tcPr>
        <w:shd w:color="auto" w:fill="FBF9F4" w:val="clear"/>
      </w:tcPr>
    </w:tblStylePr>
  </w:style>
  <w:style w:customStyle="1" w:styleId="BodyText" w:type="paragraph">
    <w:name w:val="Body Text"/>
    <w:basedOn w:val="Normal"/>
    <w:qFormat/>
  </w:style>
  <w:style w:customStyle="1" w:styleId="FirstParagraph" w:type="paragraph">
    <w:name w:val="First Paragraph"/>
    <w:basedOn w:val="BodyText"/>
    <w:qFormat/>
  </w:style>
  <w:style w:customStyle="1" w:styleId="Compact" w:type="paragraph">
    <w:name w:val="Compact"/>
    <w:basedOn w:val="BodyText"/>
    <w:qFormat/>
    <w:pPr>
      <w:spacing w:after="36" w:before="36"/>
    </w:pPr>
  </w:style>
  <w:style w:customStyle="1" w:styleId="Author" w:type="paragraph">
    <w:name w:val="Author"/>
    <w:basedOn w:val="Normal"/>
    <w:qFormat/>
    <w:rPr>
      <w:b/>
      <w:color w:val="161A26"/>
    </w:rPr>
  </w:style>
  <w:style w:customStyle="1" w:styleId="Date" w:type="paragraph">
    <w:name w:val="Date"/>
    <w:basedOn w:val="Normal"/>
    <w:qFormat/>
    <w:rPr>
      <w:color w:val="5C6478"/>
    </w:rPr>
  </w:style>
  <w:style w:customStyle="1" w:styleId="Abstract" w:type="paragraph">
    <w:name w:val="Abstract"/>
    <w:basedOn w:val="VCCICallout"/>
    <w:qFormat/>
  </w:style>
  <w:style w:customStyle="1" w:styleId="AbstractTitle" w:type="paragraph">
    <w:name w:val="Abstract Title"/>
    <w:basedOn w:val="VCCILabel"/>
    <w:qFormat/>
  </w:style>
  <w:style w:customStyle="1" w:styleId="Bibliography" w:type="paragraph">
    <w:name w:val="Bibliography"/>
    <w:basedOn w:val="Normal"/>
    <w:qFormat/>
    <w:pPr>
      <w:ind w:hanging="360" w:left="360"/>
    </w:pPr>
  </w:style>
  <w:style w:customStyle="1" w:styleId="BlockText" w:type="paragraph">
    <w:name w:val="Block Text"/>
    <w:basedOn w:val="Quote"/>
    <w:qFormat/>
  </w:style>
  <w:style w:customStyle="1" w:styleId="ImageCaption" w:type="paragraph">
    <w:name w:val="Image Caption"/>
    <w:basedOn w:val="Caption"/>
    <w:qFormat/>
  </w:style>
  <w:style w:customStyle="1" w:styleId="TableCaption" w:type="paragraph">
    <w:name w:val="Table Caption"/>
    <w:basedOn w:val="Caption"/>
    <w:qFormat/>
  </w:style>
  <w:style w:customStyle="1" w:styleId="Figure" w:type="paragraph">
    <w:name w:val="Figure"/>
    <w:basedOn w:val="Normal"/>
    <w:qFormat/>
    <w:pPr>
      <w:keepNext/>
    </w:pPr>
  </w:style>
  <w:style w:customStyle="1" w:styleId="CaptionedFigure" w:type="paragraph">
    <w:name w:val="Captioned Figure"/>
    <w:basedOn w:val="Figure"/>
    <w:qFormat/>
  </w:style>
  <w:style w:customStyle="1" w:styleId="TOCHeading" w:type="paragraph">
    <w:name w:val="TOC Heading"/>
    <w:basedOn w:val="VCCITOCHeading"/>
    <w:qFormat/>
  </w:style>
  <w:style w:customStyle="1" w:styleId="SourceCode" w:type="paragraph">
    <w:name w:val="Source Code"/>
    <w:basedOn w:val="Normal"/>
    <w:qFormat/>
    <w:rPr>
      <w:rFonts w:ascii="Consolas" w:hAnsi="Consolas"/>
      <w:sz w:val="17"/>
    </w:rPr>
  </w:style>
  <w:style w:customStyle="1" w:styleId="DefinitionTerm" w:type="paragraph">
    <w:name w:val="Definition Term"/>
    <w:basedOn w:val="Normal"/>
    <w:qFormat/>
    <w:rPr>
      <w:b/>
    </w:rPr>
  </w:style>
  <w:style w:customStyle="1" w:styleId="Definition" w:type="paragraph">
    <w:name w:val="Definition"/>
    <w:basedOn w:val="Normal"/>
    <w:qFormat/>
  </w:style>
  <w:style w:customStyle="1" w:styleId="BodyTextChar" w:type="character">
    <w:name w:val="Body Text Char"/>
    <w:basedOn w:val="DefaultParagraphFont"/>
    <w:qFormat/>
  </w:style>
  <w:style w:customStyle="1" w:styleId="VerbatimChar" w:type="character">
    <w:name w:val="Verbatim Char"/>
    <w:basedOn w:val="DefaultParagraphFont"/>
    <w:qFormat/>
    <w:rPr>
      <w:rFonts w:ascii="Consolas" w:hAnsi="Consolas"/>
    </w:rPr>
  </w:style>
  <w:style w:customStyle="1" w:styleId="SectionNumber" w:type="character">
    <w:name w:val="Section Number"/>
    <w:basedOn w:val="DefaultParagraphFont"/>
    <w:qFormat/>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2.png" Type="http://schemas.openxmlformats.org/officeDocument/2006/relationships/image" /><Relationship Id="rId13" Target="footer2.xml" Type="http://schemas.openxmlformats.org/officeDocument/2006/relationships/footer" /><Relationship Id="rId18" Target="media/image7.png" Type="http://schemas.openxmlformats.org/officeDocument/2006/relationships/image" /><Relationship Id="rId21" Target="header5.xml" Type="http://schemas.openxmlformats.org/officeDocument/2006/relationships/header" /><Relationship Id="rId7" Target="media/image1.png" Type="http://schemas.openxmlformats.org/officeDocument/2006/relationships/image" /><Relationship Id="rId12" Target="header2.xml" Type="http://schemas.openxmlformats.org/officeDocument/2006/relationships/header" /><Relationship Id="rId17" Target="footer3.xml" Type="http://schemas.openxmlformats.org/officeDocument/2006/relationships/footer" /><Relationship Id="rId16" Target="header3.xml" Type="http://schemas.openxmlformats.org/officeDocument/2006/relationships/header" /><Relationship Id="rId20" Target="footer4.xml" Type="http://schemas.openxmlformats.org/officeDocument/2006/relationships/footer" /><Relationship Id="rId11" Target="footer1.xml" Type="http://schemas.openxmlformats.org/officeDocument/2006/relationships/footer" /><Relationship Id="rId15" Target="media/image5.png" Type="http://schemas.openxmlformats.org/officeDocument/2006/relationships/image" /><Relationship Id="rId10" Target="header1.xml" Type="http://schemas.openxmlformats.org/officeDocument/2006/relationships/header" /><Relationship Id="rId19" Target="header4.xml" Type="http://schemas.openxmlformats.org/officeDocument/2006/relationships/header" /><Relationship Id="rId9" Target="media/image3.png" Type="http://schemas.openxmlformats.org/officeDocument/2006/relationships/image" /><Relationship Id="rId14" Target="media/image4.png" Type="http://schemas.openxmlformats.org/officeDocument/2006/relationships/image" /><Relationship Id="rId22" Target="footer5.xml" Type="http://schemas.openxmlformats.org/officeDocument/2006/relationships/footer"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image" Id="rId43" Target="media/rId43.png" /></Relationships>
</file>

<file path=word/_rels/fontTable.xml.rels><?xml version="1.0" encoding="UTF-8" standalone="yes"?>
<Relationships xmlns="http://schemas.openxmlformats.org/package/2006/relationships"><Relationship Id="rIdVcciFont1" Type="http://schemas.openxmlformats.org/officeDocument/2006/relationships/font" Target="fonts/font1.odttf"/><Relationship Id="rIdVcciFont2" Type="http://schemas.openxmlformats.org/officeDocument/2006/relationships/font" Target="fonts/font2.odttf"/><Relationship Id="rIdVcciFont3" Type="http://schemas.openxmlformats.org/officeDocument/2006/relationships/font" Target="fonts/font3.odttf"/><Relationship Id="rIdVcciFont4" Type="http://schemas.openxmlformats.org/officeDocument/2006/relationships/font" Target="fonts/font4.odttf"/><Relationship Id="rIdVcciFont5" Type="http://schemas.openxmlformats.org/officeDocument/2006/relationships/font" Target="fonts/font5.odttf"/><Relationship Id="rIdVcciFont6" Type="http://schemas.openxmlformats.org/officeDocument/2006/relationships/font" Target="fonts/font6.odttf"/><Relationship Id="rIdVcciFont7" Type="http://schemas.openxmlformats.org/officeDocument/2006/relationships/font" Target="fonts/font7.odttf"/><Relationship Id="rIdVcciFont8" Type="http://schemas.openxmlformats.org/officeDocument/2006/relationships/font" Target="fonts/font8.odttf"/><Relationship Id="rIdVcciFont9" Type="http://schemas.openxmlformats.org/officeDocument/2006/relationships/font" Target="fonts/font9.odttf"/><Relationship Id="rIdVcciFont10" Type="http://schemas.openxmlformats.org/officeDocument/2006/relationships/font" Target="fonts/font10.odttf"/><Relationship Id="rIdVcciFont11" Type="http://schemas.openxmlformats.org/officeDocument/2006/relationships/font" Target="fonts/font11.odttf"/></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VCCI">
  <a:themeElements>
    <a:clrScheme name="VCCI">
      <a:dk1>
        <a:srgbClr val="161A26"/>
      </a:dk1>
      <a:lt1>
        <a:srgbClr val="FFFFFF"/>
      </a:lt1>
      <a:dk2>
        <a:srgbClr val="0B1A4F"/>
      </a:dk2>
      <a:lt2>
        <a:srgbClr val="F4F0E6"/>
      </a:lt2>
      <a:accent1>
        <a:srgbClr val="264896"/>
      </a:accent1>
      <a:accent2>
        <a:srgbClr val="8FA6D6"/>
      </a:accent2>
      <a:accent3>
        <a:srgbClr val="CC713C"/>
      </a:accent3>
      <a:accent4>
        <a:srgbClr val="5C6478"/>
      </a:accent4>
      <a:accent5>
        <a:srgbClr val="F2B18E"/>
      </a:accent5>
      <a:accent6>
        <a:srgbClr val="FFCD00"/>
      </a:accent6>
      <a:hlink>
        <a:srgbClr val="264896"/>
      </a:hlink>
      <a:folHlink>
        <a:srgbClr val="9C570C"/>
      </a:folHlink>
    </a:clrScheme>
    <a:fontScheme name="VCCI">
      <a:majorFont>
        <a:latin typeface="Lora Medium"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e Vietnam Pro"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chi phí tuân thủ thủ tục đầu tư tại tỉnh Hòa Bình Xanh</dc:title>
  <dc:creator>Nguyễn Văn An; Trần Thị Bình</dc:creator>
  <dc:language>vi</dc:language>
  <cp:keywords/>
  <dcterms:created xsi:type="dcterms:W3CDTF">2026-10-10T03:31:22Z</dcterms:created>
  <dcterms:modified xsi:type="dcterms:W3CDTF">2026-10-10T03:31:22Z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title">
    <vt:lpwstr>Tóm tắt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citation-text">
    <vt:lpwstr>VCCI (2026). Đánh giá chi phí tuân thủ thủ tục đầu tư tại tỉnh Hòa Bình Xanh. Hà Nội: Liên đoàn Thương mại và Công nghiệp Việt Nam.</vt:lpwstr>
  </property>
  <property fmtid="{D5CDD505-2E9C-101B-9397-08002B2CF9AE}" pid="9" name="client">
    <vt:lpwstr>Ủy ban nhân dân tỉnh Hòa Bình Xanh</vt:lpwstr>
  </property>
  <property fmtid="{D5CDD505-2E9C-101B-9397-08002B2CF9AE}" pid="10" name="csl">
    <vt:lpwstr>_extensions/vcci/vcci-report/vcci-chicago-notes.csl</vt:lpwstr>
  </property>
  <property fmtid="{D5CDD505-2E9C-101B-9397-08002B2CF9AE}" pid="11" name="date">
    <vt:lpwstr>10 tháng 10 năm 2026</vt:lpwstr>
  </property>
  <property fmtid="{D5CDD505-2E9C-101B-9397-08002B2CF9AE}" pid="12" name="date-format">
    <vt:lpwstr>D [tháng] M [năm] YYYY</vt:lpwstr>
  </property>
  <property fmtid="{D5CDD505-2E9C-101B-9397-08002B2CF9AE}" pid="13" name="disclaimer">
    <vt:lpwstr>Số liệu trong tài liệu mẫu này là giả lập. Quan điểm trong báo cáo là của nhóm thực hiện, không nhất thiết phản ánh quan điểm của bên đặt hàng.</vt:lpwstr>
  </property>
  <property fmtid="{D5CDD505-2E9C-101B-9397-08002B2CF9AE}" pid="14" name="engines">
    <vt:lpwstr/>
  </property>
  <property fmtid="{D5CDD505-2E9C-101B-9397-08002B2CF9AE}" pid="15" name="header-includes">
    <vt:lpwstr/>
  </property>
  <property fmtid="{D5CDD505-2E9C-101B-9397-08002B2CF9AE}" pid="16" name="hero">
    <vt:lpwstr>4</vt:lpwstr>
  </property>
  <property fmtid="{D5CDD505-2E9C-101B-9397-08002B2CF9AE}" pid="17" name="include-after">
    <vt:lpwstr/>
  </property>
  <property fmtid="{D5CDD505-2E9C-101B-9397-08002B2CF9AE}" pid="18" name="include-before">
    <vt:lpwstr/>
  </property>
  <property fmtid="{D5CDD505-2E9C-101B-9397-08002B2CF9AE}" pid="19" name="knitr">
    <vt:lpwstr/>
  </property>
  <property fmtid="{D5CDD505-2E9C-101B-9397-08002B2CF9AE}" pid="20" name="labels">
    <vt:lpwstr/>
  </property>
  <property fmtid="{D5CDD505-2E9C-101B-9397-08002B2CF9AE}" pid="21" name="number-depth">
    <vt:lpwstr>1</vt:lpwstr>
  </property>
  <property fmtid="{D5CDD505-2E9C-101B-9397-08002B2CF9AE}" pid="22" name="papersize">
    <vt:lpwstr>a4</vt:lpwstr>
  </property>
  <property fmtid="{D5CDD505-2E9C-101B-9397-08002B2CF9AE}" pid="23" name="reference-section-title">
    <vt:lpwstr>Tài liệu tham khảo</vt:lpwstr>
  </property>
  <property fmtid="{D5CDD505-2E9C-101B-9397-08002B2CF9AE}" pid="24" name="report-label">
    <vt:lpwstr>Báo cáo tư vấn</vt:lpwstr>
  </property>
  <property fmtid="{D5CDD505-2E9C-101B-9397-08002B2CF9AE}" pid="25" name="revealjs-plugins">
    <vt:lpwstr/>
  </property>
  <property fmtid="{D5CDD505-2E9C-101B-9397-08002B2CF9AE}" pid="26" name="short-title">
    <vt:lpwstr>Chi phí tuân thủ thủ tục đầu tư</vt:lpwstr>
  </property>
  <property fmtid="{D5CDD505-2E9C-101B-9397-08002B2CF9AE}" pid="27" name="status">
    <vt:lpwstr>Bản thảo</vt:lpwstr>
  </property>
  <property fmtid="{D5CDD505-2E9C-101B-9397-08002B2CF9AE}" pid="28" name="subtitle">
    <vt:lpwstr>Báo cáo tư vấn cho Ủy ban nhân dân tỉnh về cải cách thủ tục hành chính giai đoạn 2026–2030</vt:lpwstr>
  </property>
  <property fmtid="{D5CDD505-2E9C-101B-9397-08002B2CF9AE}" pid="29" name="toc-title">
    <vt:lpwstr>Mục lục</vt:lpwstr>
  </property>
  <property fmtid="{D5CDD505-2E9C-101B-9397-08002B2CF9AE}" pid="30" name="version">
    <vt:lpwstr>1.0</vt:lpwstr>
  </property>
</Properties>
</file>