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D10" w:rsidRPr="00C47CEA" w:rsidRDefault="009D34DE" w:rsidP="001640A2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V</w:t>
      </w:r>
      <w:r w:rsidRPr="00C47CEA">
        <w:rPr>
          <w:rFonts w:ascii="Century Schoolbook" w:hAnsi="Century Schoolbook"/>
          <w:b/>
          <w:color w:val="000000"/>
          <w:sz w:val="20"/>
        </w:rPr>
        <w:t>ol. 5</w:t>
      </w:r>
      <w:r w:rsidR="004B59C9">
        <w:rPr>
          <w:rFonts w:ascii="Century Schoolbook" w:hAnsi="Century Schoolbook"/>
          <w:b/>
          <w:color w:val="000000"/>
          <w:sz w:val="20"/>
        </w:rPr>
        <w:t>7</w:t>
      </w:r>
      <w:r w:rsidRPr="00C47CEA">
        <w:rPr>
          <w:rFonts w:ascii="Century Schoolbook" w:hAnsi="Century Schoolbook"/>
          <w:b/>
          <w:color w:val="000000"/>
          <w:sz w:val="20"/>
        </w:rPr>
        <w:t>, No.</w:t>
      </w:r>
      <w:r w:rsidR="00480F34">
        <w:rPr>
          <w:rFonts w:ascii="Century Schoolbook" w:hAnsi="Century Schoolbook"/>
          <w:b/>
          <w:color w:val="000000"/>
          <w:sz w:val="20"/>
        </w:rPr>
        <w:t xml:space="preserve"> 4</w:t>
      </w:r>
      <w:r w:rsidR="00CB13F3" w:rsidRPr="00C47CEA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ab/>
      </w:r>
      <w:r w:rsidR="00E70EB1">
        <w:rPr>
          <w:rFonts w:ascii="Century Schoolbook" w:hAnsi="Century Schoolbook"/>
          <w:color w:val="000000"/>
          <w:sz w:val="20"/>
        </w:rPr>
        <w:t>Abbreviation</w:t>
      </w:r>
      <w:r w:rsidRPr="00C47CEA">
        <w:rPr>
          <w:rFonts w:ascii="Century Schoolbook" w:hAnsi="Century Schoolbook"/>
          <w:color w:val="000000"/>
          <w:sz w:val="20"/>
        </w:rPr>
        <w:t>:</w:t>
      </w:r>
      <w:r w:rsidRPr="00C47CEA">
        <w:rPr>
          <w:rFonts w:ascii="Century Schoolbook" w:hAnsi="Century Schoolbook"/>
          <w:i/>
          <w:color w:val="000000"/>
          <w:sz w:val="20"/>
        </w:rPr>
        <w:t xml:space="preserve"> Trop</w:t>
      </w:r>
      <w:bookmarkStart w:id="0" w:name="_GoBack"/>
      <w:bookmarkEnd w:id="0"/>
      <w:r w:rsidRPr="00C47CEA">
        <w:rPr>
          <w:rFonts w:ascii="Century Schoolbook" w:hAnsi="Century Schoolbook"/>
          <w:i/>
          <w:color w:val="000000"/>
          <w:sz w:val="20"/>
        </w:rPr>
        <w:t>. Ecol.</w:t>
      </w:r>
      <w:r w:rsidRPr="00C47CEA">
        <w:rPr>
          <w:rFonts w:ascii="Century Schoolbook" w:hAnsi="Century Schoolbook"/>
          <w:i/>
          <w:color w:val="000000"/>
          <w:sz w:val="20"/>
        </w:rPr>
        <w:tab/>
      </w:r>
      <w:r w:rsidR="00BB1DCB">
        <w:rPr>
          <w:rFonts w:ascii="Century Schoolbook" w:hAnsi="Century Schoolbook"/>
          <w:b/>
          <w:color w:val="000000"/>
          <w:sz w:val="20"/>
        </w:rPr>
        <w:t xml:space="preserve"> </w:t>
      </w:r>
      <w:r w:rsidR="00480F34">
        <w:rPr>
          <w:rFonts w:ascii="Century Schoolbook" w:hAnsi="Century Schoolbook"/>
          <w:b/>
          <w:color w:val="000000"/>
          <w:sz w:val="20"/>
        </w:rPr>
        <w:t>December</w:t>
      </w:r>
      <w:r w:rsidR="00D6754E">
        <w:rPr>
          <w:rFonts w:ascii="Century Schoolbook" w:hAnsi="Century Schoolbook"/>
          <w:b/>
          <w:color w:val="000000"/>
          <w:sz w:val="20"/>
        </w:rPr>
        <w:t xml:space="preserve"> </w:t>
      </w:r>
      <w:r w:rsidRPr="00C47CEA">
        <w:rPr>
          <w:rFonts w:ascii="Century Schoolbook" w:hAnsi="Century Schoolbook"/>
          <w:b/>
          <w:color w:val="000000"/>
          <w:sz w:val="20"/>
        </w:rPr>
        <w:t>20</w:t>
      </w:r>
      <w:r w:rsidR="00B00B87" w:rsidRPr="00C47CEA">
        <w:rPr>
          <w:rFonts w:ascii="Century Schoolbook" w:hAnsi="Century Schoolbook"/>
          <w:b/>
          <w:color w:val="000000"/>
          <w:sz w:val="20"/>
        </w:rPr>
        <w:t>1</w:t>
      </w:r>
      <w:r w:rsidR="004B59C9">
        <w:rPr>
          <w:rFonts w:ascii="Century Schoolbook" w:hAnsi="Century Schoolbook"/>
          <w:b/>
          <w:color w:val="000000"/>
          <w:sz w:val="20"/>
        </w:rPr>
        <w:t>6</w:t>
      </w:r>
    </w:p>
    <w:p w:rsidR="003B76F4" w:rsidRPr="00C47CEA" w:rsidRDefault="000A1D10" w:rsidP="00D94C9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C47CEA">
        <w:rPr>
          <w:rFonts w:ascii="Century Schoolbook" w:hAnsi="Century Schoolbook"/>
          <w:b/>
          <w:caps/>
          <w:color w:val="000000"/>
          <w:sz w:val="20"/>
        </w:rPr>
        <w:t>contents</w:t>
      </w:r>
    </w:p>
    <w:tbl>
      <w:tblPr>
        <w:tblStyle w:val="TableGrid"/>
        <w:tblW w:w="10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73"/>
        <w:gridCol w:w="1062"/>
      </w:tblGrid>
      <w:tr w:rsidR="00502501" w:rsidRPr="0020764D" w:rsidTr="007B59EC">
        <w:trPr>
          <w:trHeight w:val="90"/>
        </w:trPr>
        <w:tc>
          <w:tcPr>
            <w:tcW w:w="8973" w:type="dxa"/>
            <w:shd w:val="clear" w:color="auto" w:fill="auto"/>
          </w:tcPr>
          <w:p w:rsidR="00502501" w:rsidRPr="00781D52" w:rsidRDefault="00781D52" w:rsidP="00B44BDD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Cs/>
                <w:color w:val="000000"/>
                <w:sz w:val="20"/>
                <w:szCs w:val="20"/>
              </w:rPr>
            </w:pPr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M.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Madhu</w:t>
            </w:r>
            <w:proofErr w:type="spellEnd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, R.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Raghupathy</w:t>
            </w:r>
            <w:proofErr w:type="spellEnd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Partha</w:t>
            </w:r>
            <w:proofErr w:type="spellEnd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Pratim</w:t>
            </w:r>
            <w:proofErr w:type="spellEnd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Adhikary</w:t>
            </w:r>
            <w:proofErr w:type="spellEnd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,</w:t>
            </w:r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  <w:vertAlign w:val="subscript"/>
              </w:rPr>
              <w:t xml:space="preserve">  </w:t>
            </w:r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P.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Muralidharan</w:t>
            </w:r>
            <w:proofErr w:type="spellEnd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, O. P. S.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Khola</w:t>
            </w:r>
            <w:proofErr w:type="spellEnd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&amp; A. K. </w:t>
            </w:r>
            <w:proofErr w:type="spellStart"/>
            <w:r w:rsidRPr="00781D52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Sikka</w:t>
            </w:r>
            <w:proofErr w:type="spellEnd"/>
            <w:r w:rsidRPr="00E927A7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3F2275" w:rsidRPr="00781D52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Bio-physical-chemical studies of swamps in the </w:t>
            </w:r>
            <w:proofErr w:type="spellStart"/>
            <w:r w:rsidR="003F2275" w:rsidRPr="00781D52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Nilgiris</w:t>
            </w:r>
            <w:proofErr w:type="spellEnd"/>
            <w:r w:rsidR="003F2275" w:rsidRPr="00781D52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, Tamil Nadu </w:t>
            </w:r>
          </w:p>
        </w:tc>
        <w:tc>
          <w:tcPr>
            <w:tcW w:w="1062" w:type="dxa"/>
          </w:tcPr>
          <w:p w:rsidR="00502501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62</w:t>
            </w:r>
            <w:r w:rsidR="007B576B"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1</w:t>
            </w:r>
          </w:p>
        </w:tc>
      </w:tr>
      <w:tr w:rsidR="00502501" w:rsidRPr="0020764D" w:rsidTr="007B59EC">
        <w:trPr>
          <w:trHeight w:val="74"/>
        </w:trPr>
        <w:tc>
          <w:tcPr>
            <w:tcW w:w="8973" w:type="dxa"/>
          </w:tcPr>
          <w:p w:rsidR="00502501" w:rsidRPr="00E927A7" w:rsidRDefault="00566B08" w:rsidP="00B44BDD">
            <w:pPr>
              <w:pStyle w:val="BodyText2"/>
              <w:widowControl w:val="0"/>
              <w:spacing w:after="160" w:line="240" w:lineRule="exact"/>
              <w:ind w:left="360" w:hanging="360"/>
              <w:rPr>
                <w:rFonts w:ascii="Century Schoolbook" w:hAnsi="Century Schoolbook"/>
                <w:color w:val="000000" w:themeColor="text1"/>
                <w:sz w:val="20"/>
              </w:rPr>
            </w:pP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>Manisha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>Sarswat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 xml:space="preserve">,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>Pradeep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 xml:space="preserve"> C. Sati,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>Saurabh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>Dewan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 xml:space="preserve"> &amp;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>Rajendra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 xml:space="preserve"> S.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</w:rPr>
              <w:t>Fartyal</w:t>
            </w:r>
            <w:proofErr w:type="spellEnd"/>
            <w:r>
              <w:rPr>
                <w:rFonts w:ascii="Century Schoolbook" w:hAnsi="Century Schoolbook"/>
                <w:color w:val="000000"/>
                <w:sz w:val="20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>–</w:t>
            </w:r>
            <w:r w:rsidR="003F2275" w:rsidRPr="00E927A7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 </w:t>
            </w:r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Implying quantitative ecology of </w:t>
            </w:r>
            <w:proofErr w:type="spellStart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Drosophilid</w:t>
            </w:r>
            <w:proofErr w:type="spellEnd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 fauna as a tool for biodiversity assessment - A case study along an altitudinal transect in the </w:t>
            </w:r>
            <w:proofErr w:type="spellStart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Garhwal</w:t>
            </w:r>
            <w:proofErr w:type="spellEnd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 region of Central Himalaya</w:t>
            </w:r>
          </w:p>
        </w:tc>
        <w:tc>
          <w:tcPr>
            <w:tcW w:w="1062" w:type="dxa"/>
          </w:tcPr>
          <w:p w:rsidR="00502501" w:rsidRPr="0020764D" w:rsidRDefault="001B7B7A" w:rsidP="001B7B7A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637</w:t>
            </w:r>
          </w:p>
        </w:tc>
      </w:tr>
      <w:tr w:rsidR="00502501" w:rsidRPr="0020764D" w:rsidTr="007B59EC">
        <w:tc>
          <w:tcPr>
            <w:tcW w:w="8973" w:type="dxa"/>
          </w:tcPr>
          <w:p w:rsidR="00502501" w:rsidRPr="00E927A7" w:rsidRDefault="00566B08" w:rsidP="00566B08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s-CO"/>
              </w:rPr>
              <w:t xml:space="preserve">Oscar Humberto Marín-Gómez, Margarita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s-CO"/>
              </w:rPr>
              <w:t>Maria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s-CO"/>
              </w:rPr>
              <w:t xml:space="preserve"> López-García &amp; Mercedes Girón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s-CO"/>
              </w:rPr>
              <w:t>Vanderhuck</w:t>
            </w:r>
            <w:proofErr w:type="spellEnd"/>
            <w:r>
              <w:rPr>
                <w:rFonts w:ascii="Century Schoolbook" w:hAnsi="Century Schoolbook"/>
                <w:color w:val="000000"/>
                <w:sz w:val="20"/>
                <w:szCs w:val="20"/>
                <w:lang w:val="es-CO"/>
              </w:rPr>
              <w:t xml:space="preserve"> </w:t>
            </w:r>
            <w:r w:rsidRPr="00566B08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>–</w:t>
            </w:r>
            <w:r w:rsidR="003F2275" w:rsidRPr="00E927A7">
              <w:rPr>
                <w:rFonts w:ascii="Century Schoolbook" w:hAnsi="Century Schoolbook"/>
                <w:color w:val="000000"/>
                <w:sz w:val="20"/>
                <w:szCs w:val="20"/>
                <w:lang w:val="es-CO"/>
              </w:rPr>
              <w:t xml:space="preserve"> </w:t>
            </w:r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Floral visitors of </w:t>
            </w:r>
            <w:r w:rsidR="003F2275" w:rsidRPr="00566B08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 xml:space="preserve">Inga </w:t>
            </w:r>
            <w:proofErr w:type="spellStart"/>
            <w:r w:rsidR="003F2275" w:rsidRPr="00566B08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>marginata</w:t>
            </w:r>
            <w:proofErr w:type="spellEnd"/>
            <w:r w:rsidR="003F2275" w:rsidRPr="00566B08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Willd</w:t>
            </w:r>
            <w:proofErr w:type="spellEnd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. (</w:t>
            </w:r>
            <w:proofErr w:type="spellStart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Mimosaceae</w:t>
            </w:r>
            <w:proofErr w:type="spellEnd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) in a coffee </w:t>
            </w:r>
            <w:proofErr w:type="spellStart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agroecosystem</w:t>
            </w:r>
            <w:proofErr w:type="spellEnd"/>
            <w:r w:rsidR="003F2275" w:rsidRPr="00566B08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 of Quindío, Colombia</w:t>
            </w:r>
          </w:p>
        </w:tc>
        <w:tc>
          <w:tcPr>
            <w:tcW w:w="1062" w:type="dxa"/>
          </w:tcPr>
          <w:p w:rsidR="00502501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649</w:t>
            </w:r>
          </w:p>
        </w:tc>
      </w:tr>
      <w:tr w:rsidR="00502501" w:rsidRPr="0020764D" w:rsidTr="007B59EC">
        <w:tc>
          <w:tcPr>
            <w:tcW w:w="8973" w:type="dxa"/>
          </w:tcPr>
          <w:p w:rsidR="00502501" w:rsidRPr="00E927A7" w:rsidRDefault="00566B08" w:rsidP="00566B08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Ram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Asheshwar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Mandal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Ishwar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Chandra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Dutta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Pramod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Kumar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Jha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&amp;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Sidhi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Bir</w:t>
            </w:r>
            <w:proofErr w:type="spellEnd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566B08">
              <w:rPr>
                <w:rFonts w:ascii="Century Schoolbook" w:hAnsi="Century Schoolbook"/>
                <w:b/>
                <w:bCs/>
                <w:sz w:val="20"/>
                <w:szCs w:val="20"/>
                <w:lang w:val="en-GB"/>
              </w:rPr>
              <w:t>Karmacharya</w:t>
            </w:r>
            <w:proofErr w:type="spellEnd"/>
            <w:r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>–</w:t>
            </w:r>
            <w:r w:rsidR="003F2275" w:rsidRPr="00E927A7">
              <w:rPr>
                <w:rFonts w:ascii="Century Schoolbook" w:hAnsi="Century Schoolbook"/>
                <w:sz w:val="20"/>
                <w:szCs w:val="20"/>
                <w:lang w:val="en-GB"/>
              </w:rPr>
              <w:t xml:space="preserve"> </w:t>
            </w:r>
            <w:r w:rsidR="003F2275" w:rsidRPr="00566B08">
              <w:rPr>
                <w:rFonts w:ascii="Century Schoolbook" w:hAnsi="Century Schoolbook"/>
                <w:sz w:val="20"/>
                <w:szCs w:val="32"/>
                <w:lang w:val="en-GB"/>
              </w:rPr>
              <w:t xml:space="preserve">Carbon sequestration potential in community and collaborative forests in </w:t>
            </w:r>
            <w:proofErr w:type="spellStart"/>
            <w:r w:rsidR="003F2275" w:rsidRPr="00566B08">
              <w:rPr>
                <w:rFonts w:ascii="Century Schoolbook" w:hAnsi="Century Schoolbook"/>
                <w:sz w:val="20"/>
                <w:szCs w:val="32"/>
                <w:lang w:val="en-GB"/>
              </w:rPr>
              <w:t>Terai</w:t>
            </w:r>
            <w:proofErr w:type="spellEnd"/>
            <w:r w:rsidR="003F2275" w:rsidRPr="00566B08">
              <w:rPr>
                <w:rFonts w:ascii="Century Schoolbook" w:hAnsi="Century Schoolbook"/>
                <w:sz w:val="20"/>
                <w:szCs w:val="32"/>
                <w:lang w:val="en-GB"/>
              </w:rPr>
              <w:t>, Nepal</w:t>
            </w:r>
          </w:p>
        </w:tc>
        <w:tc>
          <w:tcPr>
            <w:tcW w:w="1062" w:type="dxa"/>
          </w:tcPr>
          <w:p w:rsidR="00502501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655</w:t>
            </w:r>
          </w:p>
        </w:tc>
      </w:tr>
      <w:tr w:rsidR="00502501" w:rsidRPr="0020764D" w:rsidTr="007B59EC">
        <w:trPr>
          <w:trHeight w:val="108"/>
        </w:trPr>
        <w:tc>
          <w:tcPr>
            <w:tcW w:w="8973" w:type="dxa"/>
          </w:tcPr>
          <w:p w:rsidR="00502501" w:rsidRPr="00E927A7" w:rsidRDefault="00F12F46" w:rsidP="00F12F46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vertAlign w:val="superscript"/>
              </w:rPr>
            </w:pPr>
            <w:r w:rsidRPr="00F12F46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Sven P. </w:t>
            </w:r>
            <w:proofErr w:type="spellStart"/>
            <w:r w:rsidRPr="00F12F46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>Batke</w:t>
            </w:r>
            <w:proofErr w:type="spellEnd"/>
            <w:r w:rsidRPr="00F12F46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, </w:t>
            </w:r>
            <w:r w:rsidRPr="00F12F46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Alfredo </w:t>
            </w:r>
            <w:proofErr w:type="spellStart"/>
            <w:r w:rsidRPr="00F12F46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shd w:val="clear" w:color="auto" w:fill="FFFFFF"/>
                <w:lang w:val="en-GB"/>
              </w:rPr>
              <w:t>Cascante-Marín</w:t>
            </w:r>
            <w:proofErr w:type="spellEnd"/>
            <w:r w:rsidRPr="00F12F46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shd w:val="clear" w:color="auto" w:fill="FFFFFF"/>
                <w:lang w:val="en-GB"/>
              </w:rPr>
              <w:t xml:space="preserve"> &amp; </w:t>
            </w:r>
            <w:r w:rsidRPr="00F12F46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>Daniel L. Kelly</w:t>
            </w:r>
            <w:r w:rsidR="003F2275" w:rsidRPr="00E927A7">
              <w:rPr>
                <w:rFonts w:ascii="Century Schoolbook" w:hAnsi="Century Schoolbook"/>
                <w:color w:val="000000"/>
                <w:sz w:val="20"/>
                <w:szCs w:val="20"/>
                <w:lang w:val="en-GB"/>
              </w:rPr>
              <w:t xml:space="preserve"> </w:t>
            </w:r>
            <w:r w:rsidR="009012CA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3F2275" w:rsidRPr="00F12F46">
              <w:rPr>
                <w:rFonts w:ascii="Century Schoolbook" w:hAnsi="Century Schoolbook"/>
                <w:color w:val="000000"/>
                <w:sz w:val="20"/>
                <w:szCs w:val="32"/>
                <w:lang w:val="en-GB"/>
              </w:rPr>
              <w:t>Epiphytes in Honduras: a geographical analysis of the vascular epiphyte flora and its floristic affinities to other Central American countries</w:t>
            </w:r>
          </w:p>
        </w:tc>
        <w:tc>
          <w:tcPr>
            <w:tcW w:w="1062" w:type="dxa"/>
          </w:tcPr>
          <w:p w:rsidR="00502501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663</w:t>
            </w:r>
          </w:p>
        </w:tc>
      </w:tr>
      <w:tr w:rsidR="00863C18" w:rsidRPr="0020764D" w:rsidTr="007B59EC">
        <w:tc>
          <w:tcPr>
            <w:tcW w:w="8973" w:type="dxa"/>
          </w:tcPr>
          <w:p w:rsidR="00863C18" w:rsidRPr="00E927A7" w:rsidRDefault="00F12F46" w:rsidP="00F12F46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</w:pPr>
            <w:proofErr w:type="spellStart"/>
            <w:r w:rsidRPr="00F12F46">
              <w:rPr>
                <w:rFonts w:ascii="Century Schoolbook" w:eastAsia="H2gtrE" w:hAnsi="Century Schoolbook"/>
                <w:b/>
                <w:bCs/>
                <w:color w:val="000000"/>
                <w:sz w:val="20"/>
                <w:szCs w:val="20"/>
              </w:rPr>
              <w:t>Zubair</w:t>
            </w:r>
            <w:proofErr w:type="spellEnd"/>
            <w:r w:rsidRPr="00F12F46">
              <w:rPr>
                <w:rFonts w:ascii="Century Schoolbook" w:eastAsia="H2gtrE" w:hAnsi="Century Schoolbook"/>
                <w:b/>
                <w:bCs/>
                <w:color w:val="000000"/>
                <w:sz w:val="20"/>
                <w:szCs w:val="20"/>
              </w:rPr>
              <w:t xml:space="preserve"> A. Malik &amp; A. B. Bhatt</w:t>
            </w:r>
            <w:r w:rsidR="003F2275" w:rsidRPr="00E927A7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3F2275" w:rsidRPr="00D55789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Regeneration status of tree species and survival of their seedlings in </w:t>
            </w:r>
            <w:proofErr w:type="spellStart"/>
            <w:r w:rsidR="003F2275" w:rsidRPr="00D55789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Kedarnath</w:t>
            </w:r>
            <w:proofErr w:type="spellEnd"/>
            <w:r w:rsidR="003F2275" w:rsidRPr="00D55789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 Wildlife Sanctuary and its adjoining areas in Western Himalaya, India</w:t>
            </w:r>
          </w:p>
        </w:tc>
        <w:tc>
          <w:tcPr>
            <w:tcW w:w="1062" w:type="dxa"/>
          </w:tcPr>
          <w:p w:rsidR="00863C18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677</w:t>
            </w:r>
          </w:p>
        </w:tc>
      </w:tr>
      <w:tr w:rsidR="003E1853" w:rsidRPr="0020764D" w:rsidTr="007B59EC">
        <w:tc>
          <w:tcPr>
            <w:tcW w:w="8973" w:type="dxa"/>
          </w:tcPr>
          <w:p w:rsidR="003E1853" w:rsidRPr="00E927A7" w:rsidRDefault="00D55789" w:rsidP="00D55789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proofErr w:type="spellStart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Y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>ihua</w:t>
            </w:r>
            <w:proofErr w:type="spellEnd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Xiao,</w:t>
            </w:r>
            <w:r w:rsidRPr="00D55789">
              <w:rPr>
                <w:rFonts w:ascii="Century Schoolbook" w:hAnsi="Century Schoolbook"/>
                <w:b/>
                <w:sz w:val="20"/>
                <w:lang w:val="en-GB"/>
              </w:rPr>
              <w:t xml:space="preserve"> </w:t>
            </w:r>
            <w:proofErr w:type="spellStart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F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>uchun</w:t>
            </w:r>
            <w:proofErr w:type="spellEnd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 xml:space="preserve"> 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Tong,</w:t>
            </w:r>
            <w:r w:rsidRPr="00D55789">
              <w:rPr>
                <w:rFonts w:ascii="Century Schoolbook" w:hAnsi="Century Schoolbook"/>
                <w:b/>
                <w:sz w:val="20"/>
                <w:lang w:val="en-GB"/>
              </w:rPr>
              <w:t xml:space="preserve"> </w:t>
            </w:r>
            <w:proofErr w:type="spellStart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S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>hirong</w:t>
            </w:r>
            <w:proofErr w:type="spellEnd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Liu,</w:t>
            </w:r>
            <w:r w:rsidRPr="00D55789">
              <w:rPr>
                <w:rFonts w:ascii="Century Schoolbook" w:hAnsi="Century Schoolbook"/>
                <w:b/>
                <w:sz w:val="20"/>
                <w:lang w:val="en-GB"/>
              </w:rPr>
              <w:t xml:space="preserve"> </w:t>
            </w:r>
            <w:proofErr w:type="spellStart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Y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>uanwen</w:t>
            </w:r>
            <w:proofErr w:type="spellEnd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Kuang</w:t>
            </w:r>
            <w:proofErr w:type="spellEnd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 xml:space="preserve">, </w:t>
            </w:r>
            <w:proofErr w:type="spellStart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B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>ufeng</w:t>
            </w:r>
            <w:proofErr w:type="spellEnd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Chen 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>&amp;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>J</w:t>
            </w:r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 w:eastAsia="zh-CN"/>
              </w:rPr>
              <w:t>unbiao</w:t>
            </w:r>
            <w:proofErr w:type="spellEnd"/>
            <w:r w:rsidRPr="00D55789">
              <w:rPr>
                <w:rFonts w:ascii="Century Schoolbook" w:hAnsi="Century Schoolbook"/>
                <w:b/>
                <w:sz w:val="20"/>
                <w:szCs w:val="20"/>
                <w:lang w:val="en-GB"/>
              </w:rPr>
              <w:t xml:space="preserve"> Huang</w:t>
            </w:r>
            <w:r w:rsidRPr="00D55789">
              <w:rPr>
                <w:rFonts w:ascii="Century Schoolbook" w:hAnsi="Century Schoolbook"/>
                <w:b/>
                <w:sz w:val="20"/>
                <w:szCs w:val="32"/>
                <w:lang w:val="en-GB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3F2275" w:rsidRPr="00D55789">
              <w:rPr>
                <w:rFonts w:ascii="Century Schoolbook" w:hAnsi="Century Schoolbook"/>
                <w:sz w:val="20"/>
                <w:szCs w:val="32"/>
                <w:lang w:val="en-GB"/>
              </w:rPr>
              <w:t>Response of soil labile organic carbon fractions to forest conversions in subtropical China</w:t>
            </w:r>
          </w:p>
        </w:tc>
        <w:tc>
          <w:tcPr>
            <w:tcW w:w="1062" w:type="dxa"/>
          </w:tcPr>
          <w:p w:rsidR="003E1853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691</w:t>
            </w:r>
          </w:p>
        </w:tc>
      </w:tr>
      <w:tr w:rsidR="00C47CEA" w:rsidRPr="0020764D" w:rsidTr="007B59EC">
        <w:tc>
          <w:tcPr>
            <w:tcW w:w="8973" w:type="dxa"/>
          </w:tcPr>
          <w:p w:rsidR="00C47CEA" w:rsidRPr="00E927A7" w:rsidRDefault="00E927A7" w:rsidP="00D55789">
            <w:pPr>
              <w:widowControl w:val="0"/>
              <w:autoSpaceDE w:val="0"/>
              <w:autoSpaceDN w:val="0"/>
              <w:adjustRightInd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bCs/>
                <w:sz w:val="20"/>
                <w:szCs w:val="20"/>
              </w:rPr>
            </w:pPr>
            <w:r w:rsidRPr="00D55789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Randall W. </w:t>
            </w:r>
            <w:proofErr w:type="spellStart"/>
            <w:r w:rsidRPr="00D55789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>Myster</w:t>
            </w:r>
            <w:proofErr w:type="spellEnd"/>
            <w:r w:rsidR="00D55789">
              <w:rPr>
                <w:rFonts w:ascii="Century Schoolbook" w:hAnsi="Century Schoolbook"/>
                <w:color w:val="000000"/>
                <w:sz w:val="20"/>
                <w:szCs w:val="20"/>
                <w:lang w:val="en-GB"/>
              </w:rPr>
              <w:t xml:space="preserve"> </w:t>
            </w:r>
            <w:r w:rsidR="00D55789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Pr="00D55789">
              <w:rPr>
                <w:rStyle w:val="PCW-B"/>
                <w:rFonts w:ascii="Century Schoolbook" w:hAnsi="Century Schoolbook"/>
                <w:b w:val="0"/>
                <w:bCs w:val="0"/>
                <w:color w:val="000000"/>
                <w:sz w:val="20"/>
                <w:szCs w:val="32"/>
                <w:lang w:val="en-GB"/>
              </w:rPr>
              <w:t>Productivity/Turnover and Richness/Turnover relationships in a Puerto Rican pasture</w:t>
            </w:r>
          </w:p>
        </w:tc>
        <w:tc>
          <w:tcPr>
            <w:tcW w:w="1062" w:type="dxa"/>
          </w:tcPr>
          <w:p w:rsidR="00C47CEA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701</w:t>
            </w:r>
          </w:p>
        </w:tc>
      </w:tr>
      <w:tr w:rsidR="00BA1580" w:rsidRPr="0020764D" w:rsidTr="007B59EC">
        <w:tc>
          <w:tcPr>
            <w:tcW w:w="8973" w:type="dxa"/>
          </w:tcPr>
          <w:p w:rsidR="00BA1580" w:rsidRPr="00E927A7" w:rsidRDefault="00916CF1" w:rsidP="00916CF1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</w:pPr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 xml:space="preserve">Fabio </w:t>
            </w:r>
            <w:proofErr w:type="spellStart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>Petrozzi</w:t>
            </w:r>
            <w:proofErr w:type="spellEnd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 xml:space="preserve">, Emmanuel M. </w:t>
            </w:r>
            <w:proofErr w:type="spellStart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>Hema</w:t>
            </w:r>
            <w:proofErr w:type="spellEnd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 xml:space="preserve">, Luca </w:t>
            </w:r>
            <w:proofErr w:type="spellStart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>Luiselli</w:t>
            </w:r>
            <w:proofErr w:type="spellEnd"/>
            <w:r w:rsidR="00E70EB1">
              <w:rPr>
                <w:rFonts w:ascii="Century Schoolbook" w:hAnsi="Century Schoolbook"/>
                <w:b/>
                <w:bCs/>
                <w:color w:val="000000"/>
                <w:position w:val="11"/>
                <w:sz w:val="20"/>
                <w:szCs w:val="22"/>
                <w:lang w:val="en-GB"/>
              </w:rPr>
              <w:t xml:space="preserve"> </w:t>
            </w:r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 xml:space="preserve">&amp; </w:t>
            </w:r>
            <w:proofErr w:type="spellStart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>Wendengoudi</w:t>
            </w:r>
            <w:proofErr w:type="spellEnd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hAnsi="Century Schoolbook"/>
                <w:b/>
                <w:bCs/>
                <w:iCs/>
                <w:color w:val="000000"/>
                <w:sz w:val="20"/>
                <w:szCs w:val="20"/>
                <w:lang w:val="en-GB"/>
              </w:rPr>
              <w:t>Guenda</w:t>
            </w:r>
            <w:proofErr w:type="spellEnd"/>
            <w:r w:rsidR="00E927A7" w:rsidRPr="00E927A7">
              <w:rPr>
                <w:rFonts w:ascii="Century Schoolbook" w:hAnsi="Century Schoolbook"/>
                <w:b/>
                <w:iCs/>
                <w:color w:val="000000"/>
                <w:sz w:val="20"/>
                <w:szCs w:val="32"/>
                <w:lang w:val="en-GB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E927A7" w:rsidRPr="00916CF1">
              <w:rPr>
                <w:rFonts w:ascii="Century Schoolbook" w:hAnsi="Century Schoolbook"/>
                <w:bCs/>
                <w:iCs/>
                <w:color w:val="000000"/>
                <w:sz w:val="20"/>
                <w:szCs w:val="32"/>
                <w:lang w:val="en-GB"/>
              </w:rPr>
              <w:t xml:space="preserve">A survey of the potential distribution of the threatened tortoise </w:t>
            </w:r>
            <w:proofErr w:type="spellStart"/>
            <w:r w:rsidR="00E927A7" w:rsidRPr="00916CF1">
              <w:rPr>
                <w:rFonts w:ascii="Century Schoolbook" w:hAnsi="Century Schoolbook"/>
                <w:bCs/>
                <w:i/>
                <w:iCs/>
                <w:color w:val="000000"/>
                <w:sz w:val="20"/>
                <w:szCs w:val="32"/>
                <w:lang w:val="en-GB"/>
              </w:rPr>
              <w:t>Centrochelys</w:t>
            </w:r>
            <w:proofErr w:type="spellEnd"/>
            <w:r w:rsidR="00E927A7" w:rsidRPr="00916CF1">
              <w:rPr>
                <w:rFonts w:ascii="Century Schoolbook" w:hAnsi="Century Schoolbook"/>
                <w:bCs/>
                <w:i/>
                <w:iCs/>
                <w:color w:val="000000"/>
                <w:sz w:val="20"/>
                <w:szCs w:val="32"/>
                <w:lang w:val="en-GB"/>
              </w:rPr>
              <w:t xml:space="preserve"> </w:t>
            </w:r>
            <w:proofErr w:type="spellStart"/>
            <w:r w:rsidR="00E927A7" w:rsidRPr="00916CF1">
              <w:rPr>
                <w:rFonts w:ascii="Century Schoolbook" w:hAnsi="Century Schoolbook"/>
                <w:bCs/>
                <w:i/>
                <w:iCs/>
                <w:color w:val="000000"/>
                <w:sz w:val="20"/>
                <w:szCs w:val="32"/>
                <w:lang w:val="en-GB"/>
              </w:rPr>
              <w:t>sulcata</w:t>
            </w:r>
            <w:proofErr w:type="spellEnd"/>
            <w:r w:rsidR="00E927A7" w:rsidRPr="00916CF1">
              <w:rPr>
                <w:rFonts w:ascii="Century Schoolbook" w:hAnsi="Century Schoolbook"/>
                <w:bCs/>
                <w:iCs/>
                <w:color w:val="000000"/>
                <w:sz w:val="20"/>
                <w:szCs w:val="32"/>
                <w:lang w:val="en-GB"/>
              </w:rPr>
              <w:t xml:space="preserve"> populations in Burkina Faso (West Africa)</w:t>
            </w:r>
          </w:p>
        </w:tc>
        <w:tc>
          <w:tcPr>
            <w:tcW w:w="1062" w:type="dxa"/>
          </w:tcPr>
          <w:p w:rsidR="00BA1580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709</w:t>
            </w:r>
          </w:p>
        </w:tc>
      </w:tr>
      <w:tr w:rsidR="00C47CEA" w:rsidRPr="0020764D" w:rsidTr="007B59EC">
        <w:tc>
          <w:tcPr>
            <w:tcW w:w="8973" w:type="dxa"/>
          </w:tcPr>
          <w:p w:rsidR="00C47CEA" w:rsidRPr="00E927A7" w:rsidRDefault="00916CF1" w:rsidP="00916CF1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Sylvanus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Mensah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, </w:t>
            </w:r>
            <w:r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Thierry </w:t>
            </w:r>
            <w:proofErr w:type="spellStart"/>
            <w:r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>Dèhouégnon</w:t>
            </w:r>
            <w:proofErr w:type="spellEnd"/>
            <w:r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>Houéhanou</w:t>
            </w:r>
            <w:proofErr w:type="spellEnd"/>
            <w:r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Achille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Ephrem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Assogbadjo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, Kenneth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Agbesi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Anyomi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,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Amadé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Ouedraogo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vertAlign w:val="superscript"/>
                <w:lang w:val="en-GB"/>
              </w:rPr>
              <w:t xml:space="preserve"> </w:t>
            </w:r>
            <w:r w:rsidRPr="00916CF1">
              <w:rPr>
                <w:rFonts w:ascii="Century Schoolbook" w:hAnsi="Century Schoolbook" w:cs="CenturySchoolbook"/>
                <w:b/>
                <w:bCs/>
                <w:color w:val="000000"/>
                <w:sz w:val="20"/>
                <w:szCs w:val="20"/>
                <w:lang w:val="en-GB"/>
              </w:rPr>
              <w:t xml:space="preserve">&amp;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Romain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Glèlè</w:t>
            </w:r>
            <w:proofErr w:type="spellEnd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 xml:space="preserve"> </w:t>
            </w:r>
            <w:proofErr w:type="spellStart"/>
            <w:r w:rsidRPr="00916CF1">
              <w:rPr>
                <w:rFonts w:ascii="Century Schoolbook" w:eastAsia="Calibri" w:hAnsi="Century Schoolbook"/>
                <w:b/>
                <w:bCs/>
                <w:color w:val="000000"/>
                <w:sz w:val="20"/>
                <w:szCs w:val="20"/>
                <w:lang w:val="en-GB"/>
              </w:rPr>
              <w:t>Kakaï</w:t>
            </w:r>
            <w:proofErr w:type="spellEnd"/>
            <w:r w:rsidR="00E927A7" w:rsidRPr="00E927A7">
              <w:rPr>
                <w:rFonts w:ascii="Century Schoolbook" w:hAnsi="Century Schoolbook"/>
                <w:b/>
                <w:color w:val="000000"/>
                <w:sz w:val="20"/>
                <w:szCs w:val="32"/>
                <w:lang w:val="en-GB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E927A7" w:rsidRPr="00916CF1">
              <w:rPr>
                <w:rFonts w:ascii="Century Schoolbook" w:hAnsi="Century Schoolbook"/>
                <w:bCs/>
                <w:color w:val="000000"/>
                <w:sz w:val="20"/>
                <w:szCs w:val="32"/>
                <w:lang w:val="en-GB"/>
              </w:rPr>
              <w:t xml:space="preserve">Latitudinal variation in the woody species diversity of </w:t>
            </w:r>
            <w:proofErr w:type="spellStart"/>
            <w:r w:rsidR="00E927A7" w:rsidRPr="00916CF1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  <w:lang w:val="en-GB"/>
              </w:rPr>
              <w:t>Afzelia</w:t>
            </w:r>
            <w:proofErr w:type="spellEnd"/>
            <w:r w:rsidR="00E927A7" w:rsidRPr="00916CF1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  <w:lang w:val="en-GB"/>
              </w:rPr>
              <w:t xml:space="preserve"> </w:t>
            </w:r>
            <w:proofErr w:type="spellStart"/>
            <w:r w:rsidR="00E927A7" w:rsidRPr="00916CF1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  <w:lang w:val="en-GB"/>
              </w:rPr>
              <w:t>africana</w:t>
            </w:r>
            <w:proofErr w:type="spellEnd"/>
            <w:r w:rsidR="00E927A7" w:rsidRPr="00916CF1">
              <w:rPr>
                <w:rFonts w:ascii="Century Schoolbook" w:hAnsi="Century Schoolbook"/>
                <w:bCs/>
                <w:color w:val="000000"/>
                <w:sz w:val="20"/>
                <w:szCs w:val="32"/>
                <w:lang w:val="en-GB"/>
              </w:rPr>
              <w:t xml:space="preserve"> Sm. habitats in West Africa</w:t>
            </w:r>
          </w:p>
        </w:tc>
        <w:tc>
          <w:tcPr>
            <w:tcW w:w="1062" w:type="dxa"/>
          </w:tcPr>
          <w:p w:rsidR="00C47CEA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0"/>
                <w:szCs w:val="20"/>
              </w:rPr>
              <w:t>717</w:t>
            </w:r>
          </w:p>
        </w:tc>
      </w:tr>
      <w:tr w:rsidR="001A1A75" w:rsidRPr="0020764D" w:rsidTr="007B59EC">
        <w:tc>
          <w:tcPr>
            <w:tcW w:w="8973" w:type="dxa"/>
          </w:tcPr>
          <w:p w:rsidR="001A1A75" w:rsidRPr="00E927A7" w:rsidRDefault="00E70EB1" w:rsidP="00E70EB1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r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HD</w:t>
            </w:r>
            <w:r w:rsidR="00916CF1"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Gong, H Wang, D</w:t>
            </w:r>
            <w:r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Y</w:t>
            </w:r>
            <w:r w:rsidR="00916CF1"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Jiao &amp; Z</w:t>
            </w:r>
            <w:r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Q</w:t>
            </w:r>
            <w:r w:rsidR="00916CF1"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916CF1" w:rsidRPr="00916CF1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Cai</w:t>
            </w:r>
            <w:proofErr w:type="spellEnd"/>
            <w:r w:rsidR="00916CF1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916CF1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E927A7" w:rsidRPr="00916CF1">
              <w:rPr>
                <w:rFonts w:ascii="Century Schoolbook" w:hAnsi="Century Schoolbook" w:hint="eastAsia"/>
                <w:bCs/>
                <w:color w:val="000000"/>
                <w:sz w:val="20"/>
                <w:szCs w:val="32"/>
              </w:rPr>
              <w:t>P</w:t>
            </w:r>
            <w:r w:rsidR="00E927A7" w:rsidRPr="00916CF1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henotypic plasticity of seedlings of five tropical tree species in response to different light and nutrient availability</w:t>
            </w:r>
          </w:p>
        </w:tc>
        <w:tc>
          <w:tcPr>
            <w:tcW w:w="1062" w:type="dxa"/>
          </w:tcPr>
          <w:p w:rsidR="001A1A75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727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E927A7" w:rsidRDefault="00420A93" w:rsidP="00420A93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Dismas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Hakizimana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, Marie-Claude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Huynen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&amp; Alain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Hambuckers</w:t>
            </w:r>
            <w:proofErr w:type="spellEnd"/>
            <w:r w:rsidR="00E927A7" w:rsidRPr="00E927A7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Structure and floristic composition of </w:t>
            </w:r>
            <w:proofErr w:type="spellStart"/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Kibira</w:t>
            </w:r>
            <w:proofErr w:type="spellEnd"/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 rainforest, Burundi</w:t>
            </w:r>
          </w:p>
        </w:tc>
        <w:tc>
          <w:tcPr>
            <w:tcW w:w="1062" w:type="dxa"/>
          </w:tcPr>
          <w:p w:rsidR="00F65B80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739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E927A7" w:rsidRDefault="00420A93" w:rsidP="00420A93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sv-SE"/>
              </w:rPr>
              <w:t>Ghanashyam Sharma, Ben Hunsdorfer, K.</w:t>
            </w:r>
            <w:r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sv-SE"/>
              </w:rPr>
              <w:t xml:space="preserve"> </w:t>
            </w:r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  <w:lang w:val="sv-SE"/>
              </w:rPr>
              <w:t>K. Singh</w:t>
            </w:r>
            <w:r w:rsidR="00E927A7" w:rsidRPr="00E927A7">
              <w:rPr>
                <w:rFonts w:ascii="Century Schoolbook" w:hAnsi="Century Schoolbook"/>
                <w:b/>
                <w:color w:val="000000"/>
                <w:sz w:val="20"/>
                <w:szCs w:val="32"/>
                <w:lang w:val="en-IN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  <w:lang w:val="en-IN"/>
              </w:rPr>
              <w:t>Comparative analysis on the socio-ecological and economic potentials of traditional agroforestry systems in the Sikkim Himalaya</w:t>
            </w:r>
          </w:p>
        </w:tc>
        <w:tc>
          <w:tcPr>
            <w:tcW w:w="1062" w:type="dxa"/>
          </w:tcPr>
          <w:p w:rsidR="00F65B80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751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E927A7" w:rsidRDefault="00420A93" w:rsidP="00420A93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Upatissa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R.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Sangakkara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 xml:space="preserve"> &amp; Emmanuel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color w:val="000000"/>
                <w:sz w:val="20"/>
                <w:szCs w:val="20"/>
              </w:rPr>
              <w:t>Frossard</w:t>
            </w:r>
            <w:proofErr w:type="spellEnd"/>
            <w:r w:rsidR="00E927A7" w:rsidRPr="00E927A7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Characteristics of South Asian rural households and associated home gardens - A case study from Sri Lanka</w:t>
            </w:r>
          </w:p>
        </w:tc>
        <w:tc>
          <w:tcPr>
            <w:tcW w:w="1062" w:type="dxa"/>
          </w:tcPr>
          <w:p w:rsidR="00F65B80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765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E927A7" w:rsidRDefault="00E927A7" w:rsidP="00420A93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lastRenderedPageBreak/>
              <w:t>Razikin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>Amalina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,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>Zainudin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>Bachok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&amp; </w:t>
            </w:r>
            <w:proofErr w:type="spellStart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>Takaomi</w:t>
            </w:r>
            <w:proofErr w:type="spellEnd"/>
            <w:r w:rsidRPr="00420A93">
              <w:rPr>
                <w:rFonts w:ascii="Century Schoolbook" w:hAnsi="Century Schoolbook"/>
                <w:b/>
                <w:bCs/>
                <w:sz w:val="20"/>
                <w:szCs w:val="20"/>
              </w:rPr>
              <w:t xml:space="preserve"> Arai</w:t>
            </w:r>
            <w:r w:rsidRPr="00E927A7">
              <w:rPr>
                <w:rFonts w:ascii="Century Schoolbook" w:hAnsi="Century Schoolbook"/>
                <w:b/>
                <w:sz w:val="20"/>
                <w:szCs w:val="32"/>
              </w:rPr>
              <w:t xml:space="preserve"> </w:t>
            </w:r>
            <w:r w:rsidR="00420A93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Pr="00420A93">
              <w:rPr>
                <w:rFonts w:ascii="Century Schoolbook" w:hAnsi="Century Schoolbook"/>
                <w:bCs/>
                <w:sz w:val="20"/>
                <w:szCs w:val="32"/>
              </w:rPr>
              <w:t xml:space="preserve">Influence of growth on fatty acid composition of the moon wrasse </w:t>
            </w:r>
            <w:proofErr w:type="spellStart"/>
            <w:r w:rsidRPr="00420A93">
              <w:rPr>
                <w:rFonts w:ascii="Century Schoolbook" w:hAnsi="Century Schoolbook"/>
                <w:bCs/>
                <w:i/>
                <w:sz w:val="20"/>
                <w:szCs w:val="32"/>
              </w:rPr>
              <w:t>Thalassoma</w:t>
            </w:r>
            <w:proofErr w:type="spellEnd"/>
            <w:r w:rsidRPr="00420A93">
              <w:rPr>
                <w:rFonts w:ascii="Century Schoolbook" w:hAnsi="Century Schoolbook"/>
                <w:bCs/>
                <w:i/>
                <w:sz w:val="20"/>
                <w:szCs w:val="32"/>
              </w:rPr>
              <w:t xml:space="preserve"> </w:t>
            </w:r>
            <w:proofErr w:type="spellStart"/>
            <w:r w:rsidRPr="00420A93">
              <w:rPr>
                <w:rFonts w:ascii="Century Schoolbook" w:hAnsi="Century Schoolbook"/>
                <w:bCs/>
                <w:i/>
                <w:sz w:val="20"/>
                <w:szCs w:val="32"/>
              </w:rPr>
              <w:t>lunare</w:t>
            </w:r>
            <w:proofErr w:type="spellEnd"/>
            <w:r w:rsidRPr="00420A93">
              <w:rPr>
                <w:rFonts w:ascii="Century Schoolbook" w:hAnsi="Century Schoolbook"/>
                <w:bCs/>
                <w:sz w:val="20"/>
                <w:szCs w:val="32"/>
              </w:rPr>
              <w:t xml:space="preserve"> collected in coral reef habitats of the Malaysian South China Sea</w:t>
            </w:r>
          </w:p>
        </w:tc>
        <w:tc>
          <w:tcPr>
            <w:tcW w:w="1062" w:type="dxa"/>
          </w:tcPr>
          <w:p w:rsidR="00F65B80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779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E927A7" w:rsidRDefault="00420A93" w:rsidP="00420A93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Aijaz</w:t>
            </w:r>
            <w:proofErr w:type="spellEnd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Hassan </w:t>
            </w:r>
            <w:proofErr w:type="spellStart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Ganie</w:t>
            </w:r>
            <w:proofErr w:type="spellEnd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Zafar</w:t>
            </w:r>
            <w:proofErr w:type="spellEnd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A. </w:t>
            </w:r>
            <w:proofErr w:type="spellStart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Reshi</w:t>
            </w:r>
            <w:proofErr w:type="spellEnd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 &amp; B. A. </w:t>
            </w:r>
            <w:proofErr w:type="spellStart"/>
            <w:r w:rsidRPr="00420A93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Wafai</w:t>
            </w:r>
            <w:proofErr w:type="spellEnd"/>
            <w:r w:rsidR="00E927A7" w:rsidRPr="00E927A7"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 </w:t>
            </w:r>
            <w:r>
              <w:rPr>
                <w:rFonts w:ascii="Century Schoolbook" w:hAnsi="Century Schoolbook"/>
                <w:b/>
                <w:color w:val="000000"/>
                <w:sz w:val="20"/>
                <w:szCs w:val="32"/>
              </w:rPr>
              <w:t xml:space="preserve">– </w:t>
            </w:r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Reproductive ecology of </w:t>
            </w:r>
            <w:proofErr w:type="spellStart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>Potamogeton</w:t>
            </w:r>
            <w:proofErr w:type="spellEnd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>pectinatus</w:t>
            </w:r>
            <w:proofErr w:type="spellEnd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 xml:space="preserve"> </w:t>
            </w:r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L. (= </w:t>
            </w:r>
            <w:proofErr w:type="spellStart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>Stuckenia</w:t>
            </w:r>
            <w:proofErr w:type="spellEnd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 xml:space="preserve"> </w:t>
            </w:r>
            <w:proofErr w:type="spellStart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>pectinata</w:t>
            </w:r>
            <w:proofErr w:type="spellEnd"/>
            <w:r w:rsidR="00E927A7" w:rsidRPr="00420A93">
              <w:rPr>
                <w:rFonts w:ascii="Century Schoolbook" w:hAnsi="Century Schoolbook"/>
                <w:bCs/>
                <w:i/>
                <w:color w:val="000000"/>
                <w:sz w:val="20"/>
                <w:szCs w:val="32"/>
              </w:rPr>
              <w:t xml:space="preserve"> </w:t>
            </w:r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 xml:space="preserve">(L.) </w:t>
            </w:r>
            <w:proofErr w:type="spellStart"/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Börner</w:t>
            </w:r>
            <w:proofErr w:type="spellEnd"/>
            <w:r w:rsidR="00E927A7" w:rsidRPr="00420A93">
              <w:rPr>
                <w:rFonts w:ascii="Century Schoolbook" w:hAnsi="Century Schoolbook"/>
                <w:bCs/>
                <w:color w:val="000000"/>
                <w:sz w:val="20"/>
                <w:szCs w:val="32"/>
              </w:rPr>
              <w:t>) in relation to its spread and abundance in freshwater ecosystems of the Kashmir Valley, India</w:t>
            </w:r>
          </w:p>
        </w:tc>
        <w:tc>
          <w:tcPr>
            <w:tcW w:w="1062" w:type="dxa"/>
          </w:tcPr>
          <w:p w:rsidR="00F65B80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787</w:t>
            </w:r>
          </w:p>
        </w:tc>
      </w:tr>
      <w:tr w:rsidR="00F65B80" w:rsidRPr="0020764D" w:rsidTr="007B59EC">
        <w:tc>
          <w:tcPr>
            <w:tcW w:w="8973" w:type="dxa"/>
          </w:tcPr>
          <w:p w:rsidR="00F65B80" w:rsidRPr="00E927A7" w:rsidRDefault="009260E7" w:rsidP="009260E7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Margaretha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Van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Rooyen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, Noel Van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Rooyen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, Ben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Orban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, Gilbert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Nsongola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, Edmond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Sylvestre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Miabangana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position w:val="11"/>
                <w:sz w:val="20"/>
                <w:szCs w:val="22"/>
              </w:rPr>
              <w:t xml:space="preserve"> </w:t>
            </w:r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&amp;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Jérôme</w:t>
            </w:r>
            <w:proofErr w:type="spellEnd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60E7">
              <w:rPr>
                <w:rFonts w:ascii="Century Schoolbook" w:hAnsi="Century Schoolbook"/>
                <w:b/>
                <w:color w:val="000000" w:themeColor="text1"/>
                <w:sz w:val="20"/>
                <w:szCs w:val="20"/>
              </w:rPr>
              <w:t>Gaugris</w:t>
            </w:r>
            <w:proofErr w:type="spellEnd"/>
            <w:r w:rsidRPr="00E927A7"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Pr="009260E7">
              <w:rPr>
                <w:rFonts w:ascii="Century Schoolbook" w:hAnsi="Century Schoolbook"/>
                <w:bCs/>
                <w:color w:val="000000" w:themeColor="text1"/>
                <w:sz w:val="20"/>
                <w:szCs w:val="32"/>
              </w:rPr>
              <w:t xml:space="preserve">Floristic composition, diversity and structure of the forest communities in the </w:t>
            </w:r>
            <w:proofErr w:type="spellStart"/>
            <w:r w:rsidRPr="009260E7">
              <w:rPr>
                <w:rFonts w:ascii="Century Schoolbook" w:hAnsi="Century Schoolbook"/>
                <w:bCs/>
                <w:color w:val="000000" w:themeColor="text1"/>
                <w:sz w:val="20"/>
                <w:szCs w:val="32"/>
              </w:rPr>
              <w:t>Kouilou</w:t>
            </w:r>
            <w:proofErr w:type="spellEnd"/>
            <w:r w:rsidRPr="009260E7">
              <w:rPr>
                <w:rFonts w:ascii="Century Schoolbook" w:hAnsi="Century Schoolbook"/>
                <w:bCs/>
                <w:color w:val="000000" w:themeColor="text1"/>
                <w:sz w:val="20"/>
                <w:szCs w:val="32"/>
              </w:rPr>
              <w:t xml:space="preserve"> </w:t>
            </w:r>
            <w:proofErr w:type="spellStart"/>
            <w:r w:rsidRPr="009260E7">
              <w:rPr>
                <w:rFonts w:ascii="Century Schoolbook" w:hAnsi="Century Schoolbook"/>
                <w:bCs/>
                <w:color w:val="000000" w:themeColor="text1"/>
                <w:sz w:val="20"/>
                <w:szCs w:val="32"/>
              </w:rPr>
              <w:t>Département</w:t>
            </w:r>
            <w:proofErr w:type="spellEnd"/>
            <w:r w:rsidRPr="009260E7">
              <w:rPr>
                <w:rFonts w:ascii="Century Schoolbook" w:hAnsi="Century Schoolbook"/>
                <w:bCs/>
                <w:color w:val="000000" w:themeColor="text1"/>
                <w:sz w:val="20"/>
                <w:szCs w:val="32"/>
              </w:rPr>
              <w:t>, Republic of Congo</w:t>
            </w:r>
          </w:p>
        </w:tc>
        <w:tc>
          <w:tcPr>
            <w:tcW w:w="1062" w:type="dxa"/>
          </w:tcPr>
          <w:p w:rsidR="00F65B80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805</w:t>
            </w:r>
          </w:p>
        </w:tc>
      </w:tr>
      <w:tr w:rsidR="0020764D" w:rsidRPr="0020764D" w:rsidTr="007B59EC">
        <w:tc>
          <w:tcPr>
            <w:tcW w:w="8973" w:type="dxa"/>
          </w:tcPr>
          <w:p w:rsidR="0020764D" w:rsidRPr="00E927A7" w:rsidRDefault="009260E7" w:rsidP="009260E7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Y.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Palchowdhuri</w:t>
            </w:r>
            <w:proofErr w:type="spellEnd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, A.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Vyas</w:t>
            </w:r>
            <w:proofErr w:type="spellEnd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, D.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Kushwaha</w:t>
            </w:r>
            <w:proofErr w:type="spellEnd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, A. Roy</w:t>
            </w:r>
            <w:r w:rsidR="00E70EB1">
              <w:rPr>
                <w:rFonts w:ascii="Century Schoolbook" w:hAnsi="Century Schoolbook"/>
                <w:b/>
                <w:bCs/>
                <w:color w:val="000000" w:themeColor="text1"/>
                <w:position w:val="11"/>
                <w:sz w:val="20"/>
                <w:szCs w:val="22"/>
              </w:rPr>
              <w:t xml:space="preserve"> </w:t>
            </w:r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&amp; P. S. Roy</w:t>
            </w:r>
            <w:r w:rsidR="00E927A7" w:rsidRPr="00E927A7">
              <w:rPr>
                <w:rFonts w:ascii="Century Schoolbook" w:hAnsi="Century Schoolbook"/>
                <w:b/>
                <w:color w:val="000000" w:themeColor="text1"/>
                <w:sz w:val="20"/>
                <w:szCs w:val="32"/>
              </w:rPr>
              <w:t xml:space="preserve"> </w:t>
            </w:r>
            <w:r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E927A7" w:rsidRPr="009260E7">
              <w:rPr>
                <w:rFonts w:ascii="Century Schoolbook" w:hAnsi="Century Schoolbook"/>
                <w:bCs/>
                <w:color w:val="000000" w:themeColor="text1"/>
                <w:sz w:val="20"/>
                <w:szCs w:val="32"/>
              </w:rPr>
              <w:t>Quantitative assessment of aboveground carbon dynamics in temperate forest of Shimla district</w:t>
            </w:r>
          </w:p>
        </w:tc>
        <w:tc>
          <w:tcPr>
            <w:tcW w:w="1062" w:type="dxa"/>
          </w:tcPr>
          <w:p w:rsidR="0020764D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825</w:t>
            </w:r>
          </w:p>
        </w:tc>
      </w:tr>
      <w:tr w:rsidR="0020764D" w:rsidRPr="0020764D" w:rsidTr="007B59EC">
        <w:tc>
          <w:tcPr>
            <w:tcW w:w="8973" w:type="dxa"/>
          </w:tcPr>
          <w:p w:rsidR="0020764D" w:rsidRPr="00E927A7" w:rsidRDefault="009260E7" w:rsidP="009260E7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Takura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Mutusva</w:t>
            </w:r>
            <w:proofErr w:type="spellEnd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Shakkie</w:t>
            </w:r>
            <w:proofErr w:type="spellEnd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Kativu</w:t>
            </w:r>
            <w:proofErr w:type="spellEnd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, Isaac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Mapaure</w:t>
            </w:r>
            <w:proofErr w:type="spellEnd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&amp; Edson </w:t>
            </w:r>
            <w:proofErr w:type="spellStart"/>
            <w:r w:rsidRPr="009260E7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Gandiwa</w:t>
            </w:r>
            <w:proofErr w:type="spellEnd"/>
            <w:r w:rsidR="00E927A7" w:rsidRPr="00E927A7">
              <w:rPr>
                <w:rStyle w:val="Heading1Char"/>
                <w:rFonts w:ascii="Century Schoolbook" w:hAnsi="Century Schoolbook"/>
                <w:b/>
                <w:bCs/>
                <w:color w:val="000000" w:themeColor="text1"/>
                <w:sz w:val="20"/>
                <w:szCs w:val="32"/>
              </w:rPr>
              <w:t xml:space="preserve"> </w:t>
            </w:r>
            <w:r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E927A7" w:rsidRPr="009260E7">
              <w:rPr>
                <w:rStyle w:val="Heading1Char"/>
                <w:rFonts w:ascii="Century Schoolbook" w:hAnsi="Century Schoolbook"/>
                <w:color w:val="000000" w:themeColor="text1"/>
                <w:sz w:val="20"/>
                <w:szCs w:val="32"/>
              </w:rPr>
              <w:t xml:space="preserve">Diversity, population structure and regeneration patterns of </w:t>
            </w:r>
            <w:proofErr w:type="spellStart"/>
            <w:r w:rsidR="00E927A7" w:rsidRPr="009260E7">
              <w:rPr>
                <w:rStyle w:val="goohl0"/>
                <w:rFonts w:ascii="Century Schoolbook" w:hAnsi="Century Schoolbook"/>
                <w:i/>
                <w:color w:val="000000" w:themeColor="text1"/>
                <w:sz w:val="20"/>
                <w:szCs w:val="32"/>
              </w:rPr>
              <w:t>Faidherbia</w:t>
            </w:r>
            <w:proofErr w:type="spellEnd"/>
            <w:r w:rsidR="00E927A7" w:rsidRPr="009260E7">
              <w:rPr>
                <w:rStyle w:val="goohl0"/>
                <w:rFonts w:ascii="Century Schoolbook" w:hAnsi="Century Schoolbook"/>
                <w:i/>
                <w:color w:val="000000" w:themeColor="text1"/>
                <w:sz w:val="20"/>
                <w:szCs w:val="32"/>
              </w:rPr>
              <w:t xml:space="preserve"> </w:t>
            </w:r>
            <w:proofErr w:type="spellStart"/>
            <w:r w:rsidR="00E927A7" w:rsidRPr="009260E7">
              <w:rPr>
                <w:rStyle w:val="goohl1"/>
                <w:rFonts w:ascii="Century Schoolbook" w:hAnsi="Century Schoolbook"/>
                <w:i/>
                <w:color w:val="000000" w:themeColor="text1"/>
                <w:sz w:val="20"/>
                <w:szCs w:val="32"/>
              </w:rPr>
              <w:t>albida</w:t>
            </w:r>
            <w:proofErr w:type="spellEnd"/>
            <w:r w:rsidR="00E927A7" w:rsidRPr="009260E7">
              <w:rPr>
                <w:rStyle w:val="goohl1"/>
                <w:rFonts w:ascii="Century Schoolbook" w:hAnsi="Century Schoolbook"/>
                <w:i/>
                <w:color w:val="000000" w:themeColor="text1"/>
                <w:sz w:val="20"/>
                <w:szCs w:val="32"/>
              </w:rPr>
              <w:t xml:space="preserve"> </w:t>
            </w:r>
            <w:r w:rsidR="00E927A7" w:rsidRPr="009260E7">
              <w:rPr>
                <w:rStyle w:val="goohl1"/>
                <w:rFonts w:ascii="Century Schoolbook" w:hAnsi="Century Schoolbook"/>
                <w:color w:val="000000" w:themeColor="text1"/>
                <w:sz w:val="20"/>
                <w:szCs w:val="32"/>
              </w:rPr>
              <w:t xml:space="preserve">vegetation community </w:t>
            </w:r>
            <w:r w:rsidR="00E927A7" w:rsidRPr="009260E7">
              <w:rPr>
                <w:rFonts w:ascii="Century Schoolbook" w:hAnsi="Century Schoolbook"/>
                <w:color w:val="000000" w:themeColor="text1"/>
                <w:sz w:val="20"/>
                <w:szCs w:val="32"/>
              </w:rPr>
              <w:t>in the Zambezi Heartland area</w:t>
            </w:r>
          </w:p>
        </w:tc>
        <w:tc>
          <w:tcPr>
            <w:tcW w:w="1062" w:type="dxa"/>
          </w:tcPr>
          <w:p w:rsidR="0020764D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839</w:t>
            </w:r>
          </w:p>
        </w:tc>
      </w:tr>
      <w:tr w:rsidR="0020764D" w:rsidRPr="0020764D" w:rsidTr="007B59EC">
        <w:tc>
          <w:tcPr>
            <w:tcW w:w="8973" w:type="dxa"/>
          </w:tcPr>
          <w:p w:rsidR="0020764D" w:rsidRPr="00E927A7" w:rsidRDefault="009A016D" w:rsidP="00B44BDD">
            <w:pPr>
              <w:widowControl w:val="0"/>
              <w:spacing w:after="160" w:line="240" w:lineRule="exact"/>
              <w:ind w:left="360" w:hanging="360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proofErr w:type="spellStart"/>
            <w:r w:rsidRPr="009A016D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Ubaid</w:t>
            </w:r>
            <w:proofErr w:type="spellEnd"/>
            <w:r w:rsidRPr="009A016D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9A016D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Yaqoob</w:t>
            </w:r>
            <w:proofErr w:type="spellEnd"/>
            <w:r w:rsidR="00E70EB1">
              <w:rPr>
                <w:rFonts w:ascii="Century Schoolbook" w:hAnsi="Century Schoolbook"/>
                <w:b/>
                <w:bCs/>
                <w:color w:val="000000" w:themeColor="text1"/>
                <w:position w:val="11"/>
                <w:sz w:val="20"/>
                <w:szCs w:val="22"/>
              </w:rPr>
              <w:t xml:space="preserve"> </w:t>
            </w:r>
            <w:r w:rsidRPr="009A016D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&amp; </w:t>
            </w:r>
            <w:proofErr w:type="spellStart"/>
            <w:r w:rsidRPr="009A016D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Irshad</w:t>
            </w:r>
            <w:proofErr w:type="spellEnd"/>
            <w:r w:rsidRPr="009A016D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 xml:space="preserve"> Ahmad </w:t>
            </w:r>
            <w:proofErr w:type="spellStart"/>
            <w:r w:rsidRPr="009A016D">
              <w:rPr>
                <w:rFonts w:ascii="Century Schoolbook" w:hAnsi="Century Schoolbook"/>
                <w:b/>
                <w:bCs/>
                <w:color w:val="000000" w:themeColor="text1"/>
                <w:sz w:val="20"/>
                <w:szCs w:val="20"/>
              </w:rPr>
              <w:t>Nawchoo</w:t>
            </w:r>
            <w:proofErr w:type="spellEnd"/>
            <w:r w:rsidR="00E927A7" w:rsidRPr="00E927A7">
              <w:rPr>
                <w:rFonts w:ascii="Century Schoolbook" w:hAnsi="Century Schoolbook"/>
                <w:b/>
                <w:color w:val="000000" w:themeColor="text1"/>
                <w:sz w:val="20"/>
                <w:szCs w:val="32"/>
              </w:rPr>
              <w:t xml:space="preserve"> </w:t>
            </w:r>
            <w:r>
              <w:rPr>
                <w:rFonts w:ascii="Century Schoolbook" w:hAnsi="Century Schoolbook"/>
                <w:bCs/>
                <w:color w:val="000000" w:themeColor="text1"/>
                <w:sz w:val="20"/>
                <w:szCs w:val="20"/>
              </w:rPr>
              <w:t xml:space="preserve">– </w:t>
            </w:r>
            <w:r w:rsidR="00E927A7" w:rsidRPr="009A016D">
              <w:rPr>
                <w:rFonts w:ascii="Century Schoolbook" w:hAnsi="Century Schoolbook"/>
                <w:bCs/>
                <w:color w:val="000000" w:themeColor="text1"/>
                <w:sz w:val="20"/>
                <w:szCs w:val="32"/>
              </w:rPr>
              <w:t xml:space="preserve">Reproductive ecology of an endangered monocarpic herbaceous perennial, </w:t>
            </w:r>
            <w:r w:rsidR="00E927A7" w:rsidRPr="009A016D">
              <w:rPr>
                <w:rFonts w:ascii="Century Schoolbook" w:hAnsi="Century Schoolbook"/>
                <w:bCs/>
                <w:i/>
                <w:iCs/>
                <w:color w:val="000000" w:themeColor="text1"/>
                <w:sz w:val="20"/>
                <w:szCs w:val="32"/>
              </w:rPr>
              <w:t xml:space="preserve">Ferula </w:t>
            </w:r>
            <w:proofErr w:type="spellStart"/>
            <w:r w:rsidR="00E927A7" w:rsidRPr="009A016D">
              <w:rPr>
                <w:rFonts w:ascii="Century Schoolbook" w:hAnsi="Century Schoolbook"/>
                <w:bCs/>
                <w:i/>
                <w:iCs/>
                <w:color w:val="000000" w:themeColor="text1"/>
                <w:sz w:val="20"/>
                <w:szCs w:val="32"/>
              </w:rPr>
              <w:t>jaeschkeana</w:t>
            </w:r>
            <w:proofErr w:type="spellEnd"/>
            <w:r w:rsidR="00E927A7" w:rsidRPr="009A016D">
              <w:rPr>
                <w:rFonts w:ascii="Century Schoolbook" w:hAnsi="Century Schoolbook"/>
                <w:bCs/>
                <w:i/>
                <w:iCs/>
                <w:color w:val="000000" w:themeColor="text1"/>
                <w:sz w:val="20"/>
                <w:szCs w:val="32"/>
              </w:rPr>
              <w:t xml:space="preserve"> </w:t>
            </w:r>
            <w:proofErr w:type="spellStart"/>
            <w:r w:rsidR="00E927A7" w:rsidRPr="009A016D">
              <w:rPr>
                <w:rFonts w:ascii="Century Schoolbook" w:hAnsi="Century Schoolbook"/>
                <w:bCs/>
                <w:iCs/>
                <w:color w:val="000000" w:themeColor="text1"/>
                <w:sz w:val="20"/>
                <w:szCs w:val="32"/>
              </w:rPr>
              <w:t>Vatke</w:t>
            </w:r>
            <w:proofErr w:type="spellEnd"/>
          </w:p>
        </w:tc>
        <w:tc>
          <w:tcPr>
            <w:tcW w:w="1062" w:type="dxa"/>
          </w:tcPr>
          <w:p w:rsidR="0020764D" w:rsidRPr="0020764D" w:rsidRDefault="001B7B7A" w:rsidP="00480F34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</w:pPr>
            <w:r>
              <w:rPr>
                <w:rFonts w:ascii="Century Schoolbook" w:hAnsi="Century Schoolbook"/>
                <w:i w:val="0"/>
                <w:color w:val="000000"/>
                <w:sz w:val="20"/>
                <w:szCs w:val="20"/>
              </w:rPr>
              <w:t>849</w:t>
            </w:r>
          </w:p>
        </w:tc>
      </w:tr>
    </w:tbl>
    <w:p w:rsidR="00DB0660" w:rsidRPr="006F24FE" w:rsidRDefault="00DB0660" w:rsidP="00C579E2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0A1D10">
      <w:headerReference w:type="default" r:id="rId8"/>
      <w:type w:val="continuous"/>
      <w:pgSz w:w="11909" w:h="16834" w:code="9"/>
      <w:pgMar w:top="2160" w:right="1037" w:bottom="1714" w:left="1037" w:header="144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950" w:rsidRDefault="001A7950">
      <w:r>
        <w:separator/>
      </w:r>
    </w:p>
  </w:endnote>
  <w:endnote w:type="continuationSeparator" w:id="0">
    <w:p w:rsidR="001A7950" w:rsidRDefault="001A7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2gtrE">
    <w:altName w:val="Arial Unicode MS"/>
    <w:panose1 w:val="00000000000000000000"/>
    <w:charset w:val="81"/>
    <w:family w:val="auto"/>
    <w:notTrueType/>
    <w:pitch w:val="default"/>
    <w:sig w:usb0="00000000" w:usb1="09060000" w:usb2="00000010" w:usb3="00000000" w:csb0="00080000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950" w:rsidRDefault="001A7950">
      <w:r>
        <w:separator/>
      </w:r>
    </w:p>
  </w:footnote>
  <w:footnote w:type="continuationSeparator" w:id="0">
    <w:p w:rsidR="001A7950" w:rsidRDefault="001A79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50D3" w:rsidRDefault="001A7950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>
      <w:rPr>
        <w:rFonts w:ascii="Century Schoolbook" w:eastAsia="MS Mincho" w:hAnsi="Century Schoolbook"/>
        <w:i/>
        <w:iCs/>
        <w:noProof/>
        <w:color w:val="000000"/>
        <w:sz w:val="18"/>
        <w:lang w:val="en-US"/>
      </w:rPr>
      <w:pict>
        <v:rect id="_x0000_s2049" style="position:absolute;left:0;text-align:left;margin-left:171.65pt;margin-top:-46.5pt;width:333pt;height:27pt;z-index:251657728" stroked="f"/>
      </w:pic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63EA"/>
    <w:rsid w:val="0000553A"/>
    <w:rsid w:val="0002467F"/>
    <w:rsid w:val="00026AE6"/>
    <w:rsid w:val="000322E9"/>
    <w:rsid w:val="00034233"/>
    <w:rsid w:val="00057526"/>
    <w:rsid w:val="000974AD"/>
    <w:rsid w:val="000A1D10"/>
    <w:rsid w:val="000B314D"/>
    <w:rsid w:val="000B6353"/>
    <w:rsid w:val="000C0816"/>
    <w:rsid w:val="000C33C2"/>
    <w:rsid w:val="000C33DA"/>
    <w:rsid w:val="000C7C46"/>
    <w:rsid w:val="000D326B"/>
    <w:rsid w:val="000E4FFE"/>
    <w:rsid w:val="000E6362"/>
    <w:rsid w:val="00105535"/>
    <w:rsid w:val="001176CE"/>
    <w:rsid w:val="00126373"/>
    <w:rsid w:val="00130679"/>
    <w:rsid w:val="00130AF3"/>
    <w:rsid w:val="00131A1E"/>
    <w:rsid w:val="00150240"/>
    <w:rsid w:val="00157ED8"/>
    <w:rsid w:val="00157EEC"/>
    <w:rsid w:val="001640A2"/>
    <w:rsid w:val="001A1146"/>
    <w:rsid w:val="001A1A64"/>
    <w:rsid w:val="001A1A75"/>
    <w:rsid w:val="001A7950"/>
    <w:rsid w:val="001B1C09"/>
    <w:rsid w:val="001B4844"/>
    <w:rsid w:val="001B7B7A"/>
    <w:rsid w:val="001C61E2"/>
    <w:rsid w:val="001C76A0"/>
    <w:rsid w:val="001E4742"/>
    <w:rsid w:val="001F50D3"/>
    <w:rsid w:val="0020764D"/>
    <w:rsid w:val="00207C77"/>
    <w:rsid w:val="002138B7"/>
    <w:rsid w:val="002163EA"/>
    <w:rsid w:val="00223ECF"/>
    <w:rsid w:val="002366F3"/>
    <w:rsid w:val="00240123"/>
    <w:rsid w:val="00244F7F"/>
    <w:rsid w:val="00246761"/>
    <w:rsid w:val="00247B6E"/>
    <w:rsid w:val="00250424"/>
    <w:rsid w:val="00255B5C"/>
    <w:rsid w:val="00272943"/>
    <w:rsid w:val="00277696"/>
    <w:rsid w:val="002853E7"/>
    <w:rsid w:val="00285A56"/>
    <w:rsid w:val="002867AD"/>
    <w:rsid w:val="00294988"/>
    <w:rsid w:val="002A1FB7"/>
    <w:rsid w:val="002A2907"/>
    <w:rsid w:val="002A728C"/>
    <w:rsid w:val="002B6B5D"/>
    <w:rsid w:val="002B73D9"/>
    <w:rsid w:val="002B7DF6"/>
    <w:rsid w:val="002C2178"/>
    <w:rsid w:val="002D349E"/>
    <w:rsid w:val="002D3853"/>
    <w:rsid w:val="002D67AC"/>
    <w:rsid w:val="002E53F3"/>
    <w:rsid w:val="0030171A"/>
    <w:rsid w:val="003022AB"/>
    <w:rsid w:val="00305C6A"/>
    <w:rsid w:val="00316EFD"/>
    <w:rsid w:val="00321B6B"/>
    <w:rsid w:val="00330592"/>
    <w:rsid w:val="00342DBB"/>
    <w:rsid w:val="00352DE6"/>
    <w:rsid w:val="00363073"/>
    <w:rsid w:val="003630E2"/>
    <w:rsid w:val="00363946"/>
    <w:rsid w:val="00366293"/>
    <w:rsid w:val="00366340"/>
    <w:rsid w:val="00370C46"/>
    <w:rsid w:val="003777BA"/>
    <w:rsid w:val="00390BF2"/>
    <w:rsid w:val="0039666E"/>
    <w:rsid w:val="00396E5E"/>
    <w:rsid w:val="00397FD2"/>
    <w:rsid w:val="003A4502"/>
    <w:rsid w:val="003A71AA"/>
    <w:rsid w:val="003A7462"/>
    <w:rsid w:val="003B0B65"/>
    <w:rsid w:val="003B2963"/>
    <w:rsid w:val="003B3390"/>
    <w:rsid w:val="003B76F4"/>
    <w:rsid w:val="003C3E8D"/>
    <w:rsid w:val="003D2910"/>
    <w:rsid w:val="003D68FD"/>
    <w:rsid w:val="003D7010"/>
    <w:rsid w:val="003E1853"/>
    <w:rsid w:val="003F2275"/>
    <w:rsid w:val="003F6F6C"/>
    <w:rsid w:val="00404C6E"/>
    <w:rsid w:val="004101E0"/>
    <w:rsid w:val="00412B60"/>
    <w:rsid w:val="00420A93"/>
    <w:rsid w:val="00421E1C"/>
    <w:rsid w:val="00425FC5"/>
    <w:rsid w:val="00426A22"/>
    <w:rsid w:val="00442D1F"/>
    <w:rsid w:val="00444C07"/>
    <w:rsid w:val="00444EA6"/>
    <w:rsid w:val="00447E44"/>
    <w:rsid w:val="00462FE1"/>
    <w:rsid w:val="004772DC"/>
    <w:rsid w:val="00480F34"/>
    <w:rsid w:val="0048204B"/>
    <w:rsid w:val="00483248"/>
    <w:rsid w:val="00491416"/>
    <w:rsid w:val="00491C6C"/>
    <w:rsid w:val="004937AE"/>
    <w:rsid w:val="004A667B"/>
    <w:rsid w:val="004B59C9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7A9F"/>
    <w:rsid w:val="00512FC7"/>
    <w:rsid w:val="0052000D"/>
    <w:rsid w:val="005205C5"/>
    <w:rsid w:val="0052685B"/>
    <w:rsid w:val="00530E46"/>
    <w:rsid w:val="00543E8C"/>
    <w:rsid w:val="00566B08"/>
    <w:rsid w:val="00575CE1"/>
    <w:rsid w:val="00593798"/>
    <w:rsid w:val="005954E5"/>
    <w:rsid w:val="005A1C01"/>
    <w:rsid w:val="005A233C"/>
    <w:rsid w:val="005B02DE"/>
    <w:rsid w:val="005B2929"/>
    <w:rsid w:val="005B379A"/>
    <w:rsid w:val="005C5462"/>
    <w:rsid w:val="005E5C3E"/>
    <w:rsid w:val="005F1B6A"/>
    <w:rsid w:val="0060778F"/>
    <w:rsid w:val="00635779"/>
    <w:rsid w:val="0064171D"/>
    <w:rsid w:val="00647BD7"/>
    <w:rsid w:val="006612A7"/>
    <w:rsid w:val="00663C54"/>
    <w:rsid w:val="006669D7"/>
    <w:rsid w:val="00673B13"/>
    <w:rsid w:val="00676588"/>
    <w:rsid w:val="0069062C"/>
    <w:rsid w:val="00697C5B"/>
    <w:rsid w:val="006A0E29"/>
    <w:rsid w:val="006A4260"/>
    <w:rsid w:val="006C1131"/>
    <w:rsid w:val="006D3DFF"/>
    <w:rsid w:val="006E2676"/>
    <w:rsid w:val="006E5235"/>
    <w:rsid w:val="006F24FE"/>
    <w:rsid w:val="006F2A27"/>
    <w:rsid w:val="006F4823"/>
    <w:rsid w:val="007017EB"/>
    <w:rsid w:val="00703403"/>
    <w:rsid w:val="00705A13"/>
    <w:rsid w:val="00707D9E"/>
    <w:rsid w:val="00712010"/>
    <w:rsid w:val="00713917"/>
    <w:rsid w:val="007140C9"/>
    <w:rsid w:val="0071736C"/>
    <w:rsid w:val="007179DE"/>
    <w:rsid w:val="00724514"/>
    <w:rsid w:val="0072751E"/>
    <w:rsid w:val="00736FC0"/>
    <w:rsid w:val="00737821"/>
    <w:rsid w:val="007420C1"/>
    <w:rsid w:val="007442E9"/>
    <w:rsid w:val="007443DD"/>
    <w:rsid w:val="00752AF0"/>
    <w:rsid w:val="00755D86"/>
    <w:rsid w:val="007603DA"/>
    <w:rsid w:val="0076523C"/>
    <w:rsid w:val="007757A6"/>
    <w:rsid w:val="007763DE"/>
    <w:rsid w:val="00781D52"/>
    <w:rsid w:val="00782916"/>
    <w:rsid w:val="00785254"/>
    <w:rsid w:val="00790064"/>
    <w:rsid w:val="007923DE"/>
    <w:rsid w:val="007966BA"/>
    <w:rsid w:val="007A39A3"/>
    <w:rsid w:val="007A6EC6"/>
    <w:rsid w:val="007B2549"/>
    <w:rsid w:val="007B576B"/>
    <w:rsid w:val="007B59EC"/>
    <w:rsid w:val="007C680D"/>
    <w:rsid w:val="007D66DA"/>
    <w:rsid w:val="007E1767"/>
    <w:rsid w:val="007F02F0"/>
    <w:rsid w:val="007F1977"/>
    <w:rsid w:val="0081245F"/>
    <w:rsid w:val="00816825"/>
    <w:rsid w:val="0081730D"/>
    <w:rsid w:val="008234E8"/>
    <w:rsid w:val="00851343"/>
    <w:rsid w:val="00860751"/>
    <w:rsid w:val="00863C18"/>
    <w:rsid w:val="00871EE3"/>
    <w:rsid w:val="00890FCB"/>
    <w:rsid w:val="008943FF"/>
    <w:rsid w:val="008A2E1A"/>
    <w:rsid w:val="008B582D"/>
    <w:rsid w:val="008C06EC"/>
    <w:rsid w:val="008C1C7D"/>
    <w:rsid w:val="008C3D5F"/>
    <w:rsid w:val="008C61A4"/>
    <w:rsid w:val="008F433B"/>
    <w:rsid w:val="008F7945"/>
    <w:rsid w:val="009012CA"/>
    <w:rsid w:val="009135C1"/>
    <w:rsid w:val="00916CF1"/>
    <w:rsid w:val="00925763"/>
    <w:rsid w:val="009260E7"/>
    <w:rsid w:val="00926920"/>
    <w:rsid w:val="00931E47"/>
    <w:rsid w:val="00942C55"/>
    <w:rsid w:val="00950EA9"/>
    <w:rsid w:val="00952E9E"/>
    <w:rsid w:val="00972016"/>
    <w:rsid w:val="0097648B"/>
    <w:rsid w:val="009812AE"/>
    <w:rsid w:val="00982872"/>
    <w:rsid w:val="0099601E"/>
    <w:rsid w:val="009A016D"/>
    <w:rsid w:val="009A304A"/>
    <w:rsid w:val="009A31F8"/>
    <w:rsid w:val="009A735B"/>
    <w:rsid w:val="009B56E7"/>
    <w:rsid w:val="009B699A"/>
    <w:rsid w:val="009C3839"/>
    <w:rsid w:val="009C57EB"/>
    <w:rsid w:val="009C59C7"/>
    <w:rsid w:val="009C7ED5"/>
    <w:rsid w:val="009D34DE"/>
    <w:rsid w:val="009E4826"/>
    <w:rsid w:val="009F2D3D"/>
    <w:rsid w:val="009F3FD5"/>
    <w:rsid w:val="009F4670"/>
    <w:rsid w:val="00A1007E"/>
    <w:rsid w:val="00A11ED9"/>
    <w:rsid w:val="00A130D2"/>
    <w:rsid w:val="00A239BD"/>
    <w:rsid w:val="00A3140E"/>
    <w:rsid w:val="00A466A6"/>
    <w:rsid w:val="00A61525"/>
    <w:rsid w:val="00A6186B"/>
    <w:rsid w:val="00A6394B"/>
    <w:rsid w:val="00A70280"/>
    <w:rsid w:val="00A710EF"/>
    <w:rsid w:val="00A81B3F"/>
    <w:rsid w:val="00A97A91"/>
    <w:rsid w:val="00A97F04"/>
    <w:rsid w:val="00AB33BA"/>
    <w:rsid w:val="00AB6B7D"/>
    <w:rsid w:val="00AC2315"/>
    <w:rsid w:val="00AD4089"/>
    <w:rsid w:val="00AE15BB"/>
    <w:rsid w:val="00AE218F"/>
    <w:rsid w:val="00AE36E8"/>
    <w:rsid w:val="00AE669A"/>
    <w:rsid w:val="00B00B87"/>
    <w:rsid w:val="00B06564"/>
    <w:rsid w:val="00B06A37"/>
    <w:rsid w:val="00B11A9E"/>
    <w:rsid w:val="00B12E1E"/>
    <w:rsid w:val="00B20FE2"/>
    <w:rsid w:val="00B2177D"/>
    <w:rsid w:val="00B223B7"/>
    <w:rsid w:val="00B26993"/>
    <w:rsid w:val="00B30AB0"/>
    <w:rsid w:val="00B36DCA"/>
    <w:rsid w:val="00B37ECB"/>
    <w:rsid w:val="00B40C0F"/>
    <w:rsid w:val="00B44BDD"/>
    <w:rsid w:val="00B72DFD"/>
    <w:rsid w:val="00B72EC5"/>
    <w:rsid w:val="00B73D64"/>
    <w:rsid w:val="00B75779"/>
    <w:rsid w:val="00B7795A"/>
    <w:rsid w:val="00B910AF"/>
    <w:rsid w:val="00B917AE"/>
    <w:rsid w:val="00BA027B"/>
    <w:rsid w:val="00BA1580"/>
    <w:rsid w:val="00BA77A7"/>
    <w:rsid w:val="00BB0F61"/>
    <w:rsid w:val="00BB16AC"/>
    <w:rsid w:val="00BB1DCB"/>
    <w:rsid w:val="00BC5077"/>
    <w:rsid w:val="00BC7BD4"/>
    <w:rsid w:val="00BD3486"/>
    <w:rsid w:val="00BE1FD8"/>
    <w:rsid w:val="00BE73B4"/>
    <w:rsid w:val="00BF38AA"/>
    <w:rsid w:val="00C10272"/>
    <w:rsid w:val="00C164F3"/>
    <w:rsid w:val="00C3037A"/>
    <w:rsid w:val="00C32DD9"/>
    <w:rsid w:val="00C35A4B"/>
    <w:rsid w:val="00C36D77"/>
    <w:rsid w:val="00C4480A"/>
    <w:rsid w:val="00C45CE0"/>
    <w:rsid w:val="00C47CEA"/>
    <w:rsid w:val="00C579E2"/>
    <w:rsid w:val="00C63DA5"/>
    <w:rsid w:val="00C668FD"/>
    <w:rsid w:val="00C70E8C"/>
    <w:rsid w:val="00C75BEC"/>
    <w:rsid w:val="00C75C74"/>
    <w:rsid w:val="00C80B27"/>
    <w:rsid w:val="00C95093"/>
    <w:rsid w:val="00CB13F3"/>
    <w:rsid w:val="00CB6C24"/>
    <w:rsid w:val="00CD4729"/>
    <w:rsid w:val="00CF01D5"/>
    <w:rsid w:val="00D0300E"/>
    <w:rsid w:val="00D041A0"/>
    <w:rsid w:val="00D154F1"/>
    <w:rsid w:val="00D16829"/>
    <w:rsid w:val="00D27DEC"/>
    <w:rsid w:val="00D55789"/>
    <w:rsid w:val="00D574C9"/>
    <w:rsid w:val="00D63164"/>
    <w:rsid w:val="00D6754E"/>
    <w:rsid w:val="00D7108D"/>
    <w:rsid w:val="00D7633B"/>
    <w:rsid w:val="00D805F5"/>
    <w:rsid w:val="00D81A70"/>
    <w:rsid w:val="00D94809"/>
    <w:rsid w:val="00D94C94"/>
    <w:rsid w:val="00D94E6E"/>
    <w:rsid w:val="00D974E4"/>
    <w:rsid w:val="00DA488A"/>
    <w:rsid w:val="00DA572C"/>
    <w:rsid w:val="00DB0660"/>
    <w:rsid w:val="00DC7079"/>
    <w:rsid w:val="00DD178C"/>
    <w:rsid w:val="00DF57DA"/>
    <w:rsid w:val="00DF7E82"/>
    <w:rsid w:val="00E009AE"/>
    <w:rsid w:val="00E01F6E"/>
    <w:rsid w:val="00E15D86"/>
    <w:rsid w:val="00E20685"/>
    <w:rsid w:val="00E20AC8"/>
    <w:rsid w:val="00E21077"/>
    <w:rsid w:val="00E22F74"/>
    <w:rsid w:val="00E46AD2"/>
    <w:rsid w:val="00E50E4F"/>
    <w:rsid w:val="00E6356D"/>
    <w:rsid w:val="00E64008"/>
    <w:rsid w:val="00E66371"/>
    <w:rsid w:val="00E70EB1"/>
    <w:rsid w:val="00E924DE"/>
    <w:rsid w:val="00E927A7"/>
    <w:rsid w:val="00E97473"/>
    <w:rsid w:val="00EA2D18"/>
    <w:rsid w:val="00EA35AF"/>
    <w:rsid w:val="00EA5651"/>
    <w:rsid w:val="00EA6213"/>
    <w:rsid w:val="00EB5F7B"/>
    <w:rsid w:val="00EC4212"/>
    <w:rsid w:val="00EE15D4"/>
    <w:rsid w:val="00F0554F"/>
    <w:rsid w:val="00F12F46"/>
    <w:rsid w:val="00F2082B"/>
    <w:rsid w:val="00F21DB6"/>
    <w:rsid w:val="00F42F29"/>
    <w:rsid w:val="00F500EC"/>
    <w:rsid w:val="00F53788"/>
    <w:rsid w:val="00F613CB"/>
    <w:rsid w:val="00F652BC"/>
    <w:rsid w:val="00F65B80"/>
    <w:rsid w:val="00F77694"/>
    <w:rsid w:val="00F86297"/>
    <w:rsid w:val="00F97B38"/>
    <w:rsid w:val="00FA1C4C"/>
    <w:rsid w:val="00FA22BF"/>
    <w:rsid w:val="00FA4A3A"/>
    <w:rsid w:val="00FB5B4D"/>
    <w:rsid w:val="00FB7F38"/>
    <w:rsid w:val="00FC2000"/>
    <w:rsid w:val="00FC6647"/>
    <w:rsid w:val="00FD6617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  <w:style w:type="character" w:customStyle="1" w:styleId="Heading1Char">
    <w:name w:val="Heading 1 Char"/>
    <w:basedOn w:val="DefaultParagraphFont"/>
    <w:link w:val="Heading1"/>
    <w:rsid w:val="00F65B80"/>
    <w:rPr>
      <w:sz w:val="28"/>
      <w:szCs w:val="28"/>
    </w:rPr>
  </w:style>
  <w:style w:type="character" w:customStyle="1" w:styleId="Ttulo1Char">
    <w:name w:val="Título 1 Char"/>
    <w:rsid w:val="0020764D"/>
  </w:style>
  <w:style w:type="character" w:customStyle="1" w:styleId="PCW-B">
    <w:name w:val="PCW-B"/>
    <w:rsid w:val="00E927A7"/>
    <w:rPr>
      <w:b/>
      <w:bCs/>
    </w:rPr>
  </w:style>
  <w:style w:type="character" w:customStyle="1" w:styleId="goohl0">
    <w:name w:val="goohl0"/>
    <w:basedOn w:val="DefaultParagraphFont"/>
    <w:rsid w:val="00E927A7"/>
  </w:style>
  <w:style w:type="character" w:customStyle="1" w:styleId="goohl1">
    <w:name w:val="goohl1"/>
    <w:basedOn w:val="DefaultParagraphFont"/>
    <w:rsid w:val="00E927A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3795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DELL</cp:lastModifiedBy>
  <cp:revision>79</cp:revision>
  <cp:lastPrinted>2015-11-10T09:23:00Z</cp:lastPrinted>
  <dcterms:created xsi:type="dcterms:W3CDTF">2011-07-18T20:54:00Z</dcterms:created>
  <dcterms:modified xsi:type="dcterms:W3CDTF">2017-01-04T11:57:00Z</dcterms:modified>
</cp:coreProperties>
</file>