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4DA31" w14:textId="77777777" w:rsidR="007557B1" w:rsidRDefault="007557B1" w:rsidP="004F4F65">
      <w:pPr>
        <w:widowControl w:val="0"/>
        <w:spacing w:after="0" w:line="240" w:lineRule="exact"/>
        <w:jc w:val="center"/>
        <w:rPr>
          <w:rFonts w:ascii="Century Schoolbook" w:hAnsi="Century Schoolbook" w:cs="Times New Roman"/>
          <w:b/>
          <w:sz w:val="24"/>
          <w:szCs w:val="20"/>
          <w:lang w:val="en-US"/>
        </w:rPr>
      </w:pPr>
      <w:r w:rsidRPr="004F4F65">
        <w:rPr>
          <w:rFonts w:ascii="Century Schoolbook" w:hAnsi="Century Schoolbook" w:cs="Times New Roman"/>
          <w:b/>
          <w:sz w:val="24"/>
          <w:szCs w:val="20"/>
          <w:lang w:val="en-US"/>
        </w:rPr>
        <w:t>Supplementary information</w:t>
      </w:r>
    </w:p>
    <w:p w14:paraId="57C9DB9A" w14:textId="77777777" w:rsidR="004F4F65" w:rsidRPr="004F4F65" w:rsidRDefault="004F4F65" w:rsidP="004F4F65">
      <w:pPr>
        <w:widowControl w:val="0"/>
        <w:spacing w:after="0" w:line="240" w:lineRule="exact"/>
        <w:jc w:val="center"/>
        <w:rPr>
          <w:rFonts w:ascii="Century Schoolbook" w:hAnsi="Century Schoolbook" w:cs="Times New Roman"/>
          <w:b/>
          <w:sz w:val="24"/>
          <w:szCs w:val="20"/>
          <w:lang w:val="en-US"/>
        </w:rPr>
      </w:pPr>
    </w:p>
    <w:p w14:paraId="3DA22A50" w14:textId="1E5FFAF0" w:rsidR="004F4F65" w:rsidRDefault="004F4F65" w:rsidP="004F4F65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Paper title:</w:t>
      </w:r>
      <w:r>
        <w:rPr>
          <w:rFonts w:ascii="Century Schoolbook" w:hAnsi="Century Schoolbook"/>
          <w:b/>
          <w:sz w:val="20"/>
          <w:szCs w:val="20"/>
        </w:rPr>
        <w:tab/>
      </w:r>
      <w:r w:rsidRPr="004F4F65">
        <w:rPr>
          <w:rFonts w:ascii="Century Schoolbook" w:hAnsi="Century Schoolbook"/>
          <w:sz w:val="20"/>
          <w:szCs w:val="20"/>
        </w:rPr>
        <w:t>An overview on epiphytism as a direct mechanism of facilitation in tropical forests</w:t>
      </w:r>
    </w:p>
    <w:p w14:paraId="1637FDAF" w14:textId="77777777" w:rsidR="004F4F65" w:rsidRDefault="004F4F65" w:rsidP="004F4F65">
      <w:pPr>
        <w:widowControl w:val="0"/>
        <w:spacing w:after="0" w:line="240" w:lineRule="exact"/>
        <w:ind w:left="1260" w:hanging="1260"/>
        <w:jc w:val="both"/>
        <w:rPr>
          <w:rFonts w:ascii="Century Schoolbook" w:hAnsi="Century Schoolbook"/>
          <w:b/>
          <w:sz w:val="20"/>
          <w:szCs w:val="20"/>
        </w:rPr>
      </w:pPr>
    </w:p>
    <w:p w14:paraId="60EB4AD1" w14:textId="42F19C0F" w:rsidR="004F4F65" w:rsidRDefault="004F4F65" w:rsidP="004F4F65">
      <w:pPr>
        <w:widowControl w:val="0"/>
        <w:spacing w:after="0" w:line="240" w:lineRule="exact"/>
        <w:ind w:left="1260" w:hanging="1260"/>
        <w:jc w:val="both"/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Authors: </w:t>
      </w:r>
      <w:r>
        <w:rPr>
          <w:rFonts w:ascii="Century Schoolbook" w:hAnsi="Century Schoolbook"/>
          <w:b/>
          <w:sz w:val="20"/>
          <w:szCs w:val="20"/>
        </w:rPr>
        <w:tab/>
      </w:r>
      <w:proofErr w:type="spellStart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>Talitha</w:t>
      </w:r>
      <w:proofErr w:type="spellEnd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>Mayumi</w:t>
      </w:r>
      <w:proofErr w:type="spellEnd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 xml:space="preserve"> Francisco, </w:t>
      </w:r>
      <w:proofErr w:type="spellStart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>Mário</w:t>
      </w:r>
      <w:proofErr w:type="spellEnd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 xml:space="preserve"> Luís </w:t>
      </w:r>
      <w:proofErr w:type="spellStart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>Garbin</w:t>
      </w:r>
      <w:proofErr w:type="spellEnd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 xml:space="preserve">, Camila De Toledo </w:t>
      </w:r>
      <w:proofErr w:type="spellStart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>Castanho</w:t>
      </w:r>
      <w:proofErr w:type="spellEnd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 xml:space="preserve"> &amp; Carlos </w:t>
      </w:r>
      <w:proofErr w:type="spellStart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>Rámon</w:t>
      </w:r>
      <w:proofErr w:type="spellEnd"/>
      <w:r w:rsidRPr="004F4F65">
        <w:rPr>
          <w:rFonts w:ascii="Century Schoolbook" w:eastAsia="Times New Roman" w:hAnsi="Century Schoolbook"/>
          <w:sz w:val="20"/>
          <w:szCs w:val="20"/>
          <w:lang w:val="es-AR"/>
        </w:rPr>
        <w:t xml:space="preserve"> Ruiz-Miranda</w:t>
      </w:r>
    </w:p>
    <w:p w14:paraId="1642A81C" w14:textId="77777777" w:rsidR="004F4F65" w:rsidRDefault="004F4F65" w:rsidP="004F4F65">
      <w:pPr>
        <w:widowControl w:val="0"/>
        <w:spacing w:after="0" w:line="240" w:lineRule="exact"/>
        <w:jc w:val="both"/>
        <w:rPr>
          <w:rFonts w:ascii="Century Schoolbook" w:hAnsi="Century Schoolbook" w:cs="Times New Roman"/>
          <w:sz w:val="20"/>
          <w:szCs w:val="20"/>
          <w:lang w:val="en-US"/>
        </w:rPr>
      </w:pPr>
    </w:p>
    <w:p w14:paraId="65434777" w14:textId="7D0BEF4C" w:rsidR="007557B1" w:rsidRPr="00877713" w:rsidRDefault="007557B1" w:rsidP="004F4F65">
      <w:pPr>
        <w:widowControl w:val="0"/>
        <w:spacing w:after="0" w:line="240" w:lineRule="exact"/>
        <w:jc w:val="both"/>
        <w:rPr>
          <w:rFonts w:ascii="Century Schoolbook" w:hAnsi="Century Schoolbook" w:cs="Times New Roman"/>
          <w:sz w:val="19"/>
          <w:szCs w:val="19"/>
          <w:lang w:val="en-US"/>
        </w:rPr>
      </w:pPr>
      <w:r w:rsidRPr="00877713">
        <w:rPr>
          <w:rFonts w:ascii="Century Schoolbook" w:hAnsi="Century Schoolbook" w:cs="Times New Roman"/>
          <w:b/>
          <w:sz w:val="19"/>
          <w:szCs w:val="19"/>
          <w:lang w:val="en-US"/>
        </w:rPr>
        <w:t>Table S1.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 xml:space="preserve"> </w:t>
      </w:r>
      <w:r w:rsidR="004F4F65" w:rsidRPr="00877713">
        <w:rPr>
          <w:rFonts w:ascii="Century Schoolbook" w:hAnsi="Century Schoolbook" w:cs="Times New Roman"/>
          <w:sz w:val="19"/>
          <w:szCs w:val="19"/>
          <w:lang w:val="en-US"/>
        </w:rPr>
        <w:t xml:space="preserve"> 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 xml:space="preserve">List of </w:t>
      </w:r>
      <w:r w:rsidR="0031011A" w:rsidRPr="00877713">
        <w:rPr>
          <w:rFonts w:ascii="Century Schoolbook" w:hAnsi="Century Schoolbook" w:cs="Times New Roman"/>
          <w:sz w:val="19"/>
          <w:szCs w:val="19"/>
          <w:lang w:val="en-US"/>
        </w:rPr>
        <w:t>articles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 xml:space="preserve"> used for this systematic review of direct facilitation of global tropical forest environments. The search was conducted by the database ISI Web of Science ® on November 4, 2015 using a combination of three groups of terms: (1)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facilitation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positive interaction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commensalism*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commensal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 xml:space="preserve"> 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interaction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and (2)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plant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tree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shrub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herb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climb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epiphyte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and (3)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tropical rain forest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tropical rainforest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tropical forest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tropical dry forest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 or “</w:t>
      </w:r>
      <w:r w:rsidRPr="00877713">
        <w:rPr>
          <w:rFonts w:ascii="Century Schoolbook" w:hAnsi="Century Schoolbook" w:cs="Times New Roman"/>
          <w:i/>
          <w:sz w:val="19"/>
          <w:szCs w:val="19"/>
          <w:lang w:val="en-US"/>
        </w:rPr>
        <w:t>tropical wet forest</w:t>
      </w:r>
      <w:r w:rsidRPr="00877713">
        <w:rPr>
          <w:rFonts w:ascii="Century Schoolbook" w:hAnsi="Century Schoolbook" w:cs="Times New Roman"/>
          <w:sz w:val="19"/>
          <w:szCs w:val="19"/>
          <w:lang w:val="en-US"/>
        </w:rPr>
        <w:t>*”.</w:t>
      </w:r>
    </w:p>
    <w:p w14:paraId="61198CE0" w14:textId="77777777" w:rsidR="007557B1" w:rsidRPr="004F4F65" w:rsidRDefault="007557B1" w:rsidP="004F4F65">
      <w:pPr>
        <w:widowControl w:val="0"/>
        <w:spacing w:after="0" w:line="240" w:lineRule="exact"/>
        <w:jc w:val="both"/>
        <w:rPr>
          <w:rFonts w:ascii="Century Schoolbook" w:hAnsi="Century Schoolbook" w:cs="Times New Roman"/>
          <w:sz w:val="20"/>
          <w:szCs w:val="20"/>
          <w:lang w:val="en-US"/>
        </w:rPr>
      </w:pPr>
    </w:p>
    <w:tbl>
      <w:tblPr>
        <w:tblW w:w="139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3178"/>
        <w:gridCol w:w="3118"/>
        <w:gridCol w:w="851"/>
        <w:gridCol w:w="1559"/>
        <w:gridCol w:w="1559"/>
        <w:gridCol w:w="1559"/>
        <w:gridCol w:w="1398"/>
      </w:tblGrid>
      <w:tr w:rsidR="00114D24" w:rsidRPr="004F4F65" w14:paraId="657DC797" w14:textId="77777777" w:rsidTr="00734FC0">
        <w:trPr>
          <w:trHeight w:val="492"/>
        </w:trPr>
        <w:tc>
          <w:tcPr>
            <w:tcW w:w="720" w:type="dxa"/>
          </w:tcPr>
          <w:p w14:paraId="2C3E55C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78" w:type="dxa"/>
          </w:tcPr>
          <w:p w14:paraId="6E6C819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18" w:type="dxa"/>
          </w:tcPr>
          <w:p w14:paraId="53B350D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Description of facilitation</w:t>
            </w:r>
          </w:p>
        </w:tc>
        <w:tc>
          <w:tcPr>
            <w:tcW w:w="851" w:type="dxa"/>
          </w:tcPr>
          <w:p w14:paraId="21315F1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559" w:type="dxa"/>
          </w:tcPr>
          <w:p w14:paraId="7E19A90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Geographic coordinates</w:t>
            </w:r>
          </w:p>
        </w:tc>
        <w:tc>
          <w:tcPr>
            <w:tcW w:w="1559" w:type="dxa"/>
          </w:tcPr>
          <w:p w14:paraId="397764A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Habitat</w:t>
            </w:r>
          </w:p>
        </w:tc>
        <w:tc>
          <w:tcPr>
            <w:tcW w:w="1559" w:type="dxa"/>
          </w:tcPr>
          <w:p w14:paraId="345D9AD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Methodological Approach</w:t>
            </w:r>
          </w:p>
        </w:tc>
        <w:tc>
          <w:tcPr>
            <w:tcW w:w="1398" w:type="dxa"/>
          </w:tcPr>
          <w:p w14:paraId="060AC03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b/>
                <w:bCs/>
                <w:color w:val="000000"/>
                <w:sz w:val="20"/>
                <w:szCs w:val="20"/>
              </w:rPr>
              <w:t>Search area</w:t>
            </w:r>
          </w:p>
        </w:tc>
      </w:tr>
      <w:tr w:rsidR="00114D24" w:rsidRPr="004F4F65" w14:paraId="7EF5039C" w14:textId="77777777" w:rsidTr="00734FC0">
        <w:trPr>
          <w:trHeight w:val="999"/>
        </w:trPr>
        <w:tc>
          <w:tcPr>
            <w:tcW w:w="720" w:type="dxa"/>
          </w:tcPr>
          <w:p w14:paraId="255EC71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78" w:type="dxa"/>
          </w:tcPr>
          <w:p w14:paraId="4009ACE1" w14:textId="514AC759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Anthelme, F., Lincango, F., Charlotte, G., Duarte, N., Montúfar, R. (2011).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How anthropogenic disturbances affect the resilience of a keystone palm tree in the threatened Andean cloud forest?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Biological Conservation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144 : 1059–1067</w:t>
            </w:r>
          </w:p>
        </w:tc>
        <w:tc>
          <w:tcPr>
            <w:tcW w:w="3118" w:type="dxa"/>
          </w:tcPr>
          <w:p w14:paraId="4E3A0B8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shade provided by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>Setaria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>sphacelata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considerably reduces the water stress above and below ground for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Ceroxylon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echinulatum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23DA1BE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Equador</w:t>
            </w:r>
          </w:p>
        </w:tc>
        <w:tc>
          <w:tcPr>
            <w:tcW w:w="1559" w:type="dxa"/>
          </w:tcPr>
          <w:p w14:paraId="016E4F0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00°02'N, 78°43'W and 00°04'S, 78°44'S</w:t>
            </w:r>
          </w:p>
        </w:tc>
        <w:tc>
          <w:tcPr>
            <w:tcW w:w="1559" w:type="dxa"/>
          </w:tcPr>
          <w:p w14:paraId="7FDAAA0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Nebular forest (three habitats: ancient forest, disturbed forest by selective timber extraction and deforested area).</w:t>
            </w:r>
          </w:p>
        </w:tc>
        <w:tc>
          <w:tcPr>
            <w:tcW w:w="1559" w:type="dxa"/>
          </w:tcPr>
          <w:p w14:paraId="02B9399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16E2341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0FCAFBBF" w14:textId="77777777" w:rsidTr="00734FC0">
        <w:trPr>
          <w:trHeight w:val="1934"/>
        </w:trPr>
        <w:tc>
          <w:tcPr>
            <w:tcW w:w="720" w:type="dxa"/>
          </w:tcPr>
          <w:p w14:paraId="189883C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2*</w:t>
            </w:r>
          </w:p>
        </w:tc>
        <w:tc>
          <w:tcPr>
            <w:tcW w:w="3178" w:type="dxa"/>
          </w:tcPr>
          <w:p w14:paraId="2E04A9A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Bueno, A., Llamb, L.D. (2015).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Facilitation and edge effects influence vegetation regeneration in old-fields at the tropical Andean forest line.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Applied Vegetation Science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18: 613–623</w:t>
            </w:r>
          </w:p>
        </w:tc>
        <w:tc>
          <w:tcPr>
            <w:tcW w:w="3118" w:type="dxa"/>
          </w:tcPr>
          <w:p w14:paraId="03EC901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Baccharis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prunifolia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i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mproves the microclimate conditions above ground (temperature) favoring the establishment of regenerating tree species.</w:t>
            </w:r>
          </w:p>
        </w:tc>
        <w:tc>
          <w:tcPr>
            <w:tcW w:w="851" w:type="dxa"/>
          </w:tcPr>
          <w:p w14:paraId="2561370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Venezuela</w:t>
            </w:r>
          </w:p>
        </w:tc>
        <w:tc>
          <w:tcPr>
            <w:tcW w:w="1559" w:type="dxa"/>
          </w:tcPr>
          <w:p w14:paraId="1D87B0A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8°350–8°450 N, 70°520–70°570 W</w:t>
            </w:r>
          </w:p>
        </w:tc>
        <w:tc>
          <w:tcPr>
            <w:tcW w:w="1559" w:type="dxa"/>
          </w:tcPr>
          <w:p w14:paraId="7990AC3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Open areas abandoned near and distant from the edge of the forest.</w:t>
            </w:r>
          </w:p>
        </w:tc>
        <w:tc>
          <w:tcPr>
            <w:tcW w:w="1559" w:type="dxa"/>
          </w:tcPr>
          <w:p w14:paraId="3E2C9B7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50560A0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Regeneration</w:t>
            </w:r>
          </w:p>
        </w:tc>
      </w:tr>
      <w:tr w:rsidR="00114D24" w:rsidRPr="004F4F65" w14:paraId="57DF92EB" w14:textId="77777777" w:rsidTr="00734FC0">
        <w:trPr>
          <w:trHeight w:val="1934"/>
        </w:trPr>
        <w:tc>
          <w:tcPr>
            <w:tcW w:w="720" w:type="dxa"/>
          </w:tcPr>
          <w:p w14:paraId="79287C0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78" w:type="dxa"/>
          </w:tcPr>
          <w:p w14:paraId="212A970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Campanello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P.I, Garibaldi, J.F,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Gatti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M.G., Goldstein, G. (2007). Lianas in a subtropical Atlantic Forest: Host preference and tree growth.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Forest Ecology and Management,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242: 250–259</w:t>
            </w:r>
          </w:p>
        </w:tc>
        <w:tc>
          <w:tcPr>
            <w:tcW w:w="3118" w:type="dxa"/>
          </w:tcPr>
          <w:p w14:paraId="79F168E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Lianas use other lianas as structural support to grow into the canopy. The diameter lianas was positively related to the abundance of lianas species climbers.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Some species of phorophytes resguardaram several lianas</w:t>
            </w:r>
          </w:p>
        </w:tc>
        <w:tc>
          <w:tcPr>
            <w:tcW w:w="851" w:type="dxa"/>
          </w:tcPr>
          <w:p w14:paraId="3D52FD1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1559" w:type="dxa"/>
          </w:tcPr>
          <w:p w14:paraId="33C4A07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25°58'S, 54°13'W</w:t>
            </w:r>
          </w:p>
        </w:tc>
        <w:tc>
          <w:tcPr>
            <w:tcW w:w="1559" w:type="dxa"/>
          </w:tcPr>
          <w:p w14:paraId="194DD7A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Subtropical forest semidecidual</w:t>
            </w:r>
          </w:p>
        </w:tc>
        <w:tc>
          <w:tcPr>
            <w:tcW w:w="1559" w:type="dxa"/>
          </w:tcPr>
          <w:p w14:paraId="5A568E8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45A7F7F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54DA5B46" w14:textId="77777777" w:rsidTr="00734FC0">
        <w:trPr>
          <w:trHeight w:val="1485"/>
        </w:trPr>
        <w:tc>
          <w:tcPr>
            <w:tcW w:w="720" w:type="dxa"/>
          </w:tcPr>
          <w:p w14:paraId="37142E5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8" w:type="dxa"/>
          </w:tcPr>
          <w:p w14:paraId="20224265" w14:textId="11931446" w:rsidR="007557B1" w:rsidRPr="004F4F65" w:rsidRDefault="007557B1" w:rsidP="00734FC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Espinosa, C.I., Cabrera, O., Luzuriaga, A.L., Escudero, A. (2011).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What Factors Affect Diversity and Species Composition of Endangered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Tumbesian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Dry Forests in Southern Ecuador?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Biotropica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43(1): 15–22 2011.</w:t>
            </w:r>
          </w:p>
        </w:tc>
        <w:tc>
          <w:tcPr>
            <w:tcW w:w="3118" w:type="dxa"/>
          </w:tcPr>
          <w:p w14:paraId="5D59D75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The composition of plant species in tropical dry forests may be at least partially explained by the hypothesis of stress gradient, with the highest species richness in drier conditions.</w:t>
            </w:r>
          </w:p>
        </w:tc>
        <w:tc>
          <w:tcPr>
            <w:tcW w:w="851" w:type="dxa"/>
          </w:tcPr>
          <w:p w14:paraId="5AA7C6E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Equador</w:t>
            </w:r>
          </w:p>
        </w:tc>
        <w:tc>
          <w:tcPr>
            <w:tcW w:w="1559" w:type="dxa"/>
          </w:tcPr>
          <w:p w14:paraId="7185732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279EF7E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Dry forest</w:t>
            </w:r>
          </w:p>
        </w:tc>
        <w:tc>
          <w:tcPr>
            <w:tcW w:w="1559" w:type="dxa"/>
          </w:tcPr>
          <w:p w14:paraId="1899523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4CF457D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4B9DD8B8" w14:textId="77777777" w:rsidTr="00734FC0">
        <w:trPr>
          <w:trHeight w:val="1080"/>
        </w:trPr>
        <w:tc>
          <w:tcPr>
            <w:tcW w:w="720" w:type="dxa"/>
          </w:tcPr>
          <w:p w14:paraId="57EC5E8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78" w:type="dxa"/>
          </w:tcPr>
          <w:p w14:paraId="21F4241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Ewel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J.J., Bigelow, S.W. (2011). Tree species identity and interactions with neighbors determine nutrient leaching in model tropical forests.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Oecologia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 167:1127–1140</w:t>
            </w:r>
          </w:p>
        </w:tc>
        <w:tc>
          <w:tcPr>
            <w:tcW w:w="3118" w:type="dxa"/>
          </w:tcPr>
          <w:p w14:paraId="2E182F5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mixed planting of species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Hieronyma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alchorneoides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Cedrela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odorata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Cordia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alliodora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Euterpe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macrospadix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Euterpe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oleracea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reduces the loss of nutrients in the soil.</w:t>
            </w:r>
          </w:p>
        </w:tc>
        <w:tc>
          <w:tcPr>
            <w:tcW w:w="851" w:type="dxa"/>
          </w:tcPr>
          <w:p w14:paraId="70DBDE0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Costa Rica</w:t>
            </w:r>
          </w:p>
        </w:tc>
        <w:tc>
          <w:tcPr>
            <w:tcW w:w="1559" w:type="dxa"/>
          </w:tcPr>
          <w:p w14:paraId="3DE2E90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10°26'N, 83°59'W</w:t>
            </w:r>
          </w:p>
        </w:tc>
        <w:tc>
          <w:tcPr>
            <w:tcW w:w="1559" w:type="dxa"/>
          </w:tcPr>
          <w:p w14:paraId="4512638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Panted forests homogeneous and mixed planted forests (plantations with 5 species)</w:t>
            </w:r>
          </w:p>
        </w:tc>
        <w:tc>
          <w:tcPr>
            <w:tcW w:w="1559" w:type="dxa"/>
          </w:tcPr>
          <w:p w14:paraId="6D80C51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001548F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5F617DEF" w14:textId="77777777" w:rsidTr="00734FC0">
        <w:trPr>
          <w:trHeight w:val="1934"/>
        </w:trPr>
        <w:tc>
          <w:tcPr>
            <w:tcW w:w="720" w:type="dxa"/>
          </w:tcPr>
          <w:p w14:paraId="018FD74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78" w:type="dxa"/>
          </w:tcPr>
          <w:p w14:paraId="0642640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Ewel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J.J.,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Celis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G.,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Schreeg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L. (2015). Steeply Increasing Growth Differential Between Mixture and Monocultures of Tropical Trees.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Biotropica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47: 162–171</w:t>
            </w:r>
          </w:p>
        </w:tc>
        <w:tc>
          <w:tcPr>
            <w:tcW w:w="3118" w:type="dxa"/>
          </w:tcPr>
          <w:p w14:paraId="3C046B5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increase in phosphorus under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Hieronyma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would be potentially available neighboring trees to facilitate the growth and survival.</w:t>
            </w:r>
          </w:p>
        </w:tc>
        <w:tc>
          <w:tcPr>
            <w:tcW w:w="851" w:type="dxa"/>
          </w:tcPr>
          <w:p w14:paraId="1095AA5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Costa Rica</w:t>
            </w:r>
          </w:p>
        </w:tc>
        <w:tc>
          <w:tcPr>
            <w:tcW w:w="1559" w:type="dxa"/>
          </w:tcPr>
          <w:p w14:paraId="58B3E69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10°26'N, 83°59'W</w:t>
            </w:r>
          </w:p>
        </w:tc>
        <w:tc>
          <w:tcPr>
            <w:tcW w:w="1559" w:type="dxa"/>
          </w:tcPr>
          <w:p w14:paraId="08A2817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Panted forests homogeneous and mixed planted forests (plantations with 5 species)</w:t>
            </w:r>
          </w:p>
        </w:tc>
        <w:tc>
          <w:tcPr>
            <w:tcW w:w="1559" w:type="dxa"/>
          </w:tcPr>
          <w:p w14:paraId="5D4E15D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17A9926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10820E5C" w14:textId="77777777" w:rsidTr="00734FC0">
        <w:trPr>
          <w:trHeight w:val="1934"/>
        </w:trPr>
        <w:tc>
          <w:tcPr>
            <w:tcW w:w="720" w:type="dxa"/>
          </w:tcPr>
          <w:p w14:paraId="3A292CD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178" w:type="dxa"/>
          </w:tcPr>
          <w:p w14:paraId="58AA06F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Fischer, L.K., von der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Lippe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Kowarik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I. (2009). Tree invasion in managed tropical forests facilitates endemic species.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Journal of Biogeography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, 36: 2251–2263</w:t>
            </w:r>
          </w:p>
        </w:tc>
        <w:tc>
          <w:tcPr>
            <w:tcW w:w="3118" w:type="dxa"/>
          </w:tcPr>
          <w:p w14:paraId="0DDA7A9E" w14:textId="599CEA0B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Species of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Cinchona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has a facilitative effect on native species in the three types of forests to improve the microclimate above and abiotic soil conditions, providing high proportion of endemic species under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Cinchona</w:t>
            </w:r>
            <w:r w:rsidR="004A42ED"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Cinchona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facilitates endemic species in accordance with the "facilitating substitute model".</w:t>
            </w:r>
          </w:p>
        </w:tc>
        <w:tc>
          <w:tcPr>
            <w:tcW w:w="851" w:type="dxa"/>
          </w:tcPr>
          <w:p w14:paraId="119EB20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Havai</w:t>
            </w:r>
          </w:p>
        </w:tc>
        <w:tc>
          <w:tcPr>
            <w:tcW w:w="1559" w:type="dxa"/>
          </w:tcPr>
          <w:p w14:paraId="10216E79" w14:textId="77777777" w:rsidR="007557B1" w:rsidRPr="004F4F65" w:rsidRDefault="007557B1" w:rsidP="004F4F65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6D97D1F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Pine forests, eucalyptus forests and mature natural forests (50 years).</w:t>
            </w:r>
          </w:p>
        </w:tc>
        <w:tc>
          <w:tcPr>
            <w:tcW w:w="1559" w:type="dxa"/>
          </w:tcPr>
          <w:p w14:paraId="745E47B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5FF3369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Biological invasions, ecological succession and regeneration</w:t>
            </w:r>
          </w:p>
        </w:tc>
      </w:tr>
      <w:tr w:rsidR="00114D24" w:rsidRPr="004F4F65" w14:paraId="657266FF" w14:textId="77777777" w:rsidTr="00734FC0">
        <w:trPr>
          <w:trHeight w:val="1934"/>
        </w:trPr>
        <w:tc>
          <w:tcPr>
            <w:tcW w:w="720" w:type="dxa"/>
          </w:tcPr>
          <w:p w14:paraId="686D882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8*</w:t>
            </w:r>
          </w:p>
        </w:tc>
        <w:tc>
          <w:tcPr>
            <w:tcW w:w="3178" w:type="dxa"/>
          </w:tcPr>
          <w:p w14:paraId="4D0E45B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Fontoura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T., Rocca, M.A., Schilling, A.C,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Reinert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F. (2009).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Epífitas da floresta seca da reserva ecológica estadual de jacarepiá, sudestedo Brasil: relações com a comunidade arbórea.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Rodriguésia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, 60: 171-185</w:t>
            </w:r>
          </w:p>
        </w:tc>
        <w:tc>
          <w:tcPr>
            <w:tcW w:w="3118" w:type="dxa"/>
          </w:tcPr>
          <w:p w14:paraId="37958B1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 species epiphytes through structural support. The abundance of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was a good parameter to estimate the richness of epiphytes. </w:t>
            </w:r>
          </w:p>
        </w:tc>
        <w:tc>
          <w:tcPr>
            <w:tcW w:w="851" w:type="dxa"/>
          </w:tcPr>
          <w:p w14:paraId="7F05FD1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23CB78B5" w14:textId="77777777" w:rsidR="007557B1" w:rsidRPr="004F4F65" w:rsidRDefault="007557B1" w:rsidP="004F4F65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22º47’–22º 57’S; 42º20’–42º43’W</w:t>
            </w:r>
          </w:p>
          <w:p w14:paraId="4FE27C5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C7EA9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Dry forest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restinga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(not flooded)</w:t>
            </w:r>
          </w:p>
        </w:tc>
        <w:tc>
          <w:tcPr>
            <w:tcW w:w="1559" w:type="dxa"/>
          </w:tcPr>
          <w:p w14:paraId="16809C4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5EF7D9F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1AFF4EE9" w14:textId="77777777" w:rsidTr="00734FC0">
        <w:trPr>
          <w:trHeight w:val="1934"/>
        </w:trPr>
        <w:tc>
          <w:tcPr>
            <w:tcW w:w="720" w:type="dxa"/>
          </w:tcPr>
          <w:p w14:paraId="70E6254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78" w:type="dxa"/>
          </w:tcPr>
          <w:p w14:paraId="4831943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Gallegos, S.C., Hensena, I., Saavedra, F., Schleuning, M. (2015).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Bracken fern facilitates tree seedling recruitment in tropical fire-degraded habitats.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Forest Ecology and Management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337: 135–143</w:t>
            </w:r>
          </w:p>
        </w:tc>
        <w:tc>
          <w:tcPr>
            <w:tcW w:w="3118" w:type="dxa"/>
          </w:tcPr>
          <w:p w14:paraId="311030C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Removal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Pteridium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spp. (introduced) resulted in higher temperature and low humidity compared to plots with species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Pteridium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spp., this pattern was more pronounced in degraded habitats. And increases the probability of seedling recruitment and survival of the species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Clusia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552C864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1559" w:type="dxa"/>
          </w:tcPr>
          <w:p w14:paraId="28293EC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16°24'S, 67°31'W</w:t>
            </w:r>
          </w:p>
        </w:tc>
        <w:tc>
          <w:tcPr>
            <w:tcW w:w="1559" w:type="dxa"/>
          </w:tcPr>
          <w:p w14:paraId="5159DCA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Montane forest (inside forest, degraded habitats near and far edge)</w:t>
            </w:r>
          </w:p>
        </w:tc>
        <w:tc>
          <w:tcPr>
            <w:tcW w:w="1559" w:type="dxa"/>
          </w:tcPr>
          <w:p w14:paraId="7F72479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5E310E5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Biological invasions</w:t>
            </w:r>
          </w:p>
        </w:tc>
      </w:tr>
      <w:tr w:rsidR="00114D24" w:rsidRPr="004F4F65" w14:paraId="411A9E8C" w14:textId="77777777" w:rsidTr="00734FC0">
        <w:trPr>
          <w:trHeight w:val="540"/>
        </w:trPr>
        <w:tc>
          <w:tcPr>
            <w:tcW w:w="720" w:type="dxa"/>
          </w:tcPr>
          <w:p w14:paraId="4F83026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10*</w:t>
            </w:r>
          </w:p>
        </w:tc>
        <w:tc>
          <w:tcPr>
            <w:tcW w:w="3178" w:type="dxa"/>
          </w:tcPr>
          <w:p w14:paraId="7001223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Gómez-Ruiz, P.A., Lindig-Cisnerosa, R., Vargas-Ríos, O. (2013).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Facilitation among plants: A strategy for the ecological restoration of the high-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andean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forest (Bogotá, D.C.—Colombia).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Ecological Engineering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57:267– 275</w:t>
            </w:r>
          </w:p>
        </w:tc>
        <w:tc>
          <w:tcPr>
            <w:tcW w:w="3118" w:type="dxa"/>
          </w:tcPr>
          <w:p w14:paraId="768B1D5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growth of tree species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Solanum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oblongifolium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Viburnum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tinoides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It was higher in the presence of facilitators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Lupinus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bogotensis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Vicia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benghalensis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mainly with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bogotensis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. The presence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Lupinus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bogotensis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improves the microclimate conditions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Solanum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oblongifolium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51F10EE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Colombia</w:t>
            </w:r>
          </w:p>
        </w:tc>
        <w:tc>
          <w:tcPr>
            <w:tcW w:w="1559" w:type="dxa"/>
          </w:tcPr>
          <w:p w14:paraId="27D6C49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4°23'02.8" N; 74°09'58.7" W</w:t>
            </w:r>
          </w:p>
        </w:tc>
        <w:tc>
          <w:tcPr>
            <w:tcW w:w="1559" w:type="dxa"/>
          </w:tcPr>
          <w:p w14:paraId="753F84B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Open area in regeneration</w:t>
            </w:r>
          </w:p>
        </w:tc>
        <w:tc>
          <w:tcPr>
            <w:tcW w:w="1559" w:type="dxa"/>
          </w:tcPr>
          <w:p w14:paraId="20D2D6A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5382198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Restoration</w:t>
            </w:r>
          </w:p>
        </w:tc>
      </w:tr>
      <w:tr w:rsidR="00114D24" w:rsidRPr="004F4F65" w14:paraId="2417E885" w14:textId="77777777" w:rsidTr="00734FC0">
        <w:trPr>
          <w:trHeight w:val="1934"/>
        </w:trPr>
        <w:tc>
          <w:tcPr>
            <w:tcW w:w="720" w:type="dxa"/>
          </w:tcPr>
          <w:p w14:paraId="35412B6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78" w:type="dxa"/>
          </w:tcPr>
          <w:p w14:paraId="202B511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Gould, R.K., Mooney, H., Nelson, L.,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Shallenberger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R., Daily, G.C. (2013). Restoring Native Forest Understory: The Influence of Ferns and Light in a Hawaiian Experiment.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Sustainability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5: 1317-1339</w:t>
            </w:r>
          </w:p>
        </w:tc>
        <w:tc>
          <w:tcPr>
            <w:tcW w:w="3118" w:type="dxa"/>
          </w:tcPr>
          <w:p w14:paraId="38D268B9" w14:textId="3E1B5040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Dryopteris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wallichiana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facilitates germination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Pittosporum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hawaiianse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Myrsine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lessertiana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Alyxia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stellata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Pipturus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albidus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Myoporum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sandwichense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Coprosma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montana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providing shade and possibly increasing moisture.</w:t>
            </w:r>
          </w:p>
        </w:tc>
        <w:tc>
          <w:tcPr>
            <w:tcW w:w="851" w:type="dxa"/>
          </w:tcPr>
          <w:p w14:paraId="7B084FB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Havai</w:t>
            </w:r>
          </w:p>
        </w:tc>
        <w:tc>
          <w:tcPr>
            <w:tcW w:w="1559" w:type="dxa"/>
          </w:tcPr>
          <w:p w14:paraId="08E7A09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39076FE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Grassy introduced, native forest and forest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Metrosideros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polymorpha</w:t>
            </w:r>
            <w:proofErr w:type="spellEnd"/>
          </w:p>
        </w:tc>
        <w:tc>
          <w:tcPr>
            <w:tcW w:w="1559" w:type="dxa"/>
          </w:tcPr>
          <w:p w14:paraId="6D5BF41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7BAFD8A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Restoration</w:t>
            </w:r>
          </w:p>
        </w:tc>
      </w:tr>
      <w:tr w:rsidR="00114D24" w:rsidRPr="004F4F65" w14:paraId="1BB9CBB1" w14:textId="77777777" w:rsidTr="00734FC0">
        <w:trPr>
          <w:trHeight w:val="684"/>
        </w:trPr>
        <w:tc>
          <w:tcPr>
            <w:tcW w:w="720" w:type="dxa"/>
          </w:tcPr>
          <w:p w14:paraId="44400C6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78" w:type="dxa"/>
          </w:tcPr>
          <w:p w14:paraId="6828E6A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Hughes, R.F.,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Denslow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J.S. (2005). Invasion by a N2-fixing tree alters function and structure in wet lowland forests of Hawaii.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Ecological Applications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15: 1615–1628</w:t>
            </w:r>
          </w:p>
        </w:tc>
        <w:tc>
          <w:tcPr>
            <w:tcW w:w="3118" w:type="dxa"/>
          </w:tcPr>
          <w:p w14:paraId="042615C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Falcataria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c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hanges the availability of conditions and resources facilitating the invasion of other exotic species.</w:t>
            </w:r>
          </w:p>
        </w:tc>
        <w:tc>
          <w:tcPr>
            <w:tcW w:w="851" w:type="dxa"/>
          </w:tcPr>
          <w:p w14:paraId="441D223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Havai</w:t>
            </w:r>
          </w:p>
        </w:tc>
        <w:tc>
          <w:tcPr>
            <w:tcW w:w="1559" w:type="dxa"/>
          </w:tcPr>
          <w:p w14:paraId="2CB786E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19°26'53" N, 154°51'40" W and 19°25'11" N, 154°57'14" W</w:t>
            </w:r>
          </w:p>
        </w:tc>
        <w:tc>
          <w:tcPr>
            <w:tcW w:w="1559" w:type="dxa"/>
          </w:tcPr>
          <w:p w14:paraId="17BF38B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Moist lowland forest</w:t>
            </w:r>
          </w:p>
        </w:tc>
        <w:tc>
          <w:tcPr>
            <w:tcW w:w="1559" w:type="dxa"/>
          </w:tcPr>
          <w:p w14:paraId="1DEF946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0B1E128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Biological invasions</w:t>
            </w:r>
          </w:p>
        </w:tc>
      </w:tr>
      <w:tr w:rsidR="00114D24" w:rsidRPr="004F4F65" w14:paraId="00BCBD54" w14:textId="77777777" w:rsidTr="00734FC0">
        <w:trPr>
          <w:trHeight w:val="1934"/>
        </w:trPr>
        <w:tc>
          <w:tcPr>
            <w:tcW w:w="720" w:type="dxa"/>
          </w:tcPr>
          <w:p w14:paraId="41C8087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78" w:type="dxa"/>
          </w:tcPr>
          <w:p w14:paraId="31F880F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Jian, P-Y., Hu, F.S., Wang, C.P., Chiang, J.-m., Lin, T-C. (2013) Ecological Facilitation between Two Epiphytes through Drought Mitigation in a Subtropical Rainforest.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PLoS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ONE,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8(5): e64599</w:t>
            </w:r>
          </w:p>
        </w:tc>
        <w:tc>
          <w:tcPr>
            <w:tcW w:w="3118" w:type="dxa"/>
          </w:tcPr>
          <w:p w14:paraId="25773F4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antiquum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benefits occurrence of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H.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zosterifolia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through mitigation of water stress. Substrates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antiquum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increase the availability of water and provide nutrients for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H.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zosterifolia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6AC309D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Taiwan</w:t>
            </w:r>
          </w:p>
        </w:tc>
        <w:tc>
          <w:tcPr>
            <w:tcW w:w="1559" w:type="dxa"/>
          </w:tcPr>
          <w:p w14:paraId="575E4E4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24°34" N, 121°34"E</w:t>
            </w:r>
          </w:p>
        </w:tc>
        <w:tc>
          <w:tcPr>
            <w:tcW w:w="1559" w:type="dxa"/>
          </w:tcPr>
          <w:p w14:paraId="57EE08A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Rainforest</w:t>
            </w:r>
          </w:p>
        </w:tc>
        <w:tc>
          <w:tcPr>
            <w:tcW w:w="1559" w:type="dxa"/>
          </w:tcPr>
          <w:p w14:paraId="61CFE3F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7F692BA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29516A85" w14:textId="77777777" w:rsidTr="00734FC0">
        <w:trPr>
          <w:trHeight w:val="1934"/>
        </w:trPr>
        <w:tc>
          <w:tcPr>
            <w:tcW w:w="720" w:type="dxa"/>
          </w:tcPr>
          <w:p w14:paraId="63B7E53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78" w:type="dxa"/>
          </w:tcPr>
          <w:p w14:paraId="20E0E3BF" w14:textId="7CF81DCE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Lang, A.C.,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Hardtle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W.,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Baruffol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Bohnke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M., Bruelheide, H.,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Schmid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B.,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vonWehrden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H., von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Oheimb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G. (2012). Mechanisms promoting tree species co-existence: Experimental evidence with saplings of subtropical forest ecosystems of China.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Journal of Vegetation Science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23: 837–846</w:t>
            </w:r>
          </w:p>
        </w:tc>
        <w:tc>
          <w:tcPr>
            <w:tcW w:w="3118" w:type="dxa"/>
          </w:tcPr>
          <w:p w14:paraId="6E8DCBE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The composition and the identity of species on growth and variable rates of juvenile tree canopy architecture point to niche separation as a species coexistence mechanism.</w:t>
            </w:r>
          </w:p>
        </w:tc>
        <w:tc>
          <w:tcPr>
            <w:tcW w:w="851" w:type="dxa"/>
          </w:tcPr>
          <w:p w14:paraId="50D3917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559" w:type="dxa"/>
          </w:tcPr>
          <w:p w14:paraId="5F805F8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29°06′33′′N, 117°55′24′′E</w:t>
            </w:r>
          </w:p>
        </w:tc>
        <w:tc>
          <w:tcPr>
            <w:tcW w:w="1559" w:type="dxa"/>
          </w:tcPr>
          <w:p w14:paraId="5ADD2A4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Planted forests homogeneous and mixed planted forests (plantations with 2 and 4 species)</w:t>
            </w:r>
          </w:p>
        </w:tc>
        <w:tc>
          <w:tcPr>
            <w:tcW w:w="1559" w:type="dxa"/>
          </w:tcPr>
          <w:p w14:paraId="71AB27F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4E29814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4B231A90" w14:textId="77777777" w:rsidTr="00734FC0">
        <w:trPr>
          <w:trHeight w:val="954"/>
        </w:trPr>
        <w:tc>
          <w:tcPr>
            <w:tcW w:w="720" w:type="dxa"/>
          </w:tcPr>
          <w:p w14:paraId="33702F1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3178" w:type="dxa"/>
          </w:tcPr>
          <w:p w14:paraId="71CC00E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Lebrija-Trejosa, E. , Meaveb, J.A., Poortera, L., Pérez-García, E.A., Frans Bongers, F. (2010).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Pathways, mechanisms and predictability of vegetation change during tropical dry forest succession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Perspectives in Plant Ecology, Evolution and Systematics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, 12: 267–275</w:t>
            </w:r>
          </w:p>
        </w:tc>
        <w:tc>
          <w:tcPr>
            <w:tcW w:w="3118" w:type="dxa"/>
          </w:tcPr>
          <w:p w14:paraId="3A4AFBC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Positive interactions between plant-plant comprise the successional structure (succession by facilitation). Increased coverage of pioneer species reduces light and temperature on the forest floor.</w:t>
            </w:r>
          </w:p>
        </w:tc>
        <w:tc>
          <w:tcPr>
            <w:tcW w:w="851" w:type="dxa"/>
          </w:tcPr>
          <w:p w14:paraId="69A8D52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559" w:type="dxa"/>
          </w:tcPr>
          <w:p w14:paraId="0D073D2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16°39'30"N, 95°00'40"W</w:t>
            </w:r>
          </w:p>
        </w:tc>
        <w:tc>
          <w:tcPr>
            <w:tcW w:w="1559" w:type="dxa"/>
          </w:tcPr>
          <w:p w14:paraId="69C1A2C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Dry forest (Local successional for abandonment of time ranging from &lt;1 year to approximately 60 years and an area of mature forest)</w:t>
            </w:r>
          </w:p>
        </w:tc>
        <w:tc>
          <w:tcPr>
            <w:tcW w:w="1559" w:type="dxa"/>
          </w:tcPr>
          <w:p w14:paraId="448FCE6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5BEDC17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Ecological succession</w:t>
            </w:r>
          </w:p>
        </w:tc>
      </w:tr>
      <w:tr w:rsidR="00114D24" w:rsidRPr="004F4F65" w14:paraId="227CEF84" w14:textId="77777777" w:rsidTr="00734FC0">
        <w:trPr>
          <w:trHeight w:val="594"/>
        </w:trPr>
        <w:tc>
          <w:tcPr>
            <w:tcW w:w="720" w:type="dxa"/>
          </w:tcPr>
          <w:p w14:paraId="1CBEF29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78" w:type="dxa"/>
          </w:tcPr>
          <w:p w14:paraId="646D2A0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Li, Q., Liang, Y., Tong, B., Du, X., Ma, K</w:t>
            </w:r>
            <w:proofErr w:type="gram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.(</w:t>
            </w:r>
            <w:proofErr w:type="gram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2010). Compensatory effects between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Pinus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massoniana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broadleaved tree species.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Journal of Plant Ecology,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3: 183-189</w:t>
            </w:r>
          </w:p>
        </w:tc>
        <w:tc>
          <w:tcPr>
            <w:tcW w:w="3118" w:type="dxa"/>
          </w:tcPr>
          <w:p w14:paraId="4AF2179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Rhus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chinensis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Camellia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oleifera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as neighboring species showed significantly facilitating effects on biomass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>Pinus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>massoniana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4480263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559" w:type="dxa"/>
          </w:tcPr>
          <w:p w14:paraId="0347F45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30°45” 31°22"N, 103°25” 103°47” E</w:t>
            </w:r>
          </w:p>
        </w:tc>
        <w:tc>
          <w:tcPr>
            <w:tcW w:w="1559" w:type="dxa"/>
          </w:tcPr>
          <w:p w14:paraId="7A74681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Homogeneous plantations and mixed plantations (2 species)</w:t>
            </w:r>
          </w:p>
        </w:tc>
        <w:tc>
          <w:tcPr>
            <w:tcW w:w="1559" w:type="dxa"/>
          </w:tcPr>
          <w:p w14:paraId="5ECA420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1054DBB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Regeneration</w:t>
            </w:r>
          </w:p>
        </w:tc>
      </w:tr>
      <w:tr w:rsidR="00114D24" w:rsidRPr="004F4F65" w14:paraId="5AFA920E" w14:textId="77777777" w:rsidTr="00734FC0">
        <w:trPr>
          <w:trHeight w:val="1934"/>
        </w:trPr>
        <w:tc>
          <w:tcPr>
            <w:tcW w:w="720" w:type="dxa"/>
          </w:tcPr>
          <w:p w14:paraId="2DFD691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78" w:type="dxa"/>
          </w:tcPr>
          <w:p w14:paraId="6DB5F59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Maza-Villalobos, S., Lemus-Herrera, C., Martínez-Ramos, M. (2011).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Successional trends in soil seed banks of abandoned pastures of a Neotropical dry region.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Journal of Tropical Ecology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27:35–49</w:t>
            </w:r>
          </w:p>
        </w:tc>
        <w:tc>
          <w:tcPr>
            <w:tcW w:w="3118" w:type="dxa"/>
          </w:tcPr>
          <w:p w14:paraId="789B985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Herbaceous plants are substituted by woody plants during succession species substitution mechanism (succession) by facilitation. It was a progressive substitution of seeds observed herbaceous plants by those of woody plants on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chronosequence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042F3C0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559" w:type="dxa"/>
          </w:tcPr>
          <w:p w14:paraId="231DF7D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19°30'N, 105°03'W</w:t>
            </w:r>
          </w:p>
        </w:tc>
        <w:tc>
          <w:tcPr>
            <w:tcW w:w="1559" w:type="dxa"/>
          </w:tcPr>
          <w:p w14:paraId="4FB8AD4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Dry forests at different ages</w:t>
            </w:r>
          </w:p>
        </w:tc>
        <w:tc>
          <w:tcPr>
            <w:tcW w:w="1559" w:type="dxa"/>
          </w:tcPr>
          <w:p w14:paraId="7ADD021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0BA52EA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Ecological succession</w:t>
            </w:r>
          </w:p>
        </w:tc>
      </w:tr>
      <w:tr w:rsidR="00114D24" w:rsidRPr="004F4F65" w14:paraId="62F59DA0" w14:textId="77777777" w:rsidTr="00734FC0">
        <w:trPr>
          <w:trHeight w:val="1934"/>
        </w:trPr>
        <w:tc>
          <w:tcPr>
            <w:tcW w:w="720" w:type="dxa"/>
          </w:tcPr>
          <w:p w14:paraId="59C20C6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78" w:type="dxa"/>
          </w:tcPr>
          <w:p w14:paraId="0463E70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Omeja, P.A., Chapmanb, C.A., Obuaa, J., Lwangab, J.S., Jacobe, A.L., Wanyamaf, F., Mugenyi.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R. (2011). Intensive tree planting facilitates tropical forest biodiversity and biomass accumulation in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Kibale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National Park, Uganda.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Forest Ecology and Management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261:703–709.</w:t>
            </w:r>
          </w:p>
        </w:tc>
        <w:tc>
          <w:tcPr>
            <w:tcW w:w="3118" w:type="dxa"/>
          </w:tcPr>
          <w:p w14:paraId="07A1BB5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The presence of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Acanthus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pubescens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Lantana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camara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(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invasive) facilitates the establishment of tree species by decreasing the temperature and increase soil moisture.</w:t>
            </w:r>
          </w:p>
        </w:tc>
        <w:tc>
          <w:tcPr>
            <w:tcW w:w="851" w:type="dxa"/>
          </w:tcPr>
          <w:p w14:paraId="629C2E3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Uganda</w:t>
            </w:r>
          </w:p>
        </w:tc>
        <w:tc>
          <w:tcPr>
            <w:tcW w:w="1559" w:type="dxa"/>
          </w:tcPr>
          <w:p w14:paraId="1CA54C9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0°13–0°41'N, 30°19–30°32'E</w:t>
            </w:r>
          </w:p>
        </w:tc>
        <w:tc>
          <w:tcPr>
            <w:tcW w:w="1559" w:type="dxa"/>
          </w:tcPr>
          <w:p w14:paraId="0C77420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Rainforest</w:t>
            </w:r>
          </w:p>
        </w:tc>
        <w:tc>
          <w:tcPr>
            <w:tcW w:w="1559" w:type="dxa"/>
          </w:tcPr>
          <w:p w14:paraId="562DAB5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3113E2E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Regeneration and biological invasions</w:t>
            </w:r>
          </w:p>
        </w:tc>
      </w:tr>
      <w:tr w:rsidR="00114D24" w:rsidRPr="004F4F65" w14:paraId="3F5F27FF" w14:textId="77777777" w:rsidTr="00734FC0">
        <w:trPr>
          <w:trHeight w:val="630"/>
        </w:trPr>
        <w:tc>
          <w:tcPr>
            <w:tcW w:w="720" w:type="dxa"/>
          </w:tcPr>
          <w:p w14:paraId="03ACE2D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3178" w:type="dxa"/>
          </w:tcPr>
          <w:p w14:paraId="1A85F75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Peña, M.A., Duque A. (2013).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Patterns of stocks of aboveground tree biomass, dynamics, and their determinants in secondary Andean forests.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Forest Ecology and Management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302: 54–61</w:t>
            </w:r>
          </w:p>
        </w:tc>
        <w:tc>
          <w:tcPr>
            <w:tcW w:w="3118" w:type="dxa"/>
          </w:tcPr>
          <w:p w14:paraId="206DA94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Pioneer species positively affect soil fertility, accelerating the rate of growth of plant species, interfering directly in the accumulation of biomass rate.</w:t>
            </w:r>
          </w:p>
        </w:tc>
        <w:tc>
          <w:tcPr>
            <w:tcW w:w="851" w:type="dxa"/>
          </w:tcPr>
          <w:p w14:paraId="2A03F43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559" w:type="dxa"/>
          </w:tcPr>
          <w:p w14:paraId="74BDB42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2CB44C6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Secondary forest (15 and 28 years)</w:t>
            </w:r>
          </w:p>
        </w:tc>
        <w:tc>
          <w:tcPr>
            <w:tcW w:w="1559" w:type="dxa"/>
          </w:tcPr>
          <w:p w14:paraId="1BE2D86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689536A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Ecological succession</w:t>
            </w:r>
          </w:p>
        </w:tc>
      </w:tr>
      <w:tr w:rsidR="00114D24" w:rsidRPr="004F4F65" w14:paraId="559BC545" w14:textId="77777777" w:rsidTr="00734FC0">
        <w:trPr>
          <w:trHeight w:val="1934"/>
        </w:trPr>
        <w:tc>
          <w:tcPr>
            <w:tcW w:w="720" w:type="dxa"/>
          </w:tcPr>
          <w:p w14:paraId="408E2E5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178" w:type="dxa"/>
          </w:tcPr>
          <w:p w14:paraId="29957FA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Pérez-Salicrup, D.R., Sork, V.L. (1998).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Lianas and Trees in a Liana Forest of Amazonian Bolivia.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Biotropica,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33(1): 34–47</w:t>
            </w:r>
          </w:p>
        </w:tc>
        <w:tc>
          <w:tcPr>
            <w:tcW w:w="3118" w:type="dxa"/>
          </w:tcPr>
          <w:p w14:paraId="674DEECB" w14:textId="2D1FF589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Lianas facilitate other lianas to reach the canopy providing structural support through its trunk that is already established in a host tree. Some palm species also facilitated the presence of liana</w:t>
            </w:r>
            <w:r w:rsidR="000551EF"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providing structural support. L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arger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enshrine greater amount of lianas.</w:t>
            </w:r>
          </w:p>
        </w:tc>
        <w:tc>
          <w:tcPr>
            <w:tcW w:w="851" w:type="dxa"/>
          </w:tcPr>
          <w:p w14:paraId="33CEE18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1559" w:type="dxa"/>
          </w:tcPr>
          <w:p w14:paraId="22ADB9B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14°45'S, 62°00'W</w:t>
            </w:r>
          </w:p>
        </w:tc>
        <w:tc>
          <w:tcPr>
            <w:tcW w:w="1559" w:type="dxa"/>
          </w:tcPr>
          <w:p w14:paraId="7DBAE05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Secondary forest</w:t>
            </w:r>
          </w:p>
        </w:tc>
        <w:tc>
          <w:tcPr>
            <w:tcW w:w="1559" w:type="dxa"/>
          </w:tcPr>
          <w:p w14:paraId="053C9C2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013E7F0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Ecological</w:t>
            </w:r>
          </w:p>
        </w:tc>
      </w:tr>
      <w:tr w:rsidR="00114D24" w:rsidRPr="004F4F65" w14:paraId="6C80669D" w14:textId="77777777" w:rsidTr="00734FC0">
        <w:trPr>
          <w:trHeight w:val="1440"/>
        </w:trPr>
        <w:tc>
          <w:tcPr>
            <w:tcW w:w="720" w:type="dxa"/>
          </w:tcPr>
          <w:p w14:paraId="53EBDBD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178" w:type="dxa"/>
          </w:tcPr>
          <w:p w14:paraId="1A5D51A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Piazzon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M., Larrinaga, A.R.,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Santamaría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L. (2011) Are Nested Networks More Robust to Disturbance? A Test Using Epiphyte-Tree,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Comensalistic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Networks.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PLoS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ONE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6(5): e19637</w:t>
            </w:r>
          </w:p>
        </w:tc>
        <w:tc>
          <w:tcPr>
            <w:tcW w:w="3118" w:type="dxa"/>
          </w:tcPr>
          <w:p w14:paraId="0912FE6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provide structural support for epiphytic orchids.</w:t>
            </w:r>
          </w:p>
        </w:tc>
        <w:tc>
          <w:tcPr>
            <w:tcW w:w="851" w:type="dxa"/>
          </w:tcPr>
          <w:p w14:paraId="38B6F49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1559" w:type="dxa"/>
          </w:tcPr>
          <w:p w14:paraId="5DD0F9C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350BFDD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1559" w:type="dxa"/>
          </w:tcPr>
          <w:p w14:paraId="28172A0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1BB43C7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Ecological</w:t>
            </w:r>
          </w:p>
        </w:tc>
      </w:tr>
      <w:tr w:rsidR="00114D24" w:rsidRPr="004F4F65" w14:paraId="18DDBB9B" w14:textId="77777777" w:rsidTr="00734FC0">
        <w:trPr>
          <w:trHeight w:val="1934"/>
        </w:trPr>
        <w:tc>
          <w:tcPr>
            <w:tcW w:w="720" w:type="dxa"/>
          </w:tcPr>
          <w:p w14:paraId="14ED768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178" w:type="dxa"/>
          </w:tcPr>
          <w:p w14:paraId="74E88BE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Pinard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M.A.,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Putz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F.E (1994). Vine infestation of large remnant trees in logged forest in Sabah, Malaysia: Biomechanical facilitation in vine succession.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Journal of Tropical Forest Science,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 6(3): 302 - 309.</w:t>
            </w:r>
          </w:p>
        </w:tc>
        <w:tc>
          <w:tcPr>
            <w:tcW w:w="3118" w:type="dxa"/>
          </w:tcPr>
          <w:p w14:paraId="184D0B7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Species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Piper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spp. and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Ficus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spp. provided structural support for species of climbing vines that climb with the aid of tendrils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(e.g.,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Passiflora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) and are limited to small diameter supports, permitting those species to access larger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. Several species of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Rubiaceae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Apocynaceae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Araceae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also facilitate access to canopy species of climbing vines.</w:t>
            </w:r>
          </w:p>
        </w:tc>
        <w:tc>
          <w:tcPr>
            <w:tcW w:w="851" w:type="dxa"/>
          </w:tcPr>
          <w:p w14:paraId="5EBDC48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Malasia</w:t>
            </w:r>
          </w:p>
        </w:tc>
        <w:tc>
          <w:tcPr>
            <w:tcW w:w="1559" w:type="dxa"/>
          </w:tcPr>
          <w:p w14:paraId="312A136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36379A3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Secondary forest</w:t>
            </w:r>
          </w:p>
        </w:tc>
        <w:tc>
          <w:tcPr>
            <w:tcW w:w="1559" w:type="dxa"/>
          </w:tcPr>
          <w:p w14:paraId="0E23AEC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09F50C1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 succession and ecological</w:t>
            </w:r>
          </w:p>
        </w:tc>
      </w:tr>
      <w:tr w:rsidR="00114D24" w:rsidRPr="004F4F65" w14:paraId="373FE418" w14:textId="77777777" w:rsidTr="00734FC0">
        <w:trPr>
          <w:trHeight w:val="1934"/>
        </w:trPr>
        <w:tc>
          <w:tcPr>
            <w:tcW w:w="720" w:type="dxa"/>
          </w:tcPr>
          <w:p w14:paraId="0D72D65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23*</w:t>
            </w:r>
          </w:p>
        </w:tc>
        <w:tc>
          <w:tcPr>
            <w:tcW w:w="3178" w:type="dxa"/>
          </w:tcPr>
          <w:p w14:paraId="0995A7D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Rocha, F.S., Duarte, L.S., Waechter, J.L. (2015).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Positive association between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Bromelia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balansae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Bromeliaceae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) and tree seedlings on rocky outcrops of Atlantic forest.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Journal of Tropical Ecology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31: 195-198</w:t>
            </w:r>
          </w:p>
        </w:tc>
        <w:tc>
          <w:tcPr>
            <w:tcW w:w="3118" w:type="dxa"/>
          </w:tcPr>
          <w:p w14:paraId="4D53B91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The presence of the species of bromeliad (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Bromelia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balansae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)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f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acilitates tree seedlings and saplings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Helietta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apiculata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Erythroxylum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cuneifolium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Eugenia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uniflora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improving the microclimatic conditions above ground.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Probably also improve soil nutrients.</w:t>
            </w:r>
          </w:p>
        </w:tc>
        <w:tc>
          <w:tcPr>
            <w:tcW w:w="851" w:type="dxa"/>
          </w:tcPr>
          <w:p w14:paraId="1FF0A21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6D87140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27°–27°20'S, 53°40'–54°10'W</w:t>
            </w:r>
          </w:p>
        </w:tc>
        <w:tc>
          <w:tcPr>
            <w:tcW w:w="1559" w:type="dxa"/>
          </w:tcPr>
          <w:p w14:paraId="72197D2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Forest and ecotone forest- rocky outcrop</w:t>
            </w:r>
          </w:p>
        </w:tc>
        <w:tc>
          <w:tcPr>
            <w:tcW w:w="1559" w:type="dxa"/>
          </w:tcPr>
          <w:p w14:paraId="56E25A9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44BA399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66E8B31A" w14:textId="77777777" w:rsidTr="00734FC0">
        <w:trPr>
          <w:trHeight w:val="1934"/>
        </w:trPr>
        <w:tc>
          <w:tcPr>
            <w:tcW w:w="720" w:type="dxa"/>
          </w:tcPr>
          <w:p w14:paraId="291E33D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178" w:type="dxa"/>
          </w:tcPr>
          <w:p w14:paraId="06B70DF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Rodrigues, R.R., Sebastião, V.M., Barros, L.C. (2004).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Tropical Rain Forest regeneration in an area degraded by mining in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Mato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Grosso State, Brazil.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Forest Ecology and Management,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190: 323–333</w:t>
            </w:r>
          </w:p>
        </w:tc>
        <w:tc>
          <w:tcPr>
            <w:tcW w:w="3118" w:type="dxa"/>
          </w:tcPr>
          <w:p w14:paraId="379F1D7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Trema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micrantha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Schizolobium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amazonicum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It showed the trend of a succession model for facilitation where these pioneers improve ecological conditions facilitating the regeneration of late species increasing the diversity of species.</w:t>
            </w:r>
          </w:p>
        </w:tc>
        <w:tc>
          <w:tcPr>
            <w:tcW w:w="851" w:type="dxa"/>
          </w:tcPr>
          <w:p w14:paraId="6E3B01B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68BD203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10°10'02"S, 54°55'46"W</w:t>
            </w:r>
          </w:p>
        </w:tc>
        <w:tc>
          <w:tcPr>
            <w:tcW w:w="1559" w:type="dxa"/>
          </w:tcPr>
          <w:p w14:paraId="3A88F4D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Rainforest</w:t>
            </w:r>
          </w:p>
        </w:tc>
        <w:tc>
          <w:tcPr>
            <w:tcW w:w="1559" w:type="dxa"/>
          </w:tcPr>
          <w:p w14:paraId="3326557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60A9A34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Regeneration</w:t>
            </w:r>
          </w:p>
        </w:tc>
      </w:tr>
      <w:tr w:rsidR="00114D24" w:rsidRPr="004F4F65" w14:paraId="11F979F2" w14:textId="77777777" w:rsidTr="00734FC0">
        <w:trPr>
          <w:trHeight w:val="1934"/>
        </w:trPr>
        <w:tc>
          <w:tcPr>
            <w:tcW w:w="720" w:type="dxa"/>
          </w:tcPr>
          <w:p w14:paraId="082BD90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178" w:type="dxa"/>
          </w:tcPr>
          <w:p w14:paraId="15314FD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Sánchez-Velásquez, L.R., Quintero-Gradilla, S., Aragón-Cruz, F., Pineda-López, Ma.R. (2004).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Nurses for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Brosimum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alicastrum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reintroduction in secondary tropical dry forest. 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Forest Ecology and Management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198: 401–404</w:t>
            </w:r>
          </w:p>
        </w:tc>
        <w:tc>
          <w:tcPr>
            <w:tcW w:w="3118" w:type="dxa"/>
          </w:tcPr>
          <w:p w14:paraId="1FD189D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The presence of nurses plants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Acalypha cincta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 and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Thouinia serrata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facilita a sobrevivência de plântulas de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B. alicastrum.</w:t>
            </w:r>
          </w:p>
        </w:tc>
        <w:tc>
          <w:tcPr>
            <w:tcW w:w="851" w:type="dxa"/>
          </w:tcPr>
          <w:p w14:paraId="44A275B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559" w:type="dxa"/>
          </w:tcPr>
          <w:p w14:paraId="278AE18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19°42', 19°35'N and 104°10',104°02'W</w:t>
            </w:r>
          </w:p>
        </w:tc>
        <w:tc>
          <w:tcPr>
            <w:tcW w:w="1559" w:type="dxa"/>
          </w:tcPr>
          <w:p w14:paraId="15FB793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Deciduous forest</w:t>
            </w:r>
          </w:p>
        </w:tc>
        <w:tc>
          <w:tcPr>
            <w:tcW w:w="1559" w:type="dxa"/>
          </w:tcPr>
          <w:p w14:paraId="6B655BF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2A86D72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Restoration</w:t>
            </w:r>
          </w:p>
        </w:tc>
      </w:tr>
      <w:tr w:rsidR="00114D24" w:rsidRPr="004F4F65" w14:paraId="0121B84F" w14:textId="77777777" w:rsidTr="00734FC0">
        <w:trPr>
          <w:trHeight w:val="1934"/>
        </w:trPr>
        <w:tc>
          <w:tcPr>
            <w:tcW w:w="720" w:type="dxa"/>
          </w:tcPr>
          <w:p w14:paraId="2AC7ECE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78" w:type="dxa"/>
          </w:tcPr>
          <w:p w14:paraId="52D8A91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Sáyago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R.,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Lopezaraiza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-Mikel, M., Quesada, M.,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Álvarez-Anõrve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M.Y.,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Cascante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Marín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Bastida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J.M. (2013) Evaluating factors that predict the structure of a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commensalistic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epiphyte–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network.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Proceedings Biological sciences, 280: 20122821</w:t>
            </w:r>
          </w:p>
        </w:tc>
        <w:tc>
          <w:tcPr>
            <w:tcW w:w="3118" w:type="dxa"/>
          </w:tcPr>
          <w:p w14:paraId="5CDBE09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provide structural support for the epiphytic bromeliads. Epiphytes were more common in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with larger dimensions and with the presence of the rough bark.</w:t>
            </w:r>
          </w:p>
        </w:tc>
        <w:tc>
          <w:tcPr>
            <w:tcW w:w="851" w:type="dxa"/>
          </w:tcPr>
          <w:p w14:paraId="7A452AF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559" w:type="dxa"/>
          </w:tcPr>
          <w:p w14:paraId="4A8E6BE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19°22'–19°35' N, 104°56' –105°03' W</w:t>
            </w:r>
          </w:p>
        </w:tc>
        <w:tc>
          <w:tcPr>
            <w:tcW w:w="1559" w:type="dxa"/>
          </w:tcPr>
          <w:p w14:paraId="54CF121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Dry forests</w:t>
            </w:r>
          </w:p>
        </w:tc>
        <w:tc>
          <w:tcPr>
            <w:tcW w:w="1559" w:type="dxa"/>
          </w:tcPr>
          <w:p w14:paraId="26F55ED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2E43FBD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2981100C" w14:textId="77777777" w:rsidTr="00734FC0">
        <w:trPr>
          <w:trHeight w:val="1934"/>
        </w:trPr>
        <w:tc>
          <w:tcPr>
            <w:tcW w:w="720" w:type="dxa"/>
          </w:tcPr>
          <w:p w14:paraId="05A8679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3178" w:type="dxa"/>
          </w:tcPr>
          <w:p w14:paraId="289A20B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Sfair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J.C., Rochelle, A.L.C.,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Rezende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A.A.,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Melis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J.,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Weiserd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V.L., Martins, F.R. (2010). Nested liana-tree network in three distinct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neotropical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vegetation formations.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P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erspectives in Plant Ecology, Evolution and Systematics,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 12: 277–281</w:t>
            </w:r>
          </w:p>
        </w:tc>
        <w:tc>
          <w:tcPr>
            <w:tcW w:w="3118" w:type="dxa"/>
          </w:tcPr>
          <w:p w14:paraId="3BE5AED5" w14:textId="6DF6A671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provide stru</w:t>
            </w:r>
            <w:r w:rsidR="000551EF"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ctural support for the lianas. L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arger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are responsible for protect high diversity of lianas.</w:t>
            </w:r>
          </w:p>
        </w:tc>
        <w:tc>
          <w:tcPr>
            <w:tcW w:w="851" w:type="dxa"/>
          </w:tcPr>
          <w:p w14:paraId="7570EB3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07FCB09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040F646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Seasonal forest</w:t>
            </w:r>
          </w:p>
        </w:tc>
        <w:tc>
          <w:tcPr>
            <w:tcW w:w="1559" w:type="dxa"/>
          </w:tcPr>
          <w:p w14:paraId="5D8B8B3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4D67FDD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5ECE866D" w14:textId="77777777" w:rsidTr="00734FC0">
        <w:trPr>
          <w:trHeight w:val="720"/>
        </w:trPr>
        <w:tc>
          <w:tcPr>
            <w:tcW w:w="720" w:type="dxa"/>
          </w:tcPr>
          <w:p w14:paraId="57515D0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178" w:type="dxa"/>
          </w:tcPr>
          <w:p w14:paraId="676A7FA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Silva, I.A., Ferreira, A.W.C., Lima, M.I.S., Soares, J.J. (2010).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Networks of epiphytic orchids and host trees in Brazilian gallery forests.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Journal of Tropical Ecology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26:127-137</w:t>
            </w:r>
          </w:p>
        </w:tc>
        <w:tc>
          <w:tcPr>
            <w:tcW w:w="3118" w:type="dxa"/>
          </w:tcPr>
          <w:p w14:paraId="7BB006A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provide structural support for epiphytic orchids.</w:t>
            </w:r>
          </w:p>
        </w:tc>
        <w:tc>
          <w:tcPr>
            <w:tcW w:w="851" w:type="dxa"/>
          </w:tcPr>
          <w:p w14:paraId="2AFC1E7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2529A75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4A0605A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Gallery forest</w:t>
            </w:r>
          </w:p>
        </w:tc>
        <w:tc>
          <w:tcPr>
            <w:tcW w:w="1559" w:type="dxa"/>
          </w:tcPr>
          <w:p w14:paraId="6413CF5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6705A66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4A43ED6A" w14:textId="77777777" w:rsidTr="00734FC0">
        <w:trPr>
          <w:trHeight w:val="945"/>
        </w:trPr>
        <w:tc>
          <w:tcPr>
            <w:tcW w:w="720" w:type="dxa"/>
          </w:tcPr>
          <w:p w14:paraId="3407F3D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178" w:type="dxa"/>
          </w:tcPr>
          <w:p w14:paraId="30225CB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Souza, F.M., Gandolfi, S., Rodrigues, R.R. (2014).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Deciduousness Influences the Understory Community in a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Semideciduous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Tropical Forest.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Biotropica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46(5): 512–515</w:t>
            </w:r>
          </w:p>
        </w:tc>
        <w:tc>
          <w:tcPr>
            <w:tcW w:w="3118" w:type="dxa"/>
          </w:tcPr>
          <w:p w14:paraId="314AC71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Deciduous trees facilitated species of understory that require light for development.</w:t>
            </w:r>
          </w:p>
        </w:tc>
        <w:tc>
          <w:tcPr>
            <w:tcW w:w="851" w:type="dxa"/>
          </w:tcPr>
          <w:p w14:paraId="1CC5BB6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68B3B27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22°41' S, 49°10' W</w:t>
            </w:r>
          </w:p>
        </w:tc>
        <w:tc>
          <w:tcPr>
            <w:tcW w:w="1559" w:type="dxa"/>
          </w:tcPr>
          <w:p w14:paraId="50D25AB8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Semideciduous forest</w:t>
            </w:r>
          </w:p>
        </w:tc>
        <w:tc>
          <w:tcPr>
            <w:tcW w:w="1559" w:type="dxa"/>
          </w:tcPr>
          <w:p w14:paraId="30EF165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5F39DF9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61AEFA39" w14:textId="77777777" w:rsidTr="00734FC0">
        <w:trPr>
          <w:trHeight w:val="1934"/>
        </w:trPr>
        <w:tc>
          <w:tcPr>
            <w:tcW w:w="720" w:type="dxa"/>
          </w:tcPr>
          <w:p w14:paraId="2AF7C68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78" w:type="dxa"/>
          </w:tcPr>
          <w:p w14:paraId="7E87629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Vieira l.C.G., Uhl, C., Nepstad, D. (1994).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role of the shrub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Cordia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multispicata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Cham. </w:t>
            </w:r>
            <w:proofErr w:type="gram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as</w:t>
            </w:r>
            <w:proofErr w:type="gram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 'succession facilitator' in an abandoned pasture,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Paragominas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Amazônia.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Vegetatio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115: 91-99</w:t>
            </w:r>
          </w:p>
        </w:tc>
        <w:tc>
          <w:tcPr>
            <w:tcW w:w="3118" w:type="dxa"/>
          </w:tcPr>
          <w:p w14:paraId="2ADEDE6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Cordia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multispicata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facilitated juvenile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juvenile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woody species by improving the microclimate and soil fertility.</w:t>
            </w:r>
          </w:p>
        </w:tc>
        <w:tc>
          <w:tcPr>
            <w:tcW w:w="851" w:type="dxa"/>
          </w:tcPr>
          <w:p w14:paraId="4306E64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7ABC982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 ° 55' S, 47 ° 35' W</w:t>
            </w:r>
          </w:p>
        </w:tc>
        <w:tc>
          <w:tcPr>
            <w:tcW w:w="1559" w:type="dxa"/>
          </w:tcPr>
          <w:p w14:paraId="30267ED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Abandoned pasture</w:t>
            </w:r>
          </w:p>
        </w:tc>
        <w:tc>
          <w:tcPr>
            <w:tcW w:w="1559" w:type="dxa"/>
          </w:tcPr>
          <w:p w14:paraId="4FDBDFA2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411F1D2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 succession</w:t>
            </w:r>
          </w:p>
        </w:tc>
      </w:tr>
      <w:tr w:rsidR="00114D24" w:rsidRPr="004F4F65" w14:paraId="0D926925" w14:textId="77777777" w:rsidTr="00734FC0">
        <w:trPr>
          <w:trHeight w:val="1934"/>
        </w:trPr>
        <w:tc>
          <w:tcPr>
            <w:tcW w:w="720" w:type="dxa"/>
          </w:tcPr>
          <w:p w14:paraId="10C2435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31*</w:t>
            </w:r>
          </w:p>
        </w:tc>
        <w:tc>
          <w:tcPr>
            <w:tcW w:w="3178" w:type="dxa"/>
          </w:tcPr>
          <w:p w14:paraId="079EF46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Wan, S., C. Zhang, Y. Chen, J. Zhao, X. Wang, J. Wu, L. Zhou, Y. Lin, Z. Liu, and S. Fu. (2014). The understory fern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Dicranopteris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dichotoma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facilitates the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overstory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Eucalyptus trees in subtropical plantations. Ecosphere 5(5):51.</w:t>
            </w:r>
          </w:p>
        </w:tc>
        <w:tc>
          <w:tcPr>
            <w:tcW w:w="3118" w:type="dxa"/>
          </w:tcPr>
          <w:p w14:paraId="7813781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fern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Dicranopteris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dichotoma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facilitates trees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Eucalyptus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urophylla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by adding nutrients in the soil.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D.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dichotoma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facilitates the growth of tree species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E.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urophylla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1DF33F0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559" w:type="dxa"/>
          </w:tcPr>
          <w:p w14:paraId="17C5072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112°50' E, 22°37' N</w:t>
            </w:r>
          </w:p>
        </w:tc>
        <w:tc>
          <w:tcPr>
            <w:tcW w:w="1559" w:type="dxa"/>
          </w:tcPr>
          <w:p w14:paraId="7CB0D57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1559" w:type="dxa"/>
          </w:tcPr>
          <w:p w14:paraId="26FAE03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0178AD0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503D6FF3" w14:textId="77777777" w:rsidTr="00734FC0">
        <w:trPr>
          <w:trHeight w:val="360"/>
        </w:trPr>
        <w:tc>
          <w:tcPr>
            <w:tcW w:w="720" w:type="dxa"/>
          </w:tcPr>
          <w:p w14:paraId="44D8592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32*</w:t>
            </w:r>
          </w:p>
        </w:tc>
        <w:tc>
          <w:tcPr>
            <w:tcW w:w="3178" w:type="dxa"/>
          </w:tcPr>
          <w:p w14:paraId="3AE01E2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Yang, L., Liu, N., Rena, H., Wang, J. (2009). Facilitation by two exotic Acacia: Acacia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auriculiformis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Acacia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mangium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as nurse plants in South China.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Forest Ecology and Management,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257:1786–1793</w:t>
            </w:r>
          </w:p>
        </w:tc>
        <w:tc>
          <w:tcPr>
            <w:tcW w:w="3118" w:type="dxa"/>
          </w:tcPr>
          <w:p w14:paraId="42F22B3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Acacia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auriculiformis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and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Acacia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mangium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(exotic) facilitate </w:t>
            </w:r>
            <w:proofErr w:type="gram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individuals</w:t>
            </w:r>
            <w:proofErr w:type="gram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juveniles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Castanopsis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hystrix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Michelia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macclurei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Manglietia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glauca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improving temperature (air and soil), conditions for photosynthesis and soil nutrients. The shading provided by species of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Acacia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(especially by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mangium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reduces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photoinhibition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in plant understory, which is beneficial to accumulate more biomass carbon assimilation.</w:t>
            </w:r>
          </w:p>
        </w:tc>
        <w:tc>
          <w:tcPr>
            <w:tcW w:w="851" w:type="dxa"/>
          </w:tcPr>
          <w:p w14:paraId="5F71B84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559" w:type="dxa"/>
          </w:tcPr>
          <w:p w14:paraId="28B72B9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22°40'N, 112°50'E</w:t>
            </w:r>
          </w:p>
        </w:tc>
        <w:tc>
          <w:tcPr>
            <w:tcW w:w="1559" w:type="dxa"/>
          </w:tcPr>
          <w:p w14:paraId="1610621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Homogeneous plantations of Acacia regeneration and open area</w:t>
            </w:r>
          </w:p>
        </w:tc>
        <w:tc>
          <w:tcPr>
            <w:tcW w:w="1559" w:type="dxa"/>
          </w:tcPr>
          <w:p w14:paraId="0D8F566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4EF2B603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Biological invasions</w:t>
            </w:r>
          </w:p>
        </w:tc>
      </w:tr>
      <w:tr w:rsidR="00114D24" w:rsidRPr="004F4F65" w14:paraId="473FA1A5" w14:textId="77777777" w:rsidTr="00734FC0">
        <w:trPr>
          <w:trHeight w:val="1934"/>
        </w:trPr>
        <w:tc>
          <w:tcPr>
            <w:tcW w:w="720" w:type="dxa"/>
          </w:tcPr>
          <w:p w14:paraId="5FFC9577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33*</w:t>
            </w:r>
          </w:p>
        </w:tc>
        <w:tc>
          <w:tcPr>
            <w:tcW w:w="3178" w:type="dxa"/>
          </w:tcPr>
          <w:p w14:paraId="77FEEE6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Yang,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L.</w:t>
            </w:r>
            <w:proofErr w:type="gram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,Ren</w:t>
            </w:r>
            <w:proofErr w:type="spellEnd"/>
            <w:proofErr w:type="gram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H., Liu, N., Wang, L. (2010). The shrub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Rhodomyrtus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tomentosa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acts as a nurse plant for seedlings differing in shade tolerance in degraded land of South China.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Journal of Vegetation Science,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 xml:space="preserve"> 21: 262–272</w:t>
            </w:r>
          </w:p>
        </w:tc>
        <w:tc>
          <w:tcPr>
            <w:tcW w:w="3118" w:type="dxa"/>
          </w:tcPr>
          <w:p w14:paraId="0A0D3FD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presence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Rhodomyrtus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tomentosa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facilitates the survival of juvenile arboreal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C.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fissa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and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M.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macclurei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Cs/>
                <w:color w:val="000000"/>
                <w:sz w:val="20"/>
                <w:szCs w:val="20"/>
                <w:lang w:val="en-US"/>
              </w:rPr>
              <w:t>and growth of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Schima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superba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By improving the microclimatic conditions above ground. The effect </w:t>
            </w:r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 xml:space="preserve">R.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color w:val="000000"/>
                <w:sz w:val="20"/>
                <w:szCs w:val="20"/>
                <w:lang w:val="en-US"/>
              </w:rPr>
              <w:t>tomentosa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depends more on the shade canopy than soil improvement.</w:t>
            </w:r>
          </w:p>
        </w:tc>
        <w:tc>
          <w:tcPr>
            <w:tcW w:w="851" w:type="dxa"/>
          </w:tcPr>
          <w:p w14:paraId="3956BACD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559" w:type="dxa"/>
          </w:tcPr>
          <w:p w14:paraId="4F491DF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22°34'N, 112°50'E</w:t>
            </w:r>
          </w:p>
        </w:tc>
        <w:tc>
          <w:tcPr>
            <w:tcW w:w="1559" w:type="dxa"/>
          </w:tcPr>
          <w:p w14:paraId="430E8DBA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Regeneration in forest areas</w:t>
            </w:r>
          </w:p>
        </w:tc>
        <w:tc>
          <w:tcPr>
            <w:tcW w:w="1559" w:type="dxa"/>
          </w:tcPr>
          <w:p w14:paraId="205FF6F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1C92CFEE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  <w:tr w:rsidR="00114D24" w:rsidRPr="004F4F65" w14:paraId="5E3F669E" w14:textId="77777777" w:rsidTr="00734FC0">
        <w:trPr>
          <w:trHeight w:val="765"/>
        </w:trPr>
        <w:tc>
          <w:tcPr>
            <w:tcW w:w="720" w:type="dxa"/>
          </w:tcPr>
          <w:p w14:paraId="6F291C04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178" w:type="dxa"/>
          </w:tcPr>
          <w:p w14:paraId="1724C6E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Zanini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L.,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Ganade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G (2005). Restoration of Araucaria Forest: The Role of Perches, Pioneer Vegetation, and Soil Fertility.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>Restoration Ecology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, 13: 507-514</w:t>
            </w:r>
          </w:p>
        </w:tc>
        <w:tc>
          <w:tcPr>
            <w:tcW w:w="3118" w:type="dxa"/>
          </w:tcPr>
          <w:p w14:paraId="78F06D8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The pioneer vegetation facilitates seed germination and survival of regenerating species.</w:t>
            </w:r>
          </w:p>
        </w:tc>
        <w:tc>
          <w:tcPr>
            <w:tcW w:w="851" w:type="dxa"/>
          </w:tcPr>
          <w:p w14:paraId="3AA5CDEC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559" w:type="dxa"/>
          </w:tcPr>
          <w:p w14:paraId="05D9AB7B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29°23'S, 50°23'W</w:t>
            </w:r>
          </w:p>
        </w:tc>
        <w:tc>
          <w:tcPr>
            <w:tcW w:w="1559" w:type="dxa"/>
          </w:tcPr>
          <w:p w14:paraId="0A9451DF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Araucaria forest</w:t>
            </w:r>
          </w:p>
        </w:tc>
        <w:tc>
          <w:tcPr>
            <w:tcW w:w="1559" w:type="dxa"/>
          </w:tcPr>
          <w:p w14:paraId="771596B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Experimental</w:t>
            </w:r>
          </w:p>
        </w:tc>
        <w:tc>
          <w:tcPr>
            <w:tcW w:w="1398" w:type="dxa"/>
          </w:tcPr>
          <w:p w14:paraId="124438B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Restoration</w:t>
            </w:r>
          </w:p>
        </w:tc>
      </w:tr>
      <w:tr w:rsidR="00114D24" w:rsidRPr="004F4F65" w14:paraId="4B1B121A" w14:textId="77777777" w:rsidTr="00734FC0">
        <w:trPr>
          <w:trHeight w:val="1934"/>
        </w:trPr>
        <w:tc>
          <w:tcPr>
            <w:tcW w:w="720" w:type="dxa"/>
          </w:tcPr>
          <w:p w14:paraId="41509B75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3178" w:type="dxa"/>
          </w:tcPr>
          <w:p w14:paraId="4C68AC19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Zotz, G.,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Laube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, S. e Schmidt, G. (2005) Long-term population dynamics of the epiphytic bromeliad,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Werauhia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sanguinolenta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.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</w:rPr>
              <w:t xml:space="preserve">Ecography,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28: 80-814</w:t>
            </w:r>
          </w:p>
        </w:tc>
        <w:tc>
          <w:tcPr>
            <w:tcW w:w="3118" w:type="dxa"/>
          </w:tcPr>
          <w:p w14:paraId="669F17B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The juvenile grouping of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Werauhia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sanguinolenta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facilitated the plants of this species in the center buffering against rapid loss of water by its neighbors increasing growth. The </w:t>
            </w:r>
            <w:proofErr w:type="spellStart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phorophyte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Annona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glabra</w:t>
            </w:r>
            <w:proofErr w:type="spellEnd"/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 xml:space="preserve"> provides structural support for epiphytic bromeliad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Werauhia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>sanguinolenta</w:t>
            </w:r>
            <w:proofErr w:type="spellEnd"/>
            <w:r w:rsidRPr="004F4F65">
              <w:rPr>
                <w:rFonts w:ascii="Century Schoolbook" w:hAnsi="Century Schoolbook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  <w:lang w:val="en-US"/>
              </w:rPr>
              <w:t>allowing their survival.</w:t>
            </w:r>
          </w:p>
        </w:tc>
        <w:tc>
          <w:tcPr>
            <w:tcW w:w="851" w:type="dxa"/>
          </w:tcPr>
          <w:p w14:paraId="005CCEA0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Panama</w:t>
            </w:r>
          </w:p>
        </w:tc>
        <w:tc>
          <w:tcPr>
            <w:tcW w:w="1559" w:type="dxa"/>
          </w:tcPr>
          <w:p w14:paraId="036F842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59" w:type="dxa"/>
          </w:tcPr>
          <w:p w14:paraId="682C9BB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Rainforest</w:t>
            </w:r>
          </w:p>
        </w:tc>
        <w:tc>
          <w:tcPr>
            <w:tcW w:w="1559" w:type="dxa"/>
          </w:tcPr>
          <w:p w14:paraId="125E8666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Observational</w:t>
            </w:r>
          </w:p>
        </w:tc>
        <w:tc>
          <w:tcPr>
            <w:tcW w:w="1398" w:type="dxa"/>
          </w:tcPr>
          <w:p w14:paraId="4F56AC41" w14:textId="77777777" w:rsidR="007557B1" w:rsidRPr="004F4F65" w:rsidRDefault="007557B1" w:rsidP="004F4F6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</w:pPr>
            <w:r w:rsidRPr="004F4F65">
              <w:rPr>
                <w:rFonts w:ascii="Century Schoolbook" w:hAnsi="Century Schoolbook" w:cs="Times New Roman"/>
                <w:color w:val="000000"/>
                <w:sz w:val="20"/>
                <w:szCs w:val="20"/>
              </w:rPr>
              <w:t>Ecological</w:t>
            </w:r>
          </w:p>
        </w:tc>
      </w:tr>
    </w:tbl>
    <w:p w14:paraId="68925D23" w14:textId="77777777" w:rsidR="007557B1" w:rsidRPr="004F4F65" w:rsidRDefault="007557B1" w:rsidP="004F4F65">
      <w:pPr>
        <w:widowControl w:val="0"/>
        <w:spacing w:after="0" w:line="240" w:lineRule="exact"/>
        <w:jc w:val="both"/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</w:pPr>
      <w:r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  <w:t xml:space="preserve">* represent the </w:t>
      </w:r>
      <w:r w:rsidR="0031011A"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  <w:t>articles</w:t>
      </w:r>
      <w:r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  <w:t xml:space="preserve"> of the personal database.</w:t>
      </w:r>
      <w:r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  <w:br w:type="page"/>
      </w:r>
    </w:p>
    <w:p w14:paraId="520C04EB" w14:textId="77777777" w:rsidR="007557B1" w:rsidRPr="004F4F65" w:rsidRDefault="007557B1" w:rsidP="004F4F65">
      <w:pPr>
        <w:widowControl w:val="0"/>
        <w:spacing w:after="0" w:line="240" w:lineRule="exact"/>
        <w:jc w:val="both"/>
        <w:rPr>
          <w:rFonts w:ascii="Century Schoolbook" w:eastAsia="Times New Roman" w:hAnsi="Century Schoolbook" w:cs="Times New Roman"/>
          <w:color w:val="000000"/>
          <w:sz w:val="20"/>
          <w:szCs w:val="20"/>
          <w:lang w:eastAsia="pt-BR"/>
        </w:rPr>
      </w:pPr>
      <w:r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  <w:lastRenderedPageBreak/>
        <w:t xml:space="preserve">Table S2. Experimental and observational studies that address facilitation between plants in tropical forests. The mechanisms that produce the facilitative interactions are classified as: 1) improving the microclimate above the ground (for example, temperature reduction or sunlight by shading, increased humidity, etc.); 2) modification of soil nutrients; 3) increasing the availability of water in the soil; 4) improved abiotic soil conditions (e.g., pH buffering, reduction of soil salinity, substrate stabilization, increased oxygen, etc.); and 5) structural support. </w:t>
      </w:r>
      <w:r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eastAsia="pt-BR"/>
        </w:rPr>
        <w:t>Type of interaction: interspecific and intraspecific.</w:t>
      </w:r>
    </w:p>
    <w:p w14:paraId="32259938" w14:textId="77777777" w:rsidR="007557B1" w:rsidRPr="004F4F65" w:rsidRDefault="007557B1" w:rsidP="004F4F65">
      <w:pPr>
        <w:widowControl w:val="0"/>
        <w:spacing w:after="0" w:line="240" w:lineRule="exact"/>
        <w:jc w:val="both"/>
        <w:rPr>
          <w:rFonts w:ascii="Century Schoolbook" w:eastAsia="Times New Roman" w:hAnsi="Century Schoolbook" w:cs="Times New Roman"/>
          <w:color w:val="000000"/>
          <w:sz w:val="20"/>
          <w:szCs w:val="20"/>
          <w:lang w:eastAsia="pt-BR"/>
        </w:rPr>
      </w:pPr>
    </w:p>
    <w:tbl>
      <w:tblPr>
        <w:tblW w:w="1410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1561"/>
        <w:gridCol w:w="1473"/>
        <w:gridCol w:w="1251"/>
        <w:gridCol w:w="1674"/>
        <w:gridCol w:w="1548"/>
        <w:gridCol w:w="2016"/>
        <w:gridCol w:w="1251"/>
        <w:gridCol w:w="1440"/>
        <w:gridCol w:w="1377"/>
      </w:tblGrid>
      <w:tr w:rsidR="007557B1" w:rsidRPr="004F4F65" w14:paraId="2E1945DE" w14:textId="77777777" w:rsidTr="004B071F">
        <w:trPr>
          <w:trHeight w:val="96"/>
          <w:jc w:val="center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73B7C2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5D7314" w14:textId="77777777" w:rsidR="007557B1" w:rsidRPr="004F4F65" w:rsidRDefault="0031011A" w:rsidP="004F4F65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Articles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14ABCB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Parameters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0F694E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Organization level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47B805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Facilitator plant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6B53C3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Vegetative habits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791F4F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Facilitated plant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B2C767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Vegetative habits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98B2F9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  <w:t>Direct mechanisms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1704A1" w14:textId="77777777" w:rsidR="007557B1" w:rsidRPr="004F4F65" w:rsidRDefault="007557B1" w:rsidP="004F4F65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b/>
                <w:color w:val="000000"/>
                <w:sz w:val="20"/>
                <w:szCs w:val="20"/>
                <w:lang w:eastAsia="pt-BR"/>
              </w:rPr>
              <w:t>Type of interaction</w:t>
            </w:r>
          </w:p>
        </w:tc>
      </w:tr>
      <w:tr w:rsidR="007557B1" w:rsidRPr="004F4F65" w14:paraId="508D9836" w14:textId="77777777" w:rsidTr="004B071F">
        <w:trPr>
          <w:trHeight w:val="9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04DD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bookmarkStart w:id="0" w:name="_GoBack" w:colFirst="0" w:colLast="10"/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8647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Anthelme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(2011)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2036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density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9D47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8ED3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Setaria sphacelata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26D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Herbs</w:t>
            </w:r>
          </w:p>
          <w:p w14:paraId="435C6B2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hAnsi="Century Schoolbook" w:cs="Times New Roman"/>
                <w:sz w:val="20"/>
                <w:szCs w:val="20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7E84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juveniles of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Ceroxylon echinulatum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794B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1C41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1, 2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B9CD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00CEFABD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525D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A456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Bueno e Llamb (2015) 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49FF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abundance, richness and density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692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0D88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Baccharis prunifolia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EB6C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shrub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81D4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 regenerant species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742C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 and shrubs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9589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81DE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6A2E852F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5C86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5E38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Campanello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(2007)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45D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richness and abundance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E3DD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7AB0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7F62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trees and e climbing plants woody (lianas)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C165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189A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climbing plants woody (lianas)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9BBA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0F18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 e intra</w:t>
            </w:r>
          </w:p>
        </w:tc>
      </w:tr>
      <w:tr w:rsidR="007557B1" w:rsidRPr="004F4F65" w14:paraId="0449A4C1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83E4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B153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Espinosa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8F75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richness and abundance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262FE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7B21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6FC2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 and shrubs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D6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B8DF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 and shrubs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31E3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C099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1FD5E8F8" w14:textId="77777777" w:rsidTr="004B071F">
        <w:trPr>
          <w:trHeight w:val="378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235F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DF56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Ewel e Bigelow (2011)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BC5E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richness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53C0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D19C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Hieronyma alchorneoides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Cedrela odorata, Cordia alliodora, Euterpe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br/>
              <w:t>macrospadix, Euterpe oleracea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2F8C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FC6E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Hieronyma alchorneoides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Cedrela odorata, Cordia alliodora, Euterpe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br/>
              <w:t>macrospadix, Euterpe oleracea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F9F5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057E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2,3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9BC9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 e intra</w:t>
            </w:r>
          </w:p>
        </w:tc>
      </w:tr>
      <w:tr w:rsidR="007557B1" w:rsidRPr="004F4F65" w14:paraId="14A195FA" w14:textId="77777777" w:rsidTr="004B071F">
        <w:trPr>
          <w:trHeight w:val="1020"/>
          <w:jc w:val="center"/>
        </w:trPr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57375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F2650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Ewel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(2015)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1BDEA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density, growth and survival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3A276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05853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Hieronyma alchorneoides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5363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8D0F7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Hieronyma alchorneoides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Cedrela odorata, Cordia alliodora, Euterpe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br/>
              <w:t>macrospadix, E. oleracea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97AA1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64137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4C569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 e intra</w:t>
            </w:r>
          </w:p>
        </w:tc>
      </w:tr>
      <w:tr w:rsidR="007557B1" w:rsidRPr="004F4F65" w14:paraId="37DFE43C" w14:textId="77777777" w:rsidTr="004B071F">
        <w:trPr>
          <w:trHeight w:val="96"/>
          <w:jc w:val="center"/>
        </w:trPr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34C2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7*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C12D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Fontoura et al. (2009)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C545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richness and abundance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C865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99CE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43A3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9CE4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A8CF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vascular epiphytes herbs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FF65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B44E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51A26150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39BC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AF94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Fischer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(2009)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AF60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richness and species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composition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D82D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2896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Cinchona pubescens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and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 xml:space="preserve">Cinchona calisaya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E90A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shrubs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F6A9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A327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hAnsi="Century Schoolbook" w:cs="Times New Roman"/>
                <w:sz w:val="20"/>
                <w:szCs w:val="20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herbs,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shrubs, 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E33B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1, 4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256A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0D80E0B4" w14:textId="77777777" w:rsidTr="004B071F">
        <w:trPr>
          <w:trHeight w:val="765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C197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90D0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Gallegos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(2015)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5542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seedling recruitment, growth and survival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A463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3A07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Pteridium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spp.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FC6D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hAnsi="Century Schoolbook" w:cs="Times New Roman"/>
                <w:sz w:val="20"/>
                <w:szCs w:val="20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herbs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B857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Clusia sphaerocarpa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Clusia lechleri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Clusia trochiformis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AEC0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shrubs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DE0A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00FF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13BCFFFA" w14:textId="77777777" w:rsidTr="004B071F">
        <w:trPr>
          <w:trHeight w:val="765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923C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10*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F0AB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Gómez-Ruiz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(2013)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C1FB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(height) and survival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9C9F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690D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Lupinus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bogotensis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4F4F65">
              <w:rPr>
                <w:rFonts w:ascii="Century Schoolbook" w:eastAsia="Times New Roman" w:hAnsi="Century Schoolbook" w:cs="Times New Roman"/>
                <w:iCs/>
                <w:color w:val="000000"/>
                <w:sz w:val="20"/>
                <w:szCs w:val="20"/>
                <w:lang w:val="en-US" w:eastAsia="pt-BR"/>
              </w:rPr>
              <w:t>and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Vicia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benghalensis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FDFE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shrub, </w:t>
            </w:r>
            <w:r w:rsidRPr="004F4F65">
              <w:rPr>
                <w:rFonts w:ascii="Century Schoolbook" w:hAnsi="Century Schoolbook" w:cs="Times New Roman"/>
                <w:sz w:val="20"/>
                <w:szCs w:val="20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herbs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D593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Solanum oblongifolium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and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Viburnum tinoides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3702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2BA0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8407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6C713B8C" w14:textId="77777777" w:rsidTr="004B071F">
        <w:trPr>
          <w:trHeight w:val="1530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4D3E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1A2E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Gould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33FE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and survival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82FE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3863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Dryopteris wallichiana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0D42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terricola herbs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6E24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seedlings of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Pittosporum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hawaiianse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Myrsine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lessertiana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Alyxia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stellata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,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Pipturus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albidus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Myoporum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sandwichense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Coprosma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montana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2E9E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trees, climbing plants woody (liana), shrubs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2FF6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DFC9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228DC57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6575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119E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Hughes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(2005)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B1AA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and survival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9E51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753B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Falcataria moluccana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3669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3001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Psidium cattleianum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7B21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83BF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0D56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6FA909EE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9C75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1A80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Jian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8EB3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growth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382E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2ACE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Asplenium antiquum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07FA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epiphytic vascular herbs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DD9B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Haplopteris zosterifolia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56C1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epiphytic avascular herbs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F78F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1,2,3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00BF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425BA98" w14:textId="77777777" w:rsidTr="004B071F">
        <w:trPr>
          <w:trHeight w:val="333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ED69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A29C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Lang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(2012)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0A9F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growth (height and biomass) and morphology of the canopy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5C5F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989D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Schima superba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Elaeocarpus decipiens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Quercus serrata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Castanea henryi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B1FB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D2A9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juveniles of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Schima superba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Elaeocarpus decipiens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, Quercus serrata,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Castanea henryi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6CA2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60CF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C2EA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 e intra</w:t>
            </w:r>
          </w:p>
        </w:tc>
      </w:tr>
      <w:tr w:rsidR="007557B1" w:rsidRPr="004F4F65" w14:paraId="3E002A3C" w14:textId="77777777" w:rsidTr="004B071F">
        <w:trPr>
          <w:trHeight w:val="510"/>
          <w:jc w:val="center"/>
        </w:trPr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74267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F4ADD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Lebrija-Trejosa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(2010)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BE390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richness, abundance and species composition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9E50D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8FB0F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455A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trees, shrubs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D7FAB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B9CD5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trees, shrubs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0674E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C022B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68705943" w14:textId="77777777" w:rsidTr="004B071F">
        <w:trPr>
          <w:trHeight w:val="96"/>
          <w:jc w:val="center"/>
        </w:trPr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1074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1139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Li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(2010)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8ADA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(biomass)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A521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CB45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Rhus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chinensis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4F4F65">
              <w:rPr>
                <w:rFonts w:ascii="Century Schoolbook" w:eastAsia="Times New Roman" w:hAnsi="Century Schoolbook" w:cs="Times New Roman"/>
                <w:iCs/>
                <w:color w:val="000000"/>
                <w:sz w:val="20"/>
                <w:szCs w:val="20"/>
                <w:lang w:val="en-US" w:eastAsia="pt-BR"/>
              </w:rPr>
              <w:t xml:space="preserve">and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Camellia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oleifera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05CD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6135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Pinus massoniana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0169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07F7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6F0C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5040021A" w14:textId="77777777" w:rsidTr="004B071F">
        <w:trPr>
          <w:trHeight w:val="657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D3E0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242F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Maza-Villalobos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04AE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density, richness, composition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lastRenderedPageBreak/>
              <w:t>and abundance of species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5A6A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82E3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2A98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hAnsi="Century Schoolbook" w:cs="Times New Roman"/>
                <w:sz w:val="20"/>
                <w:szCs w:val="20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herbs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DC7C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seedling seeds of several species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5F82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trres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, shrubs, climbing plants woody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lastRenderedPageBreak/>
              <w:t xml:space="preserve">(lianas), </w:t>
            </w:r>
            <w:r w:rsidRPr="004F4F65">
              <w:rPr>
                <w:rFonts w:ascii="Century Schoolbook" w:hAnsi="Century Schoolbook" w:cs="Times New Roman"/>
                <w:sz w:val="20"/>
                <w:szCs w:val="20"/>
                <w:lang w:val="en-US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 herbs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EE33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F7B0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16DC0863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D869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2602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Omeja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04CB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growth (biomass), richness and diversity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C661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6722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Acanthus pubescens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and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Lantana camara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1EA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shrubs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69FA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several seedlings, young and mature trees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7842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6F9F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001A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0D7DD52F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A719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48D7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Peña e Duque (2013)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3DF6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density and growth (biomass)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D5B3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111B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08AD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A53C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C1F8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2670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2,4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6F0B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1BBC86DE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815B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6A6D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Pérez-Salicrup e Sork (1998)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B3BE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composition, density and abundance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5F6C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9967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E79C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trees/ climbing plants woody (lianas)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358C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1CA0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climbing plants woody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(lianas)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0FC9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6D23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0B07C8B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EAD2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61F2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Piazon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57DB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abundance and richness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4ED4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FE38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7D1D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9CFE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92CC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vascular epiphytes herbs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89F8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D86F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6C8B0AF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691C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42CE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Pinard e Putz (1994)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A918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abundance and density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E919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3E65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91A1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climbing plants woody (lianas), 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712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FA10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climbing plants woody (lianas) and herbs vines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08F0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C26C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73AB3C6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2EDDD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23*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D02ABF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Rocha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(2015)</w:t>
            </w:r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8C41F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abundance and richness</w:t>
            </w:r>
          </w:p>
        </w:tc>
        <w:tc>
          <w:tcPr>
            <w:tcW w:w="125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CB06F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4D6AC4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Bromelia balansae</w:t>
            </w:r>
          </w:p>
        </w:tc>
        <w:tc>
          <w:tcPr>
            <w:tcW w:w="154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A9B563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terrestrial herbs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4747B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seedlings and juvenile of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Helietta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apiculata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Erythroxylum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cuneifolium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4F4F65">
              <w:rPr>
                <w:rFonts w:ascii="Century Schoolbook" w:eastAsia="Times New Roman" w:hAnsi="Century Schoolbook" w:cs="Times New Roman"/>
                <w:iCs/>
                <w:color w:val="000000"/>
                <w:sz w:val="20"/>
                <w:szCs w:val="20"/>
                <w:lang w:val="en-US" w:eastAsia="pt-BR"/>
              </w:rPr>
              <w:t>and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Eugenia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uniflora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D97C34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 and shrubs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22B354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A9129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62F5A7CF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0F7E0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61ECB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</w:p>
          <w:p w14:paraId="02C3081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Rodrigues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(2004)</w:t>
            </w:r>
          </w:p>
          <w:p w14:paraId="0F1A2B8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</w:p>
          <w:p w14:paraId="7A03C2D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568DD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richness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8B715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86F3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Trema micrantha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and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Schizolobium amazonicum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FBC5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893F4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4C7EC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93E5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C85F1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A9CAEB5" w14:textId="77777777" w:rsidTr="004B071F">
        <w:trPr>
          <w:trHeight w:val="96"/>
          <w:jc w:val="center"/>
        </w:trPr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ACF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EF70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Sánchez-Velásquez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(2004)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811C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(height) and survival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EBC4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A10D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Acalypha cincta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and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Thouinia serrata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3E2B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E4B1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juvenile of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Brosimum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alicastrum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2C64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DA2B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7B87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7A0CD7C9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72AC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1B42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Sáyago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(2013)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9AA3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diversity and abundance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3DC9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27A2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5EAB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A243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 species of bromeliads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BC1C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vascular epiphytes herbs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67FF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7B37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74C7605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F281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lastRenderedPageBreak/>
              <w:t>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1CDC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Sfair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F1EF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diversity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7F8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07F2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A4FF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9651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7A7A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climbing plants woody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(lianas)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68C8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E3F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intere</w:t>
            </w:r>
          </w:p>
        </w:tc>
      </w:tr>
      <w:tr w:rsidR="007557B1" w:rsidRPr="004F4F65" w14:paraId="5C4B930F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8632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F9D2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Silva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C31B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abundance and richness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CFA5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C13C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E7F2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18D5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 species of orchids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7C14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vascular epiphytes herbs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DD07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3A77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0D52635E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58DB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9F16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Souza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(2014)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EF36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richness and density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CA15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6682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6D9C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D0B1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72B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D90C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1, 3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7E1E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0035CCBC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AB7B6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67B3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Vieira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(1994)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B18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density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6B69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7D46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Cordia multispicata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CAF4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shrub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C857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>juveniles of various tree species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9F8A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 and shrubs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6171C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1,2, 4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1563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79BA3497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BFDB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31*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1693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Wan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(2014)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F38E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(biomass)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5E2E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ECFF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Dicranopteris dichotoma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C65CE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terrestrial herbs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A897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Eucalyptus urophylla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7ACC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B803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2B3D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7E134073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07DD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32*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96E9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Yang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(2009)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5431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BC33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BEF9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Acacia auriculiformis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and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Acacia mangium </w:t>
            </w:r>
            <w:r w:rsidRPr="004F4F65">
              <w:rPr>
                <w:rFonts w:ascii="Century Schoolbook" w:eastAsia="Times New Roman" w:hAnsi="Century Schoolbook" w:cs="Times New Roman"/>
                <w:iCs/>
                <w:color w:val="000000"/>
                <w:sz w:val="20"/>
                <w:szCs w:val="20"/>
                <w:lang w:eastAsia="pt-BR"/>
              </w:rPr>
              <w:t>(exotic)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4387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6422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juveniles of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Castanopsis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hystrix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Michelia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macclurei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4F4F65">
              <w:rPr>
                <w:rFonts w:ascii="Century Schoolbook" w:eastAsia="Times New Roman" w:hAnsi="Century Schoolbook" w:cs="Times New Roman"/>
                <w:iCs/>
                <w:color w:val="000000"/>
                <w:sz w:val="20"/>
                <w:szCs w:val="20"/>
                <w:lang w:val="en-US" w:eastAsia="pt-BR"/>
              </w:rPr>
              <w:t>and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Manglietia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glauca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4E314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85B7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1,2,4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AD9D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6930BB5B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C82F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33*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871D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Yang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et al.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(2010)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3ABC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 and survival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1E25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5C0E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Rhodomyrtus tomentosa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75EA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shrubs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7E22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juvenile individuals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Schima superba, Michelia macclurei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Castanopsis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 fiss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A9FD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3007A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1, 3, 4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62E7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5C1B5A6A" w14:textId="77777777" w:rsidTr="004B071F">
        <w:trPr>
          <w:trHeight w:val="765"/>
          <w:jc w:val="center"/>
        </w:trPr>
        <w:tc>
          <w:tcPr>
            <w:tcW w:w="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907A23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AAA4FA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Zanini e Ganade (2005)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EA9A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survival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08DB2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community level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8A787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 pioneers species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FB2E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trees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FC925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several regenerant species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4803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trees, shrubs and  </w:t>
            </w:r>
            <w:r w:rsidRPr="004F4F65">
              <w:rPr>
                <w:rFonts w:ascii="Century Schoolbook" w:hAnsi="Century Schoolbook" w:cs="Times New Roman"/>
                <w:sz w:val="20"/>
                <w:szCs w:val="20"/>
                <w:lang w:val="en-US"/>
              </w:rPr>
              <w:t>terrestrial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 herbs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857F0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2595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inter</w:t>
            </w:r>
          </w:p>
        </w:tc>
      </w:tr>
      <w:tr w:rsidR="007557B1" w:rsidRPr="004F4F65" w14:paraId="26AD1BBC" w14:textId="77777777" w:rsidTr="004B071F">
        <w:trPr>
          <w:trHeight w:val="106"/>
          <w:jc w:val="center"/>
        </w:trPr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688A9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99CD3F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Zotz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et al. </w:t>
            </w: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(2005)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63D68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growth, survival and density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2A07C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pair of species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795E79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juvenile of </w:t>
            </w:r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eastAsia="pt-BR"/>
              </w:rPr>
              <w:t>Werauhia sanguinolenta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2A0121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 xml:space="preserve">epiphytic vascular herbs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A192B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 w:eastAsia="pt-BR"/>
              </w:rPr>
              <w:t xml:space="preserve">juveniles of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Werauhia</w:t>
            </w:r>
            <w:proofErr w:type="spellEnd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4F4F65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sanguinolenta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2459B8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epiphytic vascular herbs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92AC2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E42D5D" w14:textId="77777777" w:rsidR="007557B1" w:rsidRPr="004F4F65" w:rsidRDefault="007557B1" w:rsidP="004B071F">
            <w:pPr>
              <w:widowControl w:val="0"/>
              <w:spacing w:after="0" w:line="240" w:lineRule="exact"/>
              <w:ind w:left="-88" w:right="-71"/>
              <w:jc w:val="center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</w:pPr>
            <w:r w:rsidRPr="004F4F65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eastAsia="pt-BR"/>
              </w:rPr>
              <w:t>intra</w:t>
            </w:r>
          </w:p>
        </w:tc>
      </w:tr>
    </w:tbl>
    <w:bookmarkEnd w:id="0"/>
    <w:p w14:paraId="751277BC" w14:textId="6DE017C4" w:rsidR="003D5ACC" w:rsidRPr="004F4F65" w:rsidRDefault="007557B1" w:rsidP="004F4F65">
      <w:pPr>
        <w:widowControl w:val="0"/>
        <w:spacing w:after="0" w:line="240" w:lineRule="exact"/>
        <w:jc w:val="both"/>
        <w:rPr>
          <w:rFonts w:ascii="Century Schoolbook" w:hAnsi="Century Schoolbook" w:cs="Times New Roman"/>
          <w:b/>
          <w:sz w:val="20"/>
          <w:szCs w:val="20"/>
          <w:lang w:val="en-US"/>
        </w:rPr>
      </w:pPr>
      <w:r w:rsidRPr="004F4F65">
        <w:rPr>
          <w:rFonts w:ascii="Century Schoolbook" w:eastAsia="Times New Roman" w:hAnsi="Century Schoolbook" w:cs="Times New Roman"/>
          <w:color w:val="000000"/>
          <w:sz w:val="20"/>
          <w:szCs w:val="20"/>
          <w:lang w:val="en-US" w:eastAsia="pt-BR"/>
        </w:rPr>
        <w:t>* represent the articles of the personal database</w:t>
      </w:r>
    </w:p>
    <w:sectPr w:rsidR="003D5ACC" w:rsidRPr="004F4F65" w:rsidSect="004F4F65">
      <w:footerReference w:type="default" r:id="rId8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147E0" w14:textId="77777777" w:rsidR="001F4E81" w:rsidRDefault="001F4E81" w:rsidP="004F4F65">
      <w:pPr>
        <w:spacing w:after="0" w:line="240" w:lineRule="auto"/>
      </w:pPr>
      <w:r>
        <w:separator/>
      </w:r>
    </w:p>
  </w:endnote>
  <w:endnote w:type="continuationSeparator" w:id="0">
    <w:p w14:paraId="2CB61B6F" w14:textId="77777777" w:rsidR="001F4E81" w:rsidRDefault="001F4E81" w:rsidP="004F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126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CFCEE" w14:textId="3D33B139" w:rsidR="00734FC0" w:rsidRDefault="0073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71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5E429E6" w14:textId="77777777" w:rsidR="00734FC0" w:rsidRDefault="00734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6D7EA" w14:textId="77777777" w:rsidR="001F4E81" w:rsidRDefault="001F4E81" w:rsidP="004F4F65">
      <w:pPr>
        <w:spacing w:after="0" w:line="240" w:lineRule="auto"/>
      </w:pPr>
      <w:r>
        <w:separator/>
      </w:r>
    </w:p>
  </w:footnote>
  <w:footnote w:type="continuationSeparator" w:id="0">
    <w:p w14:paraId="3F956C17" w14:textId="77777777" w:rsidR="001F4E81" w:rsidRDefault="001F4E81" w:rsidP="004F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53528"/>
    <w:multiLevelType w:val="hybridMultilevel"/>
    <w:tmpl w:val="0E9E3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B1"/>
    <w:rsid w:val="000551EF"/>
    <w:rsid w:val="00114D24"/>
    <w:rsid w:val="001F4E81"/>
    <w:rsid w:val="0031011A"/>
    <w:rsid w:val="003219EF"/>
    <w:rsid w:val="003D5ACC"/>
    <w:rsid w:val="004A42ED"/>
    <w:rsid w:val="004B071F"/>
    <w:rsid w:val="004F4F65"/>
    <w:rsid w:val="00734FC0"/>
    <w:rsid w:val="007557B1"/>
    <w:rsid w:val="007C0450"/>
    <w:rsid w:val="00877713"/>
    <w:rsid w:val="00B2040D"/>
    <w:rsid w:val="00D5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13FAE"/>
  <w15:docId w15:val="{3DC21655-7D99-4EA0-AEB0-6784A973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B1"/>
  </w:style>
  <w:style w:type="paragraph" w:styleId="Heading2">
    <w:name w:val="heading 2"/>
    <w:basedOn w:val="Normal"/>
    <w:next w:val="Normal"/>
    <w:link w:val="Heading2Char"/>
    <w:uiPriority w:val="99"/>
    <w:qFormat/>
    <w:rsid w:val="007557B1"/>
    <w:pPr>
      <w:spacing w:after="0" w:line="240" w:lineRule="auto"/>
      <w:jc w:val="center"/>
      <w:outlineLvl w:val="1"/>
    </w:pPr>
    <w:rPr>
      <w:rFonts w:ascii="Times New Roman" w:eastAsia="MS ??" w:hAnsi="Times New Roman" w:cs="Times New Roman"/>
      <w:b/>
      <w:bCs/>
      <w:color w:val="000000"/>
      <w:kern w:val="28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557B1"/>
    <w:rPr>
      <w:rFonts w:ascii="Times New Roman" w:eastAsia="MS ??" w:hAnsi="Times New Roman" w:cs="Times New Roman"/>
      <w:b/>
      <w:bCs/>
      <w:color w:val="000000"/>
      <w:kern w:val="28"/>
      <w:sz w:val="24"/>
      <w:szCs w:val="24"/>
      <w:lang w:val="en-CA" w:eastAsia="en-CA"/>
    </w:rPr>
  </w:style>
  <w:style w:type="character" w:styleId="LineNumber">
    <w:name w:val="line number"/>
    <w:basedOn w:val="DefaultParagraphFont"/>
    <w:uiPriority w:val="99"/>
    <w:semiHidden/>
    <w:unhideWhenUsed/>
    <w:rsid w:val="007557B1"/>
  </w:style>
  <w:style w:type="paragraph" w:styleId="Header">
    <w:name w:val="header"/>
    <w:basedOn w:val="Normal"/>
    <w:link w:val="HeaderChar"/>
    <w:uiPriority w:val="99"/>
    <w:unhideWhenUsed/>
    <w:rsid w:val="0075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7B1"/>
  </w:style>
  <w:style w:type="paragraph" w:styleId="Footer">
    <w:name w:val="footer"/>
    <w:basedOn w:val="Normal"/>
    <w:link w:val="FooterChar"/>
    <w:uiPriority w:val="99"/>
    <w:unhideWhenUsed/>
    <w:rsid w:val="0075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7B1"/>
  </w:style>
  <w:style w:type="character" w:styleId="Hyperlink">
    <w:name w:val="Hyperlink"/>
    <w:basedOn w:val="DefaultParagraphFont"/>
    <w:uiPriority w:val="99"/>
    <w:unhideWhenUsed/>
    <w:rsid w:val="007557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B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5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7B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75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leNormal"/>
    <w:uiPriority w:val="42"/>
    <w:rsid w:val="007557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F3E4-4EC0-4671-A32F-FF1E9D72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3726</Words>
  <Characters>21239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Francisco</dc:creator>
  <cp:keywords/>
  <dc:description/>
  <cp:lastModifiedBy>DEll</cp:lastModifiedBy>
  <cp:revision>5</cp:revision>
  <dcterms:created xsi:type="dcterms:W3CDTF">2018-03-29T02:07:00Z</dcterms:created>
  <dcterms:modified xsi:type="dcterms:W3CDTF">2018-03-29T02:22:00Z</dcterms:modified>
</cp:coreProperties>
</file>