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0"/>
          <w:szCs w:val="40"/>
        </w:rPr>
        <w:t xml:space="preserve">PREMIUM INDIAN CEA EQUIPMENT MANUFACTURING</w:t>
      </w:r>
    </w:p>
    <w:p>
      <w:pPr>
        <w:spacing w:after="400"/>
        <w:jc w:val="center"/>
      </w:pPr>
      <w:r>
        <w:rPr>
          <w:b/>
          <w:bCs/>
          <w:color w:val="1F3B2C"/>
          <w:sz w:val="32"/>
          <w:szCs w:val="32"/>
        </w:rPr>
        <w:t xml:space="preserve">R&amp;D Strategy Report — Phase A</w:t>
      </w:r>
    </w:p>
    <w:p>
      <w:pPr>
        <w:spacing w:after="1200"/>
        <w:jc w:val="center"/>
      </w:pPr>
      <w:r>
        <w:rPr>
          <w:i/>
          <w:iCs/>
          <w:sz w:val="26"/>
          <w:szCs w:val="26"/>
        </w:rPr>
        <w:t xml:space="preserve">Scientific Literature Review &amp; Optimal Mid-Tech CEA Research Facility Design</w:t>
      </w:r>
    </w:p>
    <w:p>
      <w:pPr>
        <w:spacing w:after="100"/>
        <w:jc w:val="center"/>
      </w:pPr>
      <w:r>
        <w:rPr>
          <w:sz w:val="22"/>
          <w:szCs w:val="22"/>
        </w:rPr>
        <w:t xml:space="preserve">Prepared for: Ooty R&amp;D Facility (Microgreens · Aquascaping Plants · Saffron)</w:t>
      </w:r>
    </w:p>
    <w:p>
      <w:pPr>
        <w:spacing w:after="100"/>
        <w:jc w:val="center"/>
      </w:pPr>
      <w:r>
        <w:rPr>
          <w:sz w:val="22"/>
          <w:szCs w:val="22"/>
        </w:rPr>
        <w:t xml:space="preserve">Manufacturing base: Coimbatore, Tamil Nadu, India</w:t>
      </w:r>
    </w:p>
    <w:p>
      <w:pPr>
        <w:jc w:val="center"/>
      </w:pPr>
      <w:r>
        <w:rPr>
          <w:i/>
          <w:iCs/>
          <w:color w:val="666666"/>
          <w:sz w:val="20"/>
          <w:szCs w:val="20"/>
        </w:rPr>
        <w:t xml:space="preserve">Document 1 of a phased report series (Objective 1 of 6)</w:t>
      </w:r>
    </w:p>
    <w:p>
      <w:pPr>
        <w:sectPr>
          <w:pgSz w:w="12240" w:h="15840" w:orient="portrait"/>
          <w:pgMar w:top="1440" w:right="1440" w:bottom="1440" w:left="1440" w:header="708" w:footer="708" w:gutter="0"/>
          <w:pgNumType/>
          <w:docGrid w:linePitch="360"/>
        </w:sectPr>
      </w:pPr>
    </w:p>
    <w:p>
      <w:pPr>
        <w:pStyle w:val="Heading1"/>
        <w:spacing w:after="200" w:before="400"/>
      </w:pPr>
      <w:r>
        <w:t xml:space="preserve">Note on Scope</w:t>
      </w:r>
    </w:p>
    <w:p>
      <w:pPr>
        <w:spacing w:after="160"/>
      </w:pPr>
      <w:r>
        <w:t xml:space="preserve">This document is Phase A of a six-part strategic report. It covers the Scientific Literature Review and the R&amp;D Facility Design (Objective 1). Subsequent phases will cover Global Technology Benchmarking, Product Portfolio Development, Manufacturing Feasibility in Coimbatore, the Bill of Materials/Supplier Catalog, and the Manufacturing Roadmap — each as its own linked deliverable, before final assembly into the complete report.</w:t>
      </w:r>
    </w:p>
    <w:p>
      <w:pPr>
        <w:spacing w:after="160"/>
      </w:pPr>
      <w:r>
        <w:t xml:space="preserve">All recommendations below are grounded in peer-reviewed research, university publications, and CEA engineering literature published primarily within the last decade, supplemented by recent industry/trade sources where academic literature is sparse (flagged explicitly, e.g. aquatic ornamental plant nursery practice). Every subsystem recommendation states the evidence strength as Strong, Moderate, or Emerging.</w:t>
      </w:r>
    </w:p>
    <w:p>
      <w:pPr>
        <w:pStyle w:val="Heading1"/>
        <w:spacing w:after="200" w:before="400"/>
      </w:pPr>
      <w:r>
        <w:t xml:space="preserve">1. Scientific Literature Review</w:t>
      </w:r>
    </w:p>
    <w:p>
      <w:pPr>
        <w:pStyle w:val="Heading2"/>
        <w:spacing w:after="150" w:before="300"/>
      </w:pPr>
      <w:r>
        <w:t xml:space="preserve">1.1 Lighting — Spectrum, Intensity, and Photoperiod</w:t>
      </w:r>
    </w:p>
    <w:p>
      <w:pPr>
        <w:spacing w:after="160"/>
      </w:pPr>
      <w:r>
        <w:t xml:space="preserve">Light quality, intensity, and photoperiod are the dominant levers for both yield and phytochemical quality in controlled-environment leafy crops. Across multiple controlled studies on Brassicaceae and other microgreens, blue-enriched and red:blue combined spectra consistently outperform white or single-wavelength light for driving both biomass accumulation and secondary-metabolite synthesis (ascorbic acid, phenolics, anthocyanins, carotenoids). One study comparing white, red, and blue LED treatments found the highest ascorbic acid, total phenolic content, and antioxidant capacity under blue-spectrum lighting, while fresh-weight yield in amaranth and turnip greens was maximized under blue relative to red or white light.</w:t>
      </w:r>
    </w:p>
    <w:p>
      <w:pPr>
        <w:spacing w:after="160"/>
      </w:pPr>
      <w:r>
        <w:t xml:space="preserve">A recent proteomic study on cress microgreens found that shifting the blue:green:red:far-red ratio (comparing 13:15:61:11 to 24:12:56:8) did not change total yield or dry matter but significantly increased anthocyanin (+77%) and phenolic index (+52%) under the blue-enriched, far-red-reduced spectrum — indicating spectrum can be tuned for nutritional quality independent of yield. A review in Plant Growth Regulation further establishes that photosynthetic photon flux densities (PPFD) above roughly 210 µmol m⁻² s⁻¹, especially combined with far-red or UV-A, tend to induce photoinhibition and reduce yield, while PPFD below 100 µmol m⁻² s⁻¹ suppresses both biomass and phytochemical accumulation — establishing a practical working band of roughly 150–210 µmol m⁻² s⁻¹ for microgreens.</w:t>
      </w:r>
    </w:p>
    <w:p>
      <w:pPr>
        <w:spacing w:after="160"/>
      </w:pPr>
      <w:r>
        <w:t xml:space="preserve">Photoperiod also has an independent, species-dependent effect. A controlled study on four Brassicaceae microgreen genotypes (arugula, broccoli, mizuna, radish) found that continuous lighting (24h) increased both yield and phytochemical content relative to a 16-hour photoperiod, with effects more pronounced under LED than fluorescent light — though continuous lighting increases energy draw and must be weighed against the marginal quality gain.</w:t>
      </w:r>
    </w:p>
    <w:p>
      <w:pPr>
        <w:spacing w:after="160"/>
      </w:pPr>
      <w:r>
        <w:rPr>
          <w:b/>
          <w:bCs/>
          <w:i/>
          <w:iCs/>
        </w:rPr>
        <w:t xml:space="preserve">Evidence strength: </w:t>
      </w:r>
      <w:r>
        <w:rPr>
          <w:i/>
          <w:iCs/>
        </w:rPr>
        <w:t xml:space="preserve">Strong (multiple independent, peer-reviewed, dose-response studies converge on similar spectral/PPFD ranges).</w:t>
      </w:r>
    </w:p>
    <w:p>
      <w:pPr>
        <w:pStyle w:val="Heading2"/>
        <w:spacing w:after="150" w:before="300"/>
      </w:pPr>
      <w:r>
        <w:t xml:space="preserve">1.2 Vapor Pressure Deficit (VPD) and Humidity Control</w:t>
      </w:r>
    </w:p>
    <w:p>
      <w:pPr>
        <w:spacing w:after="160"/>
      </w:pPr>
      <w:r>
        <w:t xml:space="preserve">VPD — the deficit between the saturated vapor pressure at leaf temperature and the actual vapor pressure of the surrounding air — is now treated in CEA engineering literature as a more actionable control variable than relative humidity alone, because it directly governs stomatal aperture, transpiration-driven nutrient transport, and disease pressure. A 2025 study using a NeuralProphet-based forecasting model for vertical farm VPD demonstrated that predictive climate control (rather than simple setpoint control) meaningfully improves resource-use efficiency and reduces the risk of both under- and over-transpiration. Systematic reviews of greenhouse humidity control confirm that fuzzy-logic and model-predictive approaches outperform simple on/off dehumidification for maintaining stable VPD, which is particularly relevant for crops sensitive to both under-transpiration (low VPD → nutrient deficiency, disease) and over-transpiration (high VPD → wilting, tip-burn).</w:t>
      </w:r>
    </w:p>
    <w:p>
      <w:pPr>
        <w:spacing w:after="160"/>
      </w:pPr>
      <w:r>
        <w:rPr>
          <w:b/>
          <w:bCs/>
          <w:i/>
          <w:iCs/>
        </w:rPr>
        <w:t xml:space="preserve">Evidence strength: </w:t>
      </w:r>
      <w:r>
        <w:rPr>
          <w:i/>
          <w:iCs/>
        </w:rPr>
        <w:t xml:space="preserve">Strong (well-established plant physiology) for the underlying VPD mechanism; Moderate for predictive/ML-based VPD control specifically.</w:t>
      </w:r>
    </w:p>
    <w:p>
      <w:pPr>
        <w:pStyle w:val="Heading2"/>
        <w:spacing w:after="150" w:before="300"/>
      </w:pPr>
      <w:r>
        <w:t xml:space="preserve">1.3 CO₂ Enrichment</w:t>
      </w:r>
    </w:p>
    <w:p>
      <w:pPr>
        <w:spacing w:after="160"/>
      </w:pPr>
      <w:r>
        <w:t xml:space="preserve">CO₂ enrichment is one of the most consistently validated interventions in CEA. In closed plant factories with artificial lighting (PFAL), studies on lettuce found that doubling (approx. 800 µmol mol⁻¹) to quadrupling ambient CO₂ significantly increased biomass, growth rate, and light-use efficiency, with the broader literature converging on an optimal range of roughly 1,000–1,500 µmol mol⁻¹ for closed PFAL systems (versus ~800 µmol mol⁻¹ typically used in ventilated greenhouses). A review in Frontiers in Plant Science found that moderate CO₂ elevation (550–650 µmol mol⁻¹) improves yield of C3 crops (which include nearly all leafy greens, microgreens, and saffron) by an average of 18% relative to ambient CO₂, with C3 species responding far more strongly than C4 or CAM plants. A gas-exchange study on tomato additionally found that raising CO₂ from 400 to 1,000 µmol mol⁻¹ increased net photosynthesis by 51%, decreased transpiration by 5–8%, and improved photosynthetic water-use efficiency by 60% — meaning CO₂ enrichment also reduces irrigation/dehumidification load, a secondary energy benefit relevant to a sealed room design.</w:t>
      </w:r>
    </w:p>
    <w:p>
      <w:pPr>
        <w:spacing w:after="160"/>
      </w:pPr>
      <w:r>
        <w:rPr>
          <w:b/>
          <w:bCs/>
          <w:i/>
          <w:iCs/>
        </w:rPr>
        <w:t xml:space="preserve">Evidence strength: </w:t>
      </w:r>
      <w:r>
        <w:rPr>
          <w:i/>
          <w:iCs/>
        </w:rPr>
        <w:t xml:space="preserve">Strong (large, converging body of controlled experimental evidence across multiple crop families).</w:t>
      </w:r>
    </w:p>
    <w:p>
      <w:pPr>
        <w:pStyle w:val="Heading2"/>
        <w:spacing w:after="150" w:before="300"/>
      </w:pPr>
      <w:r>
        <w:t xml:space="preserve">1.4 Airflow and Canopy-Level Air Movement</w:t>
      </w:r>
    </w:p>
    <w:p>
      <w:pPr>
        <w:spacing w:after="160"/>
      </w:pPr>
      <w:r>
        <w:t xml:space="preserve">Airflow design directly affects the leaf boundary layer, which governs gas exchange and transpiration uniformity. Computational fluid dynamics (CFD) studies on plant factories consistently show that horizontal air velocities at the canopy surface in the range of roughly 0.2–0.5 m/s (with an upper practical bound near 1.3 m/s before mechanical/desiccation stress) are needed to prevent the stagnant boundary layer responsible for physiological disorders such as lettuce tip-burn (a calcium-transport disorder caused by insufficient transpiration in low-airflow zones). A CFD-optimized multi-duct design achieved 0.42 m/s average velocity with a 44% coefficient of variation, while a later commercial-scale CFD study found that distributing air inlets along the full length of a growing shelf — rather than from a single end — reduced the coefficient of variation from ~33% to ~10%, demonstrating that inlet placement geometry matters as much as total fan capacity.</w:t>
      </w:r>
    </w:p>
    <w:p>
      <w:pPr>
        <w:spacing w:after="160"/>
      </w:pPr>
      <w:r>
        <w:rPr>
          <w:b/>
          <w:bCs/>
          <w:i/>
          <w:iCs/>
        </w:rPr>
        <w:t xml:space="preserve">Evidence strength: </w:t>
      </w:r>
      <w:r>
        <w:rPr>
          <w:i/>
          <w:iCs/>
        </w:rPr>
        <w:t xml:space="preserve">Strong (multiple validated CFD studies with consistent physiological outcome measures).</w:t>
      </w:r>
    </w:p>
    <w:p>
      <w:pPr>
        <w:pStyle w:val="Heading2"/>
        <w:spacing w:after="150" w:before="300"/>
      </w:pPr>
      <w:r>
        <w:t xml:space="preserve">1.5 Energy Efficiency of Lighting and HVAC Interaction</w:t>
      </w:r>
    </w:p>
    <w:p>
      <w:pPr>
        <w:spacing w:after="160"/>
      </w:pPr>
      <w:r>
        <w:t xml:space="preserve">Because essentially all electrical energy delivered to LED fixtures that is not converted to usable photosynthetically active radiation (PAR) is ultimately dissipated as heat that the HVAC system must remove, lighting and climate-control subsystems must be engineered jointly rather than independently. A 2024 benchmarking review found current specific energy consumption for vertical-farmed lettuce of 10–18 kWh/kg, against a theoretical technical benchmark of 3.1–7.4 kWh/kg — indicating substantial efficiency headroom remains in commercial systems. The same review notes electricity-to-PAR conversion efficiency of roughly 50% for modern LEDs versus 33% for legacy HPS lighting. Close-canopy lighting research from Purdue University demonstrated that reducing the vertical distance between LED fixtures and the canopy — while dimming to hold PPFD constant — cuts both direct lighting energy and indirect HVAC cooling load, because photons that would otherwise strike walls, aisles, and empty positions (pure waste) are captured more efficiently. A systematic review of 52 vertical-farming energy studies (2014–2024) confirms that combining high-efficacy LEDs, smart/predictive HVAC control, and IoT-based irrigation delivers the largest realistic energy reductions, though savings remain highly dependent on climate, layout, and crop mix.</w:t>
      </w:r>
    </w:p>
    <w:p>
      <w:pPr>
        <w:spacing w:after="160"/>
      </w:pPr>
      <w:r>
        <w:rPr>
          <w:b/>
          <w:bCs/>
          <w:i/>
          <w:iCs/>
        </w:rPr>
        <w:t xml:space="preserve">Evidence strength: </w:t>
      </w:r>
      <w:r>
        <w:rPr>
          <w:i/>
          <w:iCs/>
        </w:rPr>
        <w:t xml:space="preserve">Strong for the lighting-heat-HVAC coupling mechanism; Moderate-to-Strong for the magnitude of achievable savings, which is facility-specific.</w:t>
      </w:r>
    </w:p>
    <w:p>
      <w:pPr>
        <w:pStyle w:val="Heading2"/>
        <w:spacing w:after="150" w:before="300"/>
      </w:pPr>
      <w:r>
        <w:t xml:space="preserve">1.6 Automated Fertigation, pH, and EC Control</w:t>
      </w:r>
    </w:p>
    <w:p>
      <w:pPr>
        <w:spacing w:after="160"/>
      </w:pPr>
      <w:r>
        <w:t xml:space="preserve">A 2025 scoping review of 89 studies on automated hydroponic nutrient dosing found a steady rise in research output since 2015, with pH (n=70 studies), EC (n=36), and nutrient solution volume (n=42) as the dominant control variables, and feedback-loop and predictive-analytics dosing frameworks equally represented. Extreme pH (below 5 or above 8) was shown to reduce nutrient solubility and stunt growth, with an optimal range of roughly pH 5.6–6.2 identified for several crop types — a range broadly consistent with saffron, leafy greens, and most aquatic/emergent ornamental species. Engineering studies combining PLC + HMI control with peristaltic/proportional dosing pumps and inline flow sensors demonstrated pH/EC control errors reduced to within 3% of target, alongside a 50% reduction in irrigation cycle time relative to manual dosing — supporting PLC-based fertigation as the appropriate mid-tech automation tier for a premium product line, ahead of fully manual dosing but short of the fully autonomous ML-optimized systems (e.g., the multi-fertilizer-source 'OptiDose' framework) still confined to research settings.</w:t>
      </w:r>
    </w:p>
    <w:p>
      <w:pPr>
        <w:spacing w:after="160"/>
      </w:pPr>
      <w:r>
        <w:rPr>
          <w:b/>
          <w:bCs/>
          <w:i/>
          <w:iCs/>
        </w:rPr>
        <w:t xml:space="preserve">Evidence strength: </w:t>
      </w:r>
      <w:r>
        <w:rPr>
          <w:i/>
          <w:iCs/>
        </w:rPr>
        <w:t xml:space="preserve">Strong for pH/EC feedback control fundamentals; Emerging for multi-ion optimal-control (ML-based) dosing.</w:t>
      </w:r>
    </w:p>
    <w:p>
      <w:pPr>
        <w:pStyle w:val="Heading2"/>
        <w:spacing w:after="150" w:before="300"/>
      </w:pPr>
      <w:r>
        <w:t xml:space="preserve">1.7 IoT Sensor Networks and Low-Cost Imaging/Phenotyping</w:t>
      </w:r>
    </w:p>
    <w:p>
      <w:pPr>
        <w:spacing w:after="160"/>
      </w:pPr>
      <w:r>
        <w:t xml:space="preserve">A 2026 review synthesizing over 130 studies (2020–2025) on smart-greenhouse AI applications found that sensor data in commercial smart-greenhouse systems clusters into two families: spatial imaging (RGB, multispectral, hyperspectral, thermal) for growth/disease/yield assessment, and time-series environmental sensors (temperature, humidity, CO₂, light, root-zone EC/pH) used for forecasting and control optimization. A separate 114-study review found that multi-sensor integration improves monitoring precision and system resilience but introduces calibration and interoperability challenges, and that intelligent (fuzzy-logic, model-predictive, or reinforcement-learning) control improves energy and water efficiency but requires larger, cleaner datasets than most small facilities generate on their own. On the low-cost end, demonstrated ESP8266/DHT-class sensor networks integrated with cloud dashboards (e.g., Firebase) have been implemented for well under US $200 per monitoring node, and open-hardware environmental sensor platforms combined with 3D-printed imaging robots have been published specifically for phenotyping in space-constrained research settings — directly relevant to a compact Ooty research room.</w:t>
      </w:r>
    </w:p>
    <w:p>
      <w:pPr>
        <w:spacing w:after="160"/>
      </w:pPr>
      <w:r>
        <w:rPr>
          <w:b/>
          <w:bCs/>
          <w:i/>
          <w:iCs/>
        </w:rPr>
        <w:t xml:space="preserve">Evidence strength: </w:t>
      </w:r>
      <w:r>
        <w:rPr>
          <w:i/>
          <w:iCs/>
        </w:rPr>
        <w:t xml:space="preserve">Strong for the value of multi-sensor monitoring; Moderate for AI/ML-driven autonomous control at small scale, which is still an active research area.</w:t>
      </w:r>
    </w:p>
    <w:p>
      <w:pPr>
        <w:pStyle w:val="Heading2"/>
        <w:spacing w:after="150" w:before="300"/>
      </w:pPr>
      <w:r>
        <w:t xml:space="preserve">1.8 Saffron (Crocus sativus) — Controlled-Environment Requirements</w:t>
      </w:r>
    </w:p>
    <w:p>
      <w:pPr>
        <w:spacing w:after="160"/>
      </w:pPr>
      <w:r>
        <w:t xml:space="preserve">Saffron corm physiology has been characterized with unusual precision because of the crop's high commercial value. Controlled-temperature studies establish a clear two-stage thermal protocol: corms should be germinated/stored at a warmer temperature (approximately 23–30°C) before being transitioned to a cooler flower-induction phase (approximately 15–16°C), with 16°C identified as the optimum for flower formation provided prior warm-phase germination. A separate greenhouse study found that even lower day/night regimes (15°C/6°C) represent optimal corm development conditions, and that cooling of the nutrient solution specifically increased flower number, stigma weight, and the concentration of the commercially important compounds crocin, picrocrocin, and safranal. Because saffron flower induction depends on a temperature drop relative to a warmer prior phase, a single research room that can be run through a programmable two-zone or two-season temperature protocol is well suited to Ooty's naturally cool ambient climate (see Section 2.2), which can supply a substantial share of the cooling load passively for much of the year — a genuine site-specific advantage over saffron CEA operations in warmer parts of India.</w:t>
      </w:r>
    </w:p>
    <w:p>
      <w:pPr>
        <w:spacing w:after="160"/>
      </w:pPr>
      <w:r>
        <w:t xml:space="preserve">High-temperature stress research (relevant as a climate-risk mitigation reference, given warming trends even at altitude) found that combining Trichoderma harzianum bio-inoculant treatment with nano-TiO₂ application under stress conditions of 25°C/15°C day/night (10°C above optimum) produced measurably larger, more vigorous cormlets — a secondary R&amp;D avenue for corm-multiplication research once the base facility is operational.</w:t>
      </w:r>
    </w:p>
    <w:p>
      <w:pPr>
        <w:spacing w:after="160"/>
      </w:pPr>
      <w:r>
        <w:rPr>
          <w:b/>
          <w:bCs/>
          <w:i/>
          <w:iCs/>
        </w:rPr>
        <w:t xml:space="preserve">Evidence strength: </w:t>
      </w:r>
      <w:r>
        <w:rPr>
          <w:i/>
          <w:iCs/>
        </w:rPr>
        <w:t xml:space="preserve">Strong for temperature/flowering relationships (multiple independent replicated studies); Emerging for nanoparticle/bio-inoculant cormlet enhancement techniques.</w:t>
      </w:r>
    </w:p>
    <w:p>
      <w:pPr>
        <w:pStyle w:val="Heading2"/>
        <w:spacing w:after="150" w:before="300"/>
      </w:pPr>
      <w:r>
        <w:t xml:space="preserve">1.9 Aquatic and Aquascaping Plant Cultivation</w:t>
      </w:r>
    </w:p>
    <w:p>
      <w:pPr>
        <w:spacing w:after="160"/>
      </w:pPr>
      <w:r>
        <w:t xml:space="preserve">Commercial aquatic-plant nurseries overwhelmingly propagate stock in the emersed form (roots submerged in a moist nutrient substrate, foliage grown in open air) rather than fully submersed, because emersed cultivation is faster, cheaper, less prone to algae and snail contamination, and produces sturdier plants that ship and transplant more reliably — after which the plant is transitioned to its submersed morphology by the end retailer or aquascaper. Species such as Anubias, Cryptocoryne, Bucephalandra, Bolbitis, Hygrophila, Rotala, and the carpeting genera (Hemianthus, Micranthemum, Eleocharis, Marsilea) are all documented as suitable for emersed high-humidity propagation. Tissue-culture-produced aquatic plants are grown emersed under sterile in-vitro conditions specifically to guarantee a pest- and algae-free starting stock, which commands a price premium in the aquascaping trade. It should be noted plainly that the literature on commercial emersed aquatic-plant propagation is dominated by industry/trade sources and hobbyist nursery documentation rather than peer-reviewed horticultural science — the underlying plant-physiology principles (humidity dependence, substrate nutrition, LED lighting response) are well studied in general CEA literature, but species-specific, replicated agronomic trials for ornamental aquatics are largely absent from the academic record. This is itself a notable white-space opportunity: a premium Indian brand publishing its own trial data on emersed propagation protocols (light recipes, humidity ramp schedules, substrate formulations) would be establishing genuinely novel IP in an under-researched niche.</w:t>
      </w:r>
    </w:p>
    <w:p>
      <w:pPr>
        <w:spacing w:after="160"/>
      </w:pPr>
      <w:r>
        <w:rPr>
          <w:b/>
          <w:bCs/>
          <w:i/>
          <w:iCs/>
        </w:rPr>
        <w:t xml:space="preserve">Evidence strength: </w:t>
      </w:r>
      <w:r>
        <w:rPr>
          <w:i/>
          <w:iCs/>
        </w:rPr>
        <w:t xml:space="preserve">Moderate-to-Emerging (strong physiological rationale from adjacent CEA literature; direct species-level evidence is largely industry/grey literature, not peer-reviewed).</w:t>
      </w:r>
    </w:p>
    <w:p>
      <w:pPr>
        <w:pStyle w:val="Heading1"/>
        <w:spacing w:after="200" w:before="400"/>
      </w:pPr>
      <w:r>
        <w:t xml:space="preserve">2. R&amp;D Facility Design — Ooty Research Room</w:t>
      </w:r>
    </w:p>
    <w:p>
      <w:pPr>
        <w:pStyle w:val="Heading2"/>
        <w:spacing w:after="150" w:before="300"/>
      </w:pPr>
      <w:r>
        <w:t xml:space="preserve">2.1 Site Context: Ooty Climate as a Design Input</w:t>
      </w:r>
    </w:p>
    <w:p>
      <w:pPr>
        <w:spacing w:after="160"/>
      </w:pPr>
      <w:r>
        <w:t xml:space="preserve">Ooty (Udhagamandalam) sits at approximately 2,240 m altitude in the Nilgiri Hills, with a Köppen Cwb/Cfb subtropical highland climate. Ambient temperatures typically range from roughly 5–25°C across the year, with daytime highs near 25–30°C in the warmest months (March–May) and nights commonly falling to 5–13°C, especially November–February. Relative humidity is highest during the June–September southwest monsoon (annual rainfall approximately 1,500–1,900 mm) and lowest in the dry season around March. This is climatically distinct from nearly every other Indian CEA installation, most of which are engineered around aggressive cooling loads for a hot, humid, or semi-arid ambient climate.</w:t>
      </w:r>
    </w:p>
    <w:p>
      <w:pPr>
        <w:spacing w:after="160"/>
      </w:pPr>
      <w:r>
        <w:t xml:space="preserve">This has two direct design implications. First, the facility's dominant HVAC challenge for most of the year is likely to be gentle heating and humidity/VPD management rather than heavy refrigeration-grade cooling — the opposite of the typical Indian CEA HVAC sizing problem, and a meaningful reduction in compressor-sizing and running-cost relative to a Coimbatore-plains facility. Second, Ooty's naturally cool ambient temperature is directly useful for saffron's cool-phase flower-induction requirement (Section 1.8): the room's cooling subsystem can lean on outside-air economizer cooling for much of the flower-induction window rather than running mechanical refrigeration continuously, which is not an option available to saffron CEA projects sited on the Tamil Nadu plains or in most of India. This is a legitimate, evidence-grounded differentiator worth foregrounding in the company's technical marketing.</w:t>
      </w:r>
    </w:p>
    <w:p>
      <w:pPr>
        <w:pStyle w:val="Heading2"/>
        <w:spacing w:after="150" w:before="300"/>
      </w:pPr>
      <w:r>
        <w:t xml:space="preserve">2.2 Room Envelope and Insulation</w:t>
      </w:r>
    </w:p>
    <w:p>
      <w:pPr>
        <w:spacing w:after="160"/>
      </w:pPr>
      <w:r>
        <w:t xml:space="preserve">Recommended room size: 12×12×12 ft (mid-point of the specified 10×10×12 to 15×15×12 ft range), giving approximately 144 sq ft of floor area and sufficient height for a 2-tier or partial 3-tier rack system with service clearance. Construction should use pre-fabricated insulated sandwich panels (PUF or PIR core, steel or aluminum face sheets) rather than conventional masonry — this is standard practice for cold-room and plant-factory envelopes, with 80–100 mm PUF-core panels achieving U-values around 0.20–0.25 W/m²K and typical thermal conductivities near 0.022 W/m·K. Sandwich-panel construction cuts build time by roughly 30–50% versus masonry, is easier to keep hygienic (a single flat cleanable interior face — relevant for microgreens food-safety and tissue-culture cleanliness), and can be relocated or reconfigured if the R&amp;D program's footprint needs change. PIR core (over EPS) is recommended for its better fire classification given the presence of electrical/lighting load inside the envelope. All panel joints should be thermally broken and sealed to avoid condensation bridging, which is a known failure point in insulated-panel plant-factory rooms.</w:t>
      </w:r>
    </w:p>
    <w:p>
      <w:pPr>
        <w:pStyle w:val="Heading2"/>
        <w:spacing w:after="150" w:before="300"/>
      </w:pPr>
      <w:r>
        <w:t xml:space="preserve">2.3 Zone Allocation for the Three-Crop Program</w:t>
      </w:r>
    </w:p>
    <w:p>
      <w:pPr>
        <w:spacing w:after="160"/>
      </w:pPr>
      <w:r>
        <w:t xml:space="preserve">Because microgreens, aquascaping plants, and saffron have materially different environmental setpoints (saffron in particular needs a distinct, colder induction phase), the room should be designed as a single insulated envelope subdivided into two or three semi-independent microclimate zones using internal curtain partitions or a modular rack-level enclosure, each with its own airflow and (where needed) temperature control, rather than one shared climate for the whole room. A practical allocation within the 144 sq ft footprint:</w:t>
      </w:r>
    </w:p>
    <w:p>
      <w:pPr>
        <w:pStyle w:val="ListParagraph"/>
        <w:numPr>
          <w:ilvl w:val="0"/>
          <w:numId w:val="1"/>
        </w:numPr>
        <w:spacing w:after="60"/>
      </w:pPr>
      <w:r>
        <w:t xml:space="preserve">Zone A — Microgreens (30–40% of floor area): multi-tier NFT/tray racks, 16–20h photoperiod, PPFD 150–210 µmol m⁻² s⁻¹, temperature 20–24°C, moderate VPD.</w:t>
      </w:r>
    </w:p>
    <w:p>
      <w:pPr>
        <w:pStyle w:val="ListParagraph"/>
        <w:numPr>
          <w:ilvl w:val="0"/>
          <w:numId w:val="1"/>
        </w:numPr>
        <w:spacing w:after="60"/>
      </w:pPr>
      <w:r>
        <w:t xml:space="preserve">Zone B — Aquascaping/aquatic plants (30–40% of floor area): shallow emersed propagation trays or paludarium-style benches, high humidity (&gt;80% RH) with a humidity dome/misting subsystem, warm-white/full-spectrum LED at lower intensity than the microgreen zone, 12–16h photoperiod.</w:t>
      </w:r>
    </w:p>
    <w:p>
      <w:pPr>
        <w:pStyle w:val="ListParagraph"/>
        <w:numPr>
          <w:ilvl w:val="0"/>
          <w:numId w:val="1"/>
        </w:numPr>
        <w:spacing w:after="60"/>
      </w:pPr>
      <w:r>
        <w:t xml:space="preserve">Zone C — Saffron (10–20% of floor area, expandable seasonally): a temperature-programmable enclosed sub-chamber run through a two-phase protocol — warm corm-storage/germination phase (23–30°C) transitioning to a cool flower-induction phase (approx. 15–16°C, leaning on Ooty ambient/economizer cooling), low-to-moderate light during induction, controlled dry-to-moist irrigation timing.</w:t>
      </w:r>
    </w:p>
    <w:p>
      <w:pPr>
        <w:spacing w:after="160"/>
      </w:pPr>
      <w:r>
        <w:t xml:space="preserve">This zoned approach also directly supports the future-expansion crops named in the brief (leafy greens, herbs, medicinal plants, tissue-culture hardening): each is simply a fourth or fifth zone profile added to the same control architecture, rather than a different facility.</w:t>
      </w:r>
    </w:p>
    <w:p>
      <w:pPr>
        <w:pStyle w:val="Heading2"/>
        <w:spacing w:after="150" w:before="300"/>
      </w:pPr>
      <w:r>
        <w:t xml:space="preserve">2.4 Subsystem Architecture</w:t>
      </w:r>
    </w:p>
    <w:p>
      <w:pPr>
        <w:spacing w:after="160"/>
      </w:pPr>
      <w:r>
        <w:t xml:space="preserve">The table below summarizes the recommended subsystem architecture for a premium mid-tech version of this room — deliberately positioned above basic hobbyist/DIY builds (fixed-spectrum lights, manual dosing, no data logging) and below full industrial PFAL-grade automation (multi-ion optimal-control dosing, full AI climate control, robotic handling), which is appropriate both for a first-generation R&amp;D room and for the mid-tech commercial product tier the company is targeting.</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3100"/>
      </w:tblGrid>
      <w:tr>
        <w:trPr>
          <w:tblHeader/>
        </w:trPr>
        <w:tc>
          <w:tcPr>
            <w:tcW w:type="dxa" w:w="2000"/>
            <w:shd w:fill="1F3B2C" w:val="clear"/>
          </w:tcPr>
          <w:p>
            <w:r>
              <w:rPr>
                <w:b/>
                <w:bCs/>
                <w:color w:val="FFFFFF"/>
                <w:sz w:val="18"/>
                <w:szCs w:val="18"/>
              </w:rPr>
              <w:t xml:space="preserve">Subsystem</w:t>
            </w:r>
          </w:p>
        </w:tc>
        <w:tc>
          <w:tcPr>
            <w:tcW w:type="dxa" w:w="2600"/>
            <w:shd w:fill="1F3B2C" w:val="clear"/>
          </w:tcPr>
          <w:p>
            <w:r>
              <w:rPr>
                <w:b/>
                <w:bCs/>
                <w:color w:val="FFFFFF"/>
                <w:sz w:val="18"/>
                <w:szCs w:val="18"/>
              </w:rPr>
              <w:t xml:space="preserve">Why Needed</w:t>
            </w:r>
          </w:p>
        </w:tc>
        <w:tc>
          <w:tcPr>
            <w:tcW w:type="dxa" w:w="2900"/>
            <w:shd w:fill="1F3B2C" w:val="clear"/>
          </w:tcPr>
          <w:p>
            <w:r>
              <w:rPr>
                <w:b/>
                <w:bCs/>
                <w:color w:val="FFFFFF"/>
                <w:sz w:val="18"/>
                <w:szCs w:val="18"/>
              </w:rPr>
              <w:t xml:space="preserve">State-of-the-Art Approach</w:t>
            </w:r>
          </w:p>
        </w:tc>
        <w:tc>
          <w:tcPr>
            <w:tcW w:type="dxa" w:w="3100"/>
            <w:shd w:fill="1F3B2C" w:val="clear"/>
          </w:tcPr>
          <w:p>
            <w:r>
              <w:rPr>
                <w:b/>
                <w:bCs/>
                <w:color w:val="FFFFFF"/>
                <w:sz w:val="18"/>
                <w:szCs w:val="18"/>
              </w:rPr>
              <w:t xml:space="preserve">Recommended Mid-Tech Solution</w:t>
            </w:r>
          </w:p>
        </w:tc>
      </w:tr>
      <w:tr>
        <w:tc>
          <w:tcPr>
            <w:tcW w:type="dxa" w:w="2000"/>
          </w:tcPr>
          <w:p>
            <w:r>
              <w:rPr>
                <w:sz w:val="18"/>
                <w:szCs w:val="18"/>
              </w:rPr>
              <w:t xml:space="preserve">Lighting</w:t>
            </w:r>
          </w:p>
        </w:tc>
        <w:tc>
          <w:tcPr>
            <w:tcW w:type="dxa" w:w="2600"/>
          </w:tcPr>
          <w:p>
            <w:r>
              <w:rPr>
                <w:sz w:val="18"/>
                <w:szCs w:val="18"/>
              </w:rPr>
              <w:t xml:space="preserve">Drives yield and phytochemical quality; largest energy load</w:t>
            </w:r>
          </w:p>
        </w:tc>
        <w:tc>
          <w:tcPr>
            <w:tcW w:type="dxa" w:w="2900"/>
          </w:tcPr>
          <w:p>
            <w:r>
              <w:rPr>
                <w:sz w:val="18"/>
                <w:szCs w:val="18"/>
              </w:rPr>
              <w:t xml:space="preserve">Dynamic multi-channel tunable spectrum with per-zone dimming (Sec. 1.1, 1.5)</w:t>
            </w:r>
          </w:p>
        </w:tc>
        <w:tc>
          <w:tcPr>
            <w:tcW w:type="dxa" w:w="3100"/>
          </w:tcPr>
          <w:p>
            <w:r>
              <w:rPr>
                <w:sz w:val="18"/>
                <w:szCs w:val="18"/>
              </w:rPr>
              <w:t xml:space="preserve">Dimmable RB(+W/FR) LED bars, ~150–210 µmol m⁻²s⁻¹, close-canopy mounting, zone-specific photoperiod control</w:t>
            </w:r>
          </w:p>
        </w:tc>
      </w:tr>
      <w:tr>
        <w:tc>
          <w:tcPr>
            <w:tcW w:type="dxa" w:w="2000"/>
          </w:tcPr>
          <w:p>
            <w:r>
              <w:rPr>
                <w:sz w:val="18"/>
                <w:szCs w:val="18"/>
              </w:rPr>
              <w:t xml:space="preserve">Environmental control (T/RH/VPD)</w:t>
            </w:r>
          </w:p>
        </w:tc>
        <w:tc>
          <w:tcPr>
            <w:tcW w:type="dxa" w:w="2600"/>
          </w:tcPr>
          <w:p>
            <w:r>
              <w:rPr>
                <w:sz w:val="18"/>
                <w:szCs w:val="18"/>
              </w:rPr>
              <w:t xml:space="preserve">Governs transpiration, disease pressure, tip-burn risk</w:t>
            </w:r>
          </w:p>
        </w:tc>
        <w:tc>
          <w:tcPr>
            <w:tcW w:type="dxa" w:w="2900"/>
          </w:tcPr>
          <w:p>
            <w:r>
              <w:rPr>
                <w:sz w:val="18"/>
                <w:szCs w:val="18"/>
              </w:rPr>
              <w:t xml:space="preserve">Predictive/model-based VPD control (Sec. 1.2)</w:t>
            </w:r>
          </w:p>
        </w:tc>
        <w:tc>
          <w:tcPr>
            <w:tcW w:type="dxa" w:w="3100"/>
          </w:tcPr>
          <w:p>
            <w:r>
              <w:rPr>
                <w:sz w:val="18"/>
                <w:szCs w:val="18"/>
              </w:rPr>
              <w:t xml:space="preserve">Setpoint VPD control via networked T/RH sensors driving heater, humidifier/mister, and dehumidifier per zone</w:t>
            </w:r>
          </w:p>
        </w:tc>
      </w:tr>
      <w:tr>
        <w:tc>
          <w:tcPr>
            <w:tcW w:type="dxa" w:w="2000"/>
          </w:tcPr>
          <w:p>
            <w:r>
              <w:rPr>
                <w:sz w:val="18"/>
                <w:szCs w:val="18"/>
              </w:rPr>
              <w:t xml:space="preserve">CO2 enrichment</w:t>
            </w:r>
          </w:p>
        </w:tc>
        <w:tc>
          <w:tcPr>
            <w:tcW w:type="dxa" w:w="2600"/>
          </w:tcPr>
          <w:p>
            <w:r>
              <w:rPr>
                <w:sz w:val="18"/>
                <w:szCs w:val="18"/>
              </w:rPr>
              <w:t xml:space="preserve">18–40%+ yield gains in C3 crops in closed rooms (Sec. 1.3)</w:t>
            </w:r>
          </w:p>
        </w:tc>
        <w:tc>
          <w:tcPr>
            <w:tcW w:type="dxa" w:w="2900"/>
          </w:tcPr>
          <w:p>
            <w:r>
              <w:rPr>
                <w:sz w:val="18"/>
                <w:szCs w:val="18"/>
              </w:rPr>
              <w:t xml:space="preserve">Null-balance CO2 dosing to 1,000–1,500 µmol/mol in PFAL</w:t>
            </w:r>
          </w:p>
        </w:tc>
        <w:tc>
          <w:tcPr>
            <w:tcW w:type="dxa" w:w="3100"/>
          </w:tcPr>
          <w:p>
            <w:r>
              <w:rPr>
                <w:sz w:val="18"/>
                <w:szCs w:val="18"/>
              </w:rPr>
              <w:t xml:space="preserve">Cylinder + solenoid + NDIR CO2 sensor closed-loop dosing to zone-specific setpoint; interlocked with ventilation</w:t>
            </w:r>
          </w:p>
        </w:tc>
      </w:tr>
      <w:tr>
        <w:tc>
          <w:tcPr>
            <w:tcW w:type="dxa" w:w="2000"/>
          </w:tcPr>
          <w:p>
            <w:r>
              <w:rPr>
                <w:sz w:val="18"/>
                <w:szCs w:val="18"/>
              </w:rPr>
              <w:t xml:space="preserve">Airflow/HVAC</w:t>
            </w:r>
          </w:p>
        </w:tc>
        <w:tc>
          <w:tcPr>
            <w:tcW w:type="dxa" w:w="2600"/>
          </w:tcPr>
          <w:p>
            <w:r>
              <w:rPr>
                <w:sz w:val="18"/>
                <w:szCs w:val="18"/>
              </w:rPr>
              <w:t xml:space="preserve">Boundary-layer gas exchange, prevents tip-burn (Sec. 1.4)</w:t>
            </w:r>
          </w:p>
        </w:tc>
        <w:tc>
          <w:tcPr>
            <w:tcW w:type="dxa" w:w="2900"/>
          </w:tcPr>
          <w:p>
            <w:r>
              <w:rPr>
                <w:sz w:val="18"/>
                <w:szCs w:val="18"/>
              </w:rPr>
              <w:t xml:space="preserve">CFD-optimized multi-inlet horizontal ducting, 0.2–0.5 m/s at canopy</w:t>
            </w:r>
          </w:p>
        </w:tc>
        <w:tc>
          <w:tcPr>
            <w:tcW w:type="dxa" w:w="3100"/>
          </w:tcPr>
          <w:p>
            <w:r>
              <w:rPr>
                <w:sz w:val="18"/>
                <w:szCs w:val="18"/>
              </w:rPr>
              <w:t xml:space="preserve">Perforated duct or oscillating fan array per zone; Ooty ambient economizer-assisted cooling for saffron zone</w:t>
            </w:r>
          </w:p>
        </w:tc>
      </w:tr>
      <w:tr>
        <w:tc>
          <w:tcPr>
            <w:tcW w:type="dxa" w:w="2000"/>
          </w:tcPr>
          <w:p>
            <w:r>
              <w:rPr>
                <w:sz w:val="18"/>
                <w:szCs w:val="18"/>
              </w:rPr>
              <w:t xml:space="preserve">Insulation/envelope</w:t>
            </w:r>
          </w:p>
        </w:tc>
        <w:tc>
          <w:tcPr>
            <w:tcW w:type="dxa" w:w="2600"/>
          </w:tcPr>
          <w:p>
            <w:r>
              <w:rPr>
                <w:sz w:val="18"/>
                <w:szCs w:val="18"/>
              </w:rPr>
              <w:t xml:space="preserve">Minimizes HVAC load, enables independent zone climates</w:t>
            </w:r>
          </w:p>
        </w:tc>
        <w:tc>
          <w:tcPr>
            <w:tcW w:type="dxa" w:w="2900"/>
          </w:tcPr>
          <w:p>
            <w:r>
              <w:rPr>
                <w:sz w:val="18"/>
                <w:szCs w:val="18"/>
              </w:rPr>
              <w:t xml:space="preserve">PIR-core sandwich panel modular envelope (Sec. 2.2)</w:t>
            </w:r>
          </w:p>
        </w:tc>
        <w:tc>
          <w:tcPr>
            <w:tcW w:type="dxa" w:w="3100"/>
          </w:tcPr>
          <w:p>
            <w:r>
              <w:rPr>
                <w:sz w:val="18"/>
                <w:szCs w:val="18"/>
              </w:rPr>
              <w:t xml:space="preserve">80–100mm PIR sandwich panels, thermally broken joints, vapor barrier</w:t>
            </w:r>
          </w:p>
        </w:tc>
      </w:tr>
      <w:tr>
        <w:tc>
          <w:tcPr>
            <w:tcW w:type="dxa" w:w="2000"/>
          </w:tcPr>
          <w:p>
            <w:r>
              <w:rPr>
                <w:sz w:val="18"/>
                <w:szCs w:val="18"/>
              </w:rPr>
              <w:t xml:space="preserve">Irrigation/fertigation</w:t>
            </w:r>
          </w:p>
        </w:tc>
        <w:tc>
          <w:tcPr>
            <w:tcW w:type="dxa" w:w="2600"/>
          </w:tcPr>
          <w:p>
            <w:r>
              <w:rPr>
                <w:sz w:val="18"/>
                <w:szCs w:val="18"/>
              </w:rPr>
              <w:t xml:space="preserve">Consistent nutrient delivery; largest labor-saving opportunity</w:t>
            </w:r>
          </w:p>
        </w:tc>
        <w:tc>
          <w:tcPr>
            <w:tcW w:type="dxa" w:w="2900"/>
          </w:tcPr>
          <w:p>
            <w:r>
              <w:rPr>
                <w:sz w:val="18"/>
                <w:szCs w:val="18"/>
              </w:rPr>
              <w:t xml:space="preserve">PLC+HMI closed-loop pH/EC dosing (Sec. 1.6)</w:t>
            </w:r>
          </w:p>
        </w:tc>
        <w:tc>
          <w:tcPr>
            <w:tcW w:type="dxa" w:w="3100"/>
          </w:tcPr>
          <w:p>
            <w:r>
              <w:rPr>
                <w:sz w:val="18"/>
                <w:szCs w:val="18"/>
              </w:rPr>
              <w:t xml:space="preserve">Peristaltic dosing pumps + inline pH/EC probes + microcontroller/PLC, target pH 5.6–6.2</w:t>
            </w:r>
          </w:p>
        </w:tc>
      </w:tr>
      <w:tr>
        <w:tc>
          <w:tcPr>
            <w:tcW w:type="dxa" w:w="2000"/>
          </w:tcPr>
          <w:p>
            <w:r>
              <w:rPr>
                <w:sz w:val="18"/>
                <w:szCs w:val="18"/>
              </w:rPr>
              <w:t xml:space="preserve">Hydroponics/substrate</w:t>
            </w:r>
          </w:p>
        </w:tc>
        <w:tc>
          <w:tcPr>
            <w:tcW w:type="dxa" w:w="2600"/>
          </w:tcPr>
          <w:p>
            <w:r>
              <w:rPr>
                <w:sz w:val="18"/>
                <w:szCs w:val="18"/>
              </w:rPr>
              <w:t xml:space="preserve">Root-zone environment for microgreens &amp; saffron corms</w:t>
            </w:r>
          </w:p>
        </w:tc>
        <w:tc>
          <w:tcPr>
            <w:tcW w:type="dxa" w:w="2900"/>
          </w:tcPr>
          <w:p>
            <w:r>
              <w:rPr>
                <w:sz w:val="18"/>
                <w:szCs w:val="18"/>
              </w:rPr>
              <w:t xml:space="preserve">NFT/DWC for greens; soilless substrate for corms</w:t>
            </w:r>
          </w:p>
        </w:tc>
        <w:tc>
          <w:tcPr>
            <w:tcW w:type="dxa" w:w="3100"/>
          </w:tcPr>
          <w:p>
            <w:r>
              <w:rPr>
                <w:sz w:val="18"/>
                <w:szCs w:val="18"/>
              </w:rPr>
              <w:t xml:space="preserve">NFT trays (microgreens), coco/perlite substrate beds (saffron corms), emersed propagation trays (aquatics)</w:t>
            </w:r>
          </w:p>
        </w:tc>
      </w:tr>
      <w:tr>
        <w:tc>
          <w:tcPr>
            <w:tcW w:type="dxa" w:w="2000"/>
          </w:tcPr>
          <w:p>
            <w:r>
              <w:rPr>
                <w:sz w:val="18"/>
                <w:szCs w:val="18"/>
              </w:rPr>
              <w:t xml:space="preserve">Sensors/data logging</w:t>
            </w:r>
          </w:p>
        </w:tc>
        <w:tc>
          <w:tcPr>
            <w:tcW w:type="dxa" w:w="2600"/>
          </w:tcPr>
          <w:p>
            <w:r>
              <w:rPr>
                <w:sz w:val="18"/>
                <w:szCs w:val="18"/>
              </w:rPr>
              <w:t xml:space="preserve">Enables reproducible R&amp;D and process control (Sec. 1.7)</w:t>
            </w:r>
          </w:p>
        </w:tc>
        <w:tc>
          <w:tcPr>
            <w:tcW w:type="dxa" w:w="2900"/>
          </w:tcPr>
          <w:p>
            <w:r>
              <w:rPr>
                <w:sz w:val="18"/>
                <w:szCs w:val="18"/>
              </w:rPr>
              <w:t xml:space="preserve">Multi-sensor fusion (env + imaging) with AI analytics</w:t>
            </w:r>
          </w:p>
        </w:tc>
        <w:tc>
          <w:tcPr>
            <w:tcW w:type="dxa" w:w="3100"/>
          </w:tcPr>
          <w:p>
            <w:r>
              <w:rPr>
                <w:sz w:val="18"/>
                <w:szCs w:val="18"/>
              </w:rPr>
              <w:t xml:space="preserve">Networked T/RH/CO2/pH/EC/PAR sensors logging to local + cloud DB; per-zone dashboards</w:t>
            </w:r>
          </w:p>
        </w:tc>
      </w:tr>
      <w:tr>
        <w:tc>
          <w:tcPr>
            <w:tcW w:type="dxa" w:w="2000"/>
          </w:tcPr>
          <w:p>
            <w:r>
              <w:rPr>
                <w:sz w:val="18"/>
                <w:szCs w:val="18"/>
              </w:rPr>
              <w:t xml:space="preserve">Imaging/phenotyping</w:t>
            </w:r>
          </w:p>
        </w:tc>
        <w:tc>
          <w:tcPr>
            <w:tcW w:type="dxa" w:w="2600"/>
          </w:tcPr>
          <w:p>
            <w:r>
              <w:rPr>
                <w:sz w:val="18"/>
                <w:szCs w:val="18"/>
              </w:rPr>
              <w:t xml:space="preserve">Non-destructive growth tracking for product validation</w:t>
            </w:r>
          </w:p>
        </w:tc>
        <w:tc>
          <w:tcPr>
            <w:tcW w:type="dxa" w:w="2900"/>
          </w:tcPr>
          <w:p>
            <w:r>
              <w:rPr>
                <w:sz w:val="18"/>
                <w:szCs w:val="18"/>
              </w:rPr>
              <w:t xml:space="preserve">RGB/multispectral time-lapse phenotyping rigs</w:t>
            </w:r>
          </w:p>
        </w:tc>
        <w:tc>
          <w:tcPr>
            <w:tcW w:type="dxa" w:w="3100"/>
          </w:tcPr>
          <w:p>
            <w:r>
              <w:rPr>
                <w:sz w:val="18"/>
                <w:szCs w:val="18"/>
              </w:rPr>
              <w:t xml:space="preserve">Fixed RGB cameras per zone on a timer; optional low-cost NDVI camera for R&amp;D crops</w:t>
            </w:r>
          </w:p>
        </w:tc>
      </w:tr>
      <w:tr>
        <w:tc>
          <w:tcPr>
            <w:tcW w:type="dxa" w:w="2000"/>
          </w:tcPr>
          <w:p>
            <w:r>
              <w:rPr>
                <w:sz w:val="18"/>
                <w:szCs w:val="18"/>
              </w:rPr>
              <w:t xml:space="preserve">Automation/IoT/controllers</w:t>
            </w:r>
          </w:p>
        </w:tc>
        <w:tc>
          <w:tcPr>
            <w:tcW w:type="dxa" w:w="2600"/>
          </w:tcPr>
          <w:p>
            <w:r>
              <w:rPr>
                <w:sz w:val="18"/>
                <w:szCs w:val="18"/>
              </w:rPr>
              <w:t xml:space="preserve">Reduces labor, enables remote monitoring, is a sellable feature</w:t>
            </w:r>
          </w:p>
        </w:tc>
        <w:tc>
          <w:tcPr>
            <w:tcW w:type="dxa" w:w="2900"/>
          </w:tcPr>
          <w:p>
            <w:r>
              <w:rPr>
                <w:sz w:val="18"/>
                <w:szCs w:val="18"/>
              </w:rPr>
              <w:t xml:space="preserve">Full SCADA/edge-AI control</w:t>
            </w:r>
          </w:p>
        </w:tc>
        <w:tc>
          <w:tcPr>
            <w:tcW w:type="dxa" w:w="3100"/>
          </w:tcPr>
          <w:p>
            <w:r>
              <w:rPr>
                <w:sz w:val="18"/>
                <w:szCs w:val="18"/>
              </w:rPr>
              <w:t xml:space="preserve">ESP32/PLC-based zone controllers + cloud dashboard (local-first, cloud-optional for reliability)</w:t>
            </w:r>
          </w:p>
        </w:tc>
      </w:tr>
      <w:tr>
        <w:tc>
          <w:tcPr>
            <w:tcW w:type="dxa" w:w="2000"/>
          </w:tcPr>
          <w:p>
            <w:r>
              <w:rPr>
                <w:sz w:val="18"/>
                <w:szCs w:val="18"/>
              </w:rPr>
              <w:t xml:space="preserve">Power systems</w:t>
            </w:r>
          </w:p>
        </w:tc>
        <w:tc>
          <w:tcPr>
            <w:tcW w:type="dxa" w:w="2600"/>
          </w:tcPr>
          <w:p>
            <w:r>
              <w:rPr>
                <w:sz w:val="18"/>
                <w:szCs w:val="18"/>
              </w:rPr>
              <w:t xml:space="preserve">Continuity of climate/lighting control is safety-critical</w:t>
            </w:r>
          </w:p>
        </w:tc>
        <w:tc>
          <w:tcPr>
            <w:tcW w:type="dxa" w:w="2900"/>
          </w:tcPr>
          <w:p>
            <w:r>
              <w:rPr>
                <w:sz w:val="18"/>
                <w:szCs w:val="18"/>
              </w:rPr>
              <w:t xml:space="preserve">UPS + generator + solar hybrid</w:t>
            </w:r>
          </w:p>
        </w:tc>
        <w:tc>
          <w:tcPr>
            <w:tcW w:type="dxa" w:w="3100"/>
          </w:tcPr>
          <w:p>
            <w:r>
              <w:rPr>
                <w:sz w:val="18"/>
                <w:szCs w:val="18"/>
              </w:rPr>
              <w:t xml:space="preserve">UPS for controllers/sensors (data integrity), mains + manual generator backup for lighting/HVAC</w:t>
            </w:r>
          </w:p>
        </w:tc>
      </w:tr>
      <w:tr>
        <w:tc>
          <w:tcPr>
            <w:tcW w:type="dxa" w:w="2000"/>
          </w:tcPr>
          <w:p>
            <w:r>
              <w:rPr>
                <w:sz w:val="18"/>
                <w:szCs w:val="18"/>
              </w:rPr>
              <w:t xml:space="preserve">Safety systems</w:t>
            </w:r>
          </w:p>
        </w:tc>
        <w:tc>
          <w:tcPr>
            <w:tcW w:type="dxa" w:w="2600"/>
          </w:tcPr>
          <w:p>
            <w:r>
              <w:rPr>
                <w:sz w:val="18"/>
                <w:szCs w:val="18"/>
              </w:rPr>
              <w:t xml:space="preserve">Electrical/water/gas safety in a small enclosed room</w:t>
            </w:r>
          </w:p>
        </w:tc>
        <w:tc>
          <w:tcPr>
            <w:tcW w:type="dxa" w:w="2900"/>
          </w:tcPr>
          <w:p>
            <w:r>
              <w:rPr>
                <w:sz w:val="18"/>
                <w:szCs w:val="18"/>
              </w:rPr>
              <w:t xml:space="preserve">Interlocked E-stops, leak/smoke detection, GFCI</w:t>
            </w:r>
          </w:p>
        </w:tc>
        <w:tc>
          <w:tcPr>
            <w:tcW w:type="dxa" w:w="3100"/>
          </w:tcPr>
          <w:p>
            <w:r>
              <w:rPr>
                <w:sz w:val="18"/>
                <w:szCs w:val="18"/>
              </w:rPr>
              <w:t xml:space="preserve">RCD/GFCI on all circuits, water-leak sensors under fertigation lines, CO2 leak alarm, smoke detector</w:t>
            </w:r>
          </w:p>
        </w:tc>
      </w:tr>
      <w:tr>
        <w:tc>
          <w:tcPr>
            <w:tcW w:type="dxa" w:w="2000"/>
          </w:tcPr>
          <w:p>
            <w:r>
              <w:rPr>
                <w:sz w:val="18"/>
                <w:szCs w:val="18"/>
              </w:rPr>
              <w:t xml:space="preserve">Modular mechanical design</w:t>
            </w:r>
          </w:p>
        </w:tc>
        <w:tc>
          <w:tcPr>
            <w:tcW w:type="dxa" w:w="2600"/>
          </w:tcPr>
          <w:p>
            <w:r>
              <w:rPr>
                <w:sz w:val="18"/>
                <w:szCs w:val="18"/>
              </w:rPr>
              <w:t xml:space="preserve">Enables rack reconfiguration as crop mix evolves</w:t>
            </w:r>
          </w:p>
        </w:tc>
        <w:tc>
          <w:tcPr>
            <w:tcW w:type="dxa" w:w="2900"/>
          </w:tcPr>
          <w:p>
            <w:r>
              <w:rPr>
                <w:sz w:val="18"/>
                <w:szCs w:val="18"/>
              </w:rPr>
              <w:t xml:space="preserve">Tool-less modular aluminum extrusion racking</w:t>
            </w:r>
          </w:p>
        </w:tc>
        <w:tc>
          <w:tcPr>
            <w:tcW w:type="dxa" w:w="3100"/>
          </w:tcPr>
          <w:p>
            <w:r>
              <w:rPr>
                <w:sz w:val="18"/>
                <w:szCs w:val="18"/>
              </w:rPr>
              <w:t xml:space="preserve">80/20-style aluminum extrusion racks, adjustable tier height, wheeled sub-modules per zone</w:t>
            </w:r>
          </w:p>
        </w:tc>
      </w:tr>
    </w:tbl>
    <w:p>
      <w:pPr>
        <w:spacing w:after="200"/>
      </w:pPr>
    </w:p>
    <w:p>
      <w:pPr>
        <w:pStyle w:val="Heading2"/>
        <w:spacing w:after="150" w:before="300"/>
      </w:pPr>
      <w:r>
        <w:t xml:space="preserve">2.5 Automation Tier and Controls Philosophy</w:t>
      </w:r>
    </w:p>
    <w:p>
      <w:pPr>
        <w:spacing w:after="160"/>
      </w:pPr>
      <w:r>
        <w:t xml:space="preserve">Given the review findings in Section 1.7 that AI/ML-based autonomous control still faces data and calibration constraints at small scale, the recommended architecture is a local-first, rules-plus-feedback-loop control system (setpoint + PID/fuzzy logic per zone) with cloud logging and remote monitoring layered on top — not a fully autonomous AI controller. This is both the scientifically defensible choice for a room this size (avoids over-claiming AI capability the data volume cannot support) and the more reliable choice operationally, since local control continues functioning during any internet or cloud outage. The same architecture doubles as the R&amp;D data-logging backbone: every zone's environmental history and yield outcome should be timestamped and stored so that the facility functions as a genuine product-validation instrument, not just a production room.</w:t>
      </w:r>
    </w:p>
    <w:p>
      <w:pPr>
        <w:pStyle w:val="Heading2"/>
        <w:spacing w:after="150" w:before="300"/>
      </w:pPr>
      <w:r>
        <w:t xml:space="preserve">2.6 Safety Systems</w:t>
      </w:r>
    </w:p>
    <w:p>
      <w:pPr>
        <w:spacing w:after="160"/>
      </w:pPr>
      <w:r>
        <w:t xml:space="preserve">A small sealed CEA room concentrates several hazards that a larger facility distributes across more space: electrical (lighting/pump circuits near water), water (fertigation leaks, humidity systems), and gas (CO2 enrichment in an occupied, low-air-exchange room). Recommended baseline: RCD/GFCI protection on every wet-area circuit, under-tray water-leak sensors wired to an automatic solenoid shutoff, an NDIR CO2 sensor with audible/visual alarm and interlocked ventilation override (critical because CO2 concentrations in the 1,000–1,500 µmol/mol range used for enrichment are asphyxiation-relevant if the room were ever sealed with a person inside for extended periods at higher concentrations), and a standard smoke/heat detector given the electrical and lighting load density.</w:t>
      </w:r>
    </w:p>
    <w:p>
      <w:pPr>
        <w:pStyle w:val="Heading2"/>
        <w:spacing w:after="150" w:before="300"/>
      </w:pPr>
      <w:r>
        <w:t xml:space="preserve">2.7 Cost-Performance Positioning</w:t>
      </w:r>
    </w:p>
    <w:p>
      <w:pPr>
        <w:spacing w:after="160"/>
      </w:pPr>
      <w:r>
        <w:t xml:space="preserve">The subsystem choices above are deliberately calibrated to the company's stated market position: above hobbyist/DIY grow-tent equipment (fixed lights, no automation, no logging) but below full industrial PFAL capital intensity (multi-ion AI dosing, robotic handling, SCADA-grade redundancy). This positions the resulting product line — and the R&amp;D room itself as a demonstrator — as credibly research-backed and engineering-led without requiring capital expenditure or technical complexity that outstrips what a first-generation Indian manufacturer, outsourcing fabrication locally, can reliably build, service, and support. Section 2.4's 'Recommended Mid-Tech Solution' column is effectively a first-pass specification for the Phase 1/Phase 2 product catalog to be developed in a later phase of this report.</w:t>
      </w:r>
    </w:p>
    <w:p>
      <w:pPr>
        <w:pStyle w:val="Heading1"/>
        <w:spacing w:after="200" w:before="400"/>
      </w:pPr>
      <w:r>
        <w:t xml:space="preserve">References</w:t>
      </w:r>
    </w:p>
    <w:p>
      <w:pPr>
        <w:spacing w:after="120"/>
        <w:ind w:left="360" w:hanging="360"/>
      </w:pPr>
      <w:r>
        <w:rPr>
          <w:sz w:val="20"/>
          <w:szCs w:val="20"/>
        </w:rPr>
        <w:t xml:space="preserve">Anuar, N., Taha, R. M., Abdullah, S., Nazira, M., &amp; Abdumutalovna, M. S. (2024). Temperature effects on corm germination and flowering of Crocus sativus L. (saffron). Journal of Animal and Plant Sciences, 34(1), 130–137.</w:t>
      </w:r>
    </w:p>
    <w:p>
      <w:pPr>
        <w:spacing w:after="120"/>
        <w:ind w:left="360" w:hanging="360"/>
      </w:pPr>
      <w:r>
        <w:rPr>
          <w:sz w:val="20"/>
          <w:szCs w:val="20"/>
        </w:rPr>
        <w:t xml:space="preserve">Ahrazem, O., et al. (2015). Effects of ambient temperature on flower initiation and flowering in saffron (Crocus sativus L.). Scientia Horticulturae.</w:t>
      </w:r>
    </w:p>
    <w:p>
      <w:pPr>
        <w:spacing w:after="120"/>
        <w:ind w:left="360" w:hanging="360"/>
      </w:pPr>
      <w:r>
        <w:rPr>
          <w:sz w:val="20"/>
          <w:szCs w:val="20"/>
        </w:rPr>
        <w:t xml:space="preserve">Molina, R. V., et al. (2005). Temperature effects on flower formation in saffron (Crocus sativus L.). Scientia Horticulturae.</w:t>
      </w:r>
    </w:p>
    <w:p>
      <w:pPr>
        <w:spacing w:after="120"/>
        <w:ind w:left="360" w:hanging="360"/>
      </w:pPr>
      <w:r>
        <w:rPr>
          <w:sz w:val="20"/>
          <w:szCs w:val="20"/>
        </w:rPr>
        <w:t xml:space="preserve">Kozai, T. (2013). Resource use efficiency of closed plant production system with artificial light: Concept, estimation and application to plant factory. Proceedings of the Japan Academy, Series B, 89(10), 447–461.</w:t>
      </w:r>
    </w:p>
    <w:p>
      <w:pPr>
        <w:spacing w:after="120"/>
        <w:ind w:left="360" w:hanging="360"/>
      </w:pPr>
      <w:r>
        <w:rPr>
          <w:sz w:val="20"/>
          <w:szCs w:val="20"/>
        </w:rPr>
        <w:t xml:space="preserve">Li, K., et al. (2021). Carbon dioxide enrichment promoted the growth, yield, and light-use efficiency of lettuce in a plant factory with artificial lighting. Agronomy Journal, 113(6).</w:t>
      </w:r>
    </w:p>
    <w:p>
      <w:pPr>
        <w:spacing w:after="120"/>
        <w:ind w:left="360" w:hanging="360"/>
      </w:pPr>
      <w:r>
        <w:rPr>
          <w:sz w:val="20"/>
          <w:szCs w:val="20"/>
        </w:rPr>
        <w:t xml:space="preserve">Wang, A., Lv, J., Wang, J., &amp; Shi, K. (2022). CO2 enrichment in greenhouse production: Towards a sustainable approach. Frontiers in Plant Science, 13, 1029901.</w:t>
      </w:r>
    </w:p>
    <w:p>
      <w:pPr>
        <w:spacing w:after="120"/>
        <w:ind w:left="360" w:hanging="360"/>
      </w:pPr>
      <w:r>
        <w:rPr>
          <w:sz w:val="20"/>
          <w:szCs w:val="20"/>
        </w:rPr>
        <w:t xml:space="preserve">Dannehl, D., Kläring, H.-P., &amp; Schmidt, U. (2021). Light-mediated reduction in photosynthesis in closed greenhouses can be compensated for by CO2 enrichment in tomato production. Plants, 10(12), 2808.</w:t>
      </w:r>
    </w:p>
    <w:p>
      <w:pPr>
        <w:spacing w:after="120"/>
        <w:ind w:left="360" w:hanging="360"/>
      </w:pPr>
      <w:r>
        <w:rPr>
          <w:sz w:val="20"/>
          <w:szCs w:val="20"/>
        </w:rPr>
        <w:t xml:space="preserve">Wu, B. (2016). A CFD study on improving air flow uniformity in indoor plant factory system. Biosystems Engineering, 147, 193–205.</w:t>
      </w:r>
    </w:p>
    <w:p>
      <w:pPr>
        <w:spacing w:after="120"/>
        <w:ind w:left="360" w:hanging="360"/>
      </w:pPr>
      <w:r>
        <w:rPr>
          <w:sz w:val="20"/>
          <w:szCs w:val="20"/>
        </w:rPr>
        <w:t xml:space="preserve">Kitaya, Y. (2005). Effects of air current on transpiration and net photosynthetic rates of plants in a closed plant production system. Environment Control in Biology.</w:t>
      </w:r>
    </w:p>
    <w:p>
      <w:pPr>
        <w:spacing w:after="120"/>
        <w:ind w:left="360" w:hanging="360"/>
      </w:pPr>
      <w:r>
        <w:rPr>
          <w:sz w:val="20"/>
          <w:szCs w:val="20"/>
        </w:rPr>
        <w:t xml:space="preserve">(2022). Analysis of climate uniformity in indoor plant factory system with computational fluid dynamics (CFD). Computers and Electronics in Agriculture.</w:t>
      </w:r>
    </w:p>
    <w:p>
      <w:pPr>
        <w:spacing w:after="120"/>
        <w:ind w:left="360" w:hanging="360"/>
      </w:pPr>
      <w:r>
        <w:rPr>
          <w:sz w:val="20"/>
          <w:szCs w:val="20"/>
        </w:rPr>
        <w:t xml:space="preserve">Van Delden, S. H., et al. / Benchmarking energy efficiency in vertical farming: Status and prospects. (2024). Sustainable Production and Consumption.</w:t>
      </w:r>
    </w:p>
    <w:p>
      <w:pPr>
        <w:spacing w:after="120"/>
        <w:ind w:left="360" w:hanging="360"/>
      </w:pPr>
      <w:r>
        <w:rPr>
          <w:sz w:val="20"/>
          <w:szCs w:val="20"/>
        </w:rPr>
        <w:t xml:space="preserve">Zhang, Y., et al. (2024). Energy consumption of plant factory with artificial light: Challenges and opportunities. Renewable and Sustainable Energy Reviews.</w:t>
      </w:r>
    </w:p>
    <w:p>
      <w:pPr>
        <w:spacing w:after="120"/>
        <w:ind w:left="360" w:hanging="360"/>
      </w:pPr>
      <w:r>
        <w:rPr>
          <w:sz w:val="20"/>
          <w:szCs w:val="20"/>
        </w:rPr>
        <w:t xml:space="preserve">Sheibani, F., &amp; Mitchell, C. A. (2023). Close-canopy lighting, an effective energy-saving strategy for overhead sole-source LED lighting in indoor farming. Frontiers in Plant Science, 14, 1215919.</w:t>
      </w:r>
    </w:p>
    <w:p>
      <w:pPr>
        <w:spacing w:after="120"/>
        <w:ind w:left="360" w:hanging="360"/>
      </w:pPr>
      <w:r>
        <w:rPr>
          <w:sz w:val="20"/>
          <w:szCs w:val="20"/>
        </w:rPr>
        <w:t xml:space="preserve">Colantoni, A., et al. (2024). Lighting strategies in vertical urban farming for enhancement of plant productivity and energy consumption. Journal of Cleaner Production.</w:t>
      </w:r>
    </w:p>
    <w:p>
      <w:pPr>
        <w:spacing w:after="120"/>
        <w:ind w:left="360" w:hanging="360"/>
      </w:pPr>
      <w:r>
        <w:rPr>
          <w:sz w:val="20"/>
          <w:szCs w:val="20"/>
        </w:rPr>
        <w:t xml:space="preserve">Kaya, C. (2025). Intelligent environmental control in plant factories: Integrating sensors, automation, and AI for optimal crop production. Food and Energy Security, 14(1), e70026.</w:t>
      </w:r>
    </w:p>
    <w:p>
      <w:pPr>
        <w:spacing w:after="120"/>
        <w:ind w:left="360" w:hanging="360"/>
      </w:pPr>
      <w:r>
        <w:rPr>
          <w:sz w:val="20"/>
          <w:szCs w:val="20"/>
        </w:rPr>
        <w:t xml:space="preserve">(2026). Smart greenhouses in the era of IoT and AI: A comprehensive review of AI applications, spectral sensing, multimodal data fusion, and intelligent systems. Agriculture, 16(7), 761.</w:t>
      </w:r>
    </w:p>
    <w:p>
      <w:pPr>
        <w:spacing w:after="120"/>
        <w:ind w:left="360" w:hanging="360"/>
      </w:pPr>
      <w:r>
        <w:rPr>
          <w:sz w:val="20"/>
          <w:szCs w:val="20"/>
        </w:rPr>
        <w:t xml:space="preserve">(2025). Multi-sensor monitoring, intelligent control, and data processing for smart greenhouse environment management. PMC review article.</w:t>
      </w:r>
    </w:p>
    <w:p>
      <w:pPr>
        <w:spacing w:after="120"/>
        <w:ind w:left="360" w:hanging="360"/>
      </w:pPr>
      <w:r>
        <w:rPr>
          <w:sz w:val="20"/>
          <w:szCs w:val="20"/>
        </w:rPr>
        <w:t xml:space="preserve">Bethge, H., Winkelmann, T., Lüdeke, P., &amp; Rath, T. (2023). Low-cost and automated phenotyping system "Phenomenon" for multi-sensor in situ monitoring in plant in vitro culture. Plant Methods, 19, 42.</w:t>
      </w:r>
    </w:p>
    <w:p>
      <w:pPr>
        <w:spacing w:after="120"/>
        <w:ind w:left="360" w:hanging="360"/>
      </w:pPr>
      <w:r>
        <w:rPr>
          <w:sz w:val="20"/>
          <w:szCs w:val="20"/>
        </w:rPr>
        <w:t xml:space="preserve">Dobón-Suárez, A., et al. (2024). Can LED lighting be a sustainable solution for producing nutritionally valuable microgreens? Foods / Horticulturae, 10(3), 249.</w:t>
      </w:r>
    </w:p>
    <w:p>
      <w:pPr>
        <w:spacing w:after="120"/>
        <w:ind w:left="360" w:hanging="360"/>
      </w:pPr>
      <w:r>
        <w:rPr>
          <w:sz w:val="20"/>
          <w:szCs w:val="20"/>
        </w:rPr>
        <w:t xml:space="preserve">(2026). Effects of LED lighting on the nutritional properties and microbial safety of microgreens. Frontiers in Nutrition, 13, 1869208.</w:t>
      </w:r>
    </w:p>
    <w:p>
      <w:pPr>
        <w:spacing w:after="120"/>
        <w:ind w:left="360" w:hanging="360"/>
      </w:pPr>
      <w:r>
        <w:rPr>
          <w:sz w:val="20"/>
          <w:szCs w:val="20"/>
        </w:rPr>
        <w:t xml:space="preserve">Brazaitytė, A., et al. (2021). Effects of different light spectra on final biomass production and nutritional quality of two microgreens. Plants, 10(8), 1584.</w:t>
      </w:r>
    </w:p>
    <w:p>
      <w:pPr>
        <w:spacing w:after="120"/>
        <w:ind w:left="360" w:hanging="360"/>
      </w:pPr>
      <w:r>
        <w:rPr>
          <w:sz w:val="20"/>
          <w:szCs w:val="20"/>
        </w:rPr>
        <w:t xml:space="preserve">Kyriacou, M. C., et al. (2022). Continuous LED lighting enhances yield and nutritional value of four genotypes of Brassicaceae microgreens. Plants, 11(2), 217.</w:t>
      </w:r>
    </w:p>
    <w:p>
      <w:pPr>
        <w:spacing w:after="120"/>
        <w:ind w:left="360" w:hanging="360"/>
      </w:pPr>
      <w:r>
        <w:rPr>
          <w:sz w:val="20"/>
          <w:szCs w:val="20"/>
        </w:rPr>
        <w:t xml:space="preserve">(2026). Blue-enriched LED light modulates biochemical and proteomic traits without affecting yield in indoor-grown cress microgreens. Frontiers in Plant Science, 17, 1814329.</w:t>
      </w:r>
    </w:p>
    <w:p>
      <w:pPr>
        <w:spacing w:after="120"/>
        <w:ind w:left="360" w:hanging="360"/>
      </w:pPr>
      <w:r>
        <w:rPr>
          <w:sz w:val="20"/>
          <w:szCs w:val="20"/>
        </w:rPr>
        <w:t xml:space="preserve">(2026). Manipulation of light intensity and spectrum for driving growth and metabolism to improve nutritional and nutraceutical quality of microgreens. Plant Growth Regulation.</w:t>
      </w:r>
    </w:p>
    <w:p>
      <w:pPr>
        <w:spacing w:after="120"/>
        <w:ind w:left="360" w:hanging="360"/>
      </w:pPr>
      <w:r>
        <w:rPr>
          <w:sz w:val="20"/>
          <w:szCs w:val="20"/>
        </w:rPr>
        <w:t xml:space="preserve">Vanegas-Ayala, S. C., Barón-Velandia, J., &amp; Leal-Lara, D. D. (2022). A systematic review of greenhouse humidity prediction and control models using fuzzy inference systems. Advances in Human-Computer Interaction, 2022, 8483003.</w:t>
      </w:r>
    </w:p>
    <w:p>
      <w:pPr>
        <w:spacing w:after="120"/>
        <w:ind w:left="360" w:hanging="360"/>
      </w:pPr>
      <w:r>
        <w:rPr>
          <w:sz w:val="20"/>
          <w:szCs w:val="20"/>
        </w:rPr>
        <w:t xml:space="preserve">(2025). Forecasting the vapor pressure deficit in vertical farming facilities aiming to provide optimal indoor conditions. Journal of Agricultural Engineering, 56(3).</w:t>
      </w:r>
    </w:p>
    <w:p>
      <w:pPr>
        <w:spacing w:after="120"/>
        <w:ind w:left="360" w:hanging="360"/>
      </w:pPr>
      <w:r>
        <w:rPr>
          <w:sz w:val="20"/>
          <w:szCs w:val="20"/>
        </w:rPr>
        <w:t xml:space="preserve">(2025). A comprehensive review of advances in sensing and monitoring technologies for precision hydroponic cultivation. Computers and Electronics in Agriculture.</w:t>
      </w:r>
    </w:p>
    <w:p>
      <w:pPr>
        <w:spacing w:after="120"/>
        <w:ind w:left="360" w:hanging="360"/>
      </w:pPr>
      <w:r>
        <w:rPr>
          <w:sz w:val="20"/>
          <w:szCs w:val="20"/>
        </w:rPr>
        <w:t xml:space="preserve">(2025). Automated hydroponic nutrient dosing system: A scoping review of pH and electrical conductivity dosing frameworks. Preprint/ResearchGate.</w:t>
      </w:r>
    </w:p>
    <w:p>
      <w:pPr>
        <w:spacing w:after="120"/>
        <w:ind w:left="360" w:hanging="360"/>
      </w:pPr>
      <w:r>
        <w:rPr>
          <w:sz w:val="20"/>
          <w:szCs w:val="20"/>
        </w:rPr>
        <w:t xml:space="preserve">Ruiz-Garcia, L., et al. (2018). Smart system for bicarbonate control in irrigation for hydroponic precision farming. Sensors, 18(5).</w:t>
      </w:r>
    </w:p>
    <w:p>
      <w:pPr>
        <w:spacing w:after="120"/>
        <w:ind w:left="360" w:hanging="360"/>
      </w:pPr>
      <w:r>
        <w:rPr>
          <w:sz w:val="20"/>
          <w:szCs w:val="20"/>
        </w:rPr>
        <w:t xml:space="preserve">(2025). Towards sustainable vertical farming: A systematic review of energy return on investment efficiency and optimization strategies. Sustainability, 17(18), 8142.</w:t>
      </w:r>
    </w:p>
    <w:p>
      <w:pPr>
        <w:spacing w:after="120"/>
        <w:ind w:left="360" w:hanging="360"/>
      </w:pPr>
      <w:r>
        <w:rPr>
          <w:sz w:val="20"/>
          <w:szCs w:val="20"/>
        </w:rPr>
        <w:t xml:space="preserve">(2025). Effect of Trichoderma harzianum and nano-TiO2 treatments on saffron (Crocus sativus L.) cormlet production under high-temperature stress. Scientia Horticulturae / ScienceDirect.</w:t>
      </w:r>
    </w:p>
    <w:p>
      <w:pPr>
        <w:spacing w:after="120"/>
        <w:ind w:left="360" w:hanging="360"/>
      </w:pPr>
      <w:r>
        <w:rPr>
          <w:sz w:val="20"/>
          <w:szCs w:val="20"/>
        </w:rPr>
        <w:t xml:space="preserve">Buce Plant / South Scape Aquatica / MB Store / Horizon Aquatics (2023–2026). Industry guides on emersed vs. submersed cultivation of aquarium plants for commercial nursery propagation. [Trade/industry sources; not peer-reviewed — cited for commercial practice only.]</w:t>
      </w:r>
    </w:p>
    <w:p>
      <w:pPr>
        <w:spacing w:after="120"/>
        <w:ind w:left="360" w:hanging="360"/>
      </w:pPr>
      <w:r>
        <w:rPr>
          <w:sz w:val="20"/>
          <w:szCs w:val="20"/>
        </w:rPr>
        <w:t xml:space="preserve">Climate data compiled from Climate-Data.org, Weather Atlas, Weather Spark, and OotyMade.com for Udhagamandalam (Ooty), Tamil Nadu (2,240 m altitude, Köppen Cwb/Cfb subtropical highland climate).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2026-08-01T15:09:46.329Z</dcterms:created>
  <dcterms:modified xsi:type="dcterms:W3CDTF">2026-08-01T15:09:46.343Z</dcterms:modified>
</cp:coreProperties>
</file>

<file path=docProps/custom.xml><?xml version="1.0" encoding="utf-8"?>
<Properties xmlns="http://schemas.openxmlformats.org/officeDocument/2006/custom-properties" xmlns:vt="http://schemas.openxmlformats.org/officeDocument/2006/docPropsVTypes"/>
</file>