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sz w:val="40"/>
          <w:szCs w:val="40"/>
        </w:rPr>
        <w:t xml:space="preserve">PREMIUM INDIAN CEA EQUIPMENT MANUFACTURING</w:t>
      </w:r>
    </w:p>
    <w:p>
      <w:pPr>
        <w:spacing w:after="400"/>
        <w:jc w:val="center"/>
      </w:pPr>
      <w:r>
        <w:rPr>
          <w:b/>
          <w:bCs/>
          <w:color w:val="1F3B2C"/>
          <w:sz w:val="32"/>
          <w:szCs w:val="32"/>
        </w:rPr>
        <w:t xml:space="preserve">R&amp;D Strategy Report — Phase B</w:t>
      </w:r>
    </w:p>
    <w:p>
      <w:pPr>
        <w:spacing w:after="1200"/>
        <w:jc w:val="center"/>
      </w:pPr>
      <w:r>
        <w:rPr>
          <w:i/>
          <w:iCs/>
          <w:sz w:val="26"/>
          <w:szCs w:val="26"/>
        </w:rPr>
        <w:t xml:space="preserve">Global Technology Benchmark &amp; Indian Market Gap Analysis</w:t>
      </w:r>
    </w:p>
    <w:p>
      <w:pPr>
        <w:spacing w:after="100"/>
        <w:jc w:val="center"/>
      </w:pPr>
      <w:r>
        <w:rPr>
          <w:sz w:val="22"/>
          <w:szCs w:val="22"/>
        </w:rPr>
        <w:t xml:space="preserve">Comparing India, Netherlands, Israel, Japan, USA/Europe, and China across CEA subsystems</w:t>
      </w:r>
    </w:p>
    <w:p>
      <w:pPr>
        <w:spacing w:after="100"/>
        <w:jc w:val="center"/>
      </w:pPr>
      <w:r>
        <w:rPr>
          <w:sz w:val="22"/>
          <w:szCs w:val="22"/>
        </w:rPr>
        <w:t xml:space="preserve">Manufacturing base: Coimbatore, Tamil Nadu, India</w:t>
      </w:r>
    </w:p>
    <w:p>
      <w:pPr>
        <w:jc w:val="center"/>
      </w:pPr>
      <w:r>
        <w:rPr>
          <w:i/>
          <w:iCs/>
          <w:color w:val="666666"/>
          <w:sz w:val="20"/>
          <w:szCs w:val="20"/>
        </w:rPr>
        <w:t xml:space="preserve">Document 2 of a phased report series (Objective 2 of 6)</w:t>
      </w:r>
    </w:p>
    <w:p>
      <w:pPr>
        <w:sectPr>
          <w:pgSz w:w="12240" w:h="15840" w:orient="portrait"/>
          <w:pgMar w:top="1440" w:right="1440" w:bottom="1440" w:left="1440" w:header="708" w:footer="708" w:gutter="0"/>
          <w:pgNumType/>
          <w:docGrid w:linePitch="360"/>
        </w:sectPr>
      </w:pPr>
    </w:p>
    <w:p>
      <w:pPr>
        <w:pStyle w:val="Heading1"/>
        <w:spacing w:after="200" w:before="400"/>
      </w:pPr>
      <w:r>
        <w:t xml:space="preserve">Note on Scope</w:t>
      </w:r>
    </w:p>
    <w:p>
      <w:pPr>
        <w:spacing w:after="160"/>
      </w:pPr>
      <w:r>
        <w:t xml:space="preserve">This is Phase B of a six-part strategic report, covering Objective 2 (Global Technology Benchmarking, including Indian Market Gap Analysis). It builds on Phase A's scientific literature review and facility design. Company/product references below are drawn from public sources (company websites, market research reports, and trade press) rather than peer-reviewed literature — appropriate for a commercial landscape scan — and are clearly distinguished from the peer-reviewed science in Phase A.</w:t>
      </w:r>
    </w:p>
    <w:p>
      <w:pPr>
        <w:pStyle w:val="Heading1"/>
        <w:spacing w:after="200" w:before="400"/>
      </w:pPr>
      <w:r>
        <w:t xml:space="preserve">1. Regional Technology Snapshots</w:t>
      </w:r>
    </w:p>
    <w:p>
      <w:pPr>
        <w:pStyle w:val="Heading2"/>
        <w:spacing w:after="150" w:before="300"/>
      </w:pPr>
      <w:r>
        <w:t xml:space="preserve">1.1 Netherlands — Climate Computers &amp; Integrated Process Automation</w:t>
      </w:r>
    </w:p>
    <w:p>
      <w:pPr>
        <w:spacing w:after="160"/>
      </w:pPr>
      <w:r>
        <w:t xml:space="preserve">The Netherlands is the acknowledged global leader in greenhouse process automation software and hardware, anchored by three Dutch firms that between them define the category: Priva (De Lier), Ridder, and Hoogendoorn. Priva's Connext platform integrates climate, lighting, irrigation, and energy management into a single interface, building on more than 60 years of automation experience; Ridder offers modular, scalable process-automation systems covering drive systems, climate screens, and irrigation control, serving markets from the Netherlands to the US, Mexico, Canada, and China. The frontier has moved beyond basic setpoint control to AI-assisted autonomous growing: platforms such as Priva's Plantonomy and Hoogendoorn's IIVO reportedly use reinforcement learning to shift lighting to off-peak energy tariffs and adjust CO2 dosing dynamically, with commercial pilots reporting roughly 80% reductions in operator workload, 7% yield increases, and 15% energy savings; the AGROS autonomous-greenhouse research consortium has demonstrated fully autonomous tomato management achieving yields comparable to expert growers. This tier of technology is not yet present in the Indian market in any domestically engineered form.</w:t>
      </w:r>
    </w:p>
    <w:p>
      <w:pPr>
        <w:pStyle w:val="Heading2"/>
        <w:spacing w:after="150" w:before="300"/>
      </w:pPr>
      <w:r>
        <w:t xml:space="preserve">1.2 Israel — Precision Irrigation and Fertigation</w:t>
      </w:r>
    </w:p>
    <w:p>
      <w:pPr>
        <w:spacing w:after="160"/>
      </w:pPr>
      <w:r>
        <w:t xml:space="preserve">Israel's dominant contribution to global CEA is precision drip irrigation and fertigation engineering, led by Netafim (part of Orbia since 2017), the world's largest irrigation company with roughly 30%+ global market share in drip/micro-irrigation, 19 manufacturing plants, and operations in 110+ countries. Netafim's core engineering contribution — delivering water and dissolved nutrients directly to the root zone in precisely metered amounts — is the foundational technology underlying modern fertigation, and the company has an existing large-scale footprint in India already (including a joint drip-irrigation project with the Karnataka state government). Beyond Netafim, Israeli firms such as GrowDirector supply intelligent climate-control systems specifically engineered for arid/desert-climate greenhouse and indoor horticulture, reflecting Israel's broader strength in resource-constrained-environment agri-engineering — directly relevant reference material for water- and energy-efficient system design even though Ooty's climate constraints differ from Israel's.</w:t>
      </w:r>
    </w:p>
    <w:p>
      <w:pPr>
        <w:pStyle w:val="Heading2"/>
        <w:spacing w:after="150" w:before="300"/>
      </w:pPr>
      <w:r>
        <w:t xml:space="preserve">1.3 Japan — Plant Factories and Premium Aquascaping Equipment</w:t>
      </w:r>
    </w:p>
    <w:p>
      <w:pPr>
        <w:spacing w:after="160"/>
      </w:pPr>
      <w:r>
        <w:t xml:space="preserve">Japan offers two distinct and highly relevant benchmarks. First, in plant-factory engineering, companies such as Spread Co. and Mirai Co. pioneered fully enclosed, LED-lit, hydroponic 'vegetable factories' at commercial scale: Spread's Kyoto Techno Farm produces roughly 30,000 lettuce heads/day at 648 heads/m²/year (versus roughly 5 heads/m²/year in outdoor fields) using approximately 1% of the water required outdoors, while Mirai's Miyagi facility (built in partnership with GE on custom horticultural LEDs) cut electricity use 40% versus fluorescent lighting while increasing yield 50%. Japanese electronics majors (Fujitsu, Toshiba, Panasonic) also entered plant-factory operation directly, leveraging semiconductor-cleanroom engineering discipline for extreme-hygiene food production. Second, and directly relevant to this company's aquascaping product line, Japan is home to Aqua Design Amano (ADA) — founded by Takashi Amano, inventor of the 'Nature Aquarium' aesthetic and the pioneer of CO2-injection for planted-aquarium cultivation. ADA is the clearest existing global template for what a 'premium engineering-led aquascaping equipment brand' looks like in practice: a fully integrated, own-branded system spanning lighting, CO2 injection hardware, aqua-soil substrate, filtration, and liquid fertilizers, sold at a deliberate premium over generic aquarium-trade equipment on the basis of design quality and horticultural performance. There is currently no Indian equivalent of ADA.</w:t>
      </w:r>
    </w:p>
    <w:p>
      <w:pPr>
        <w:pStyle w:val="Heading2"/>
        <w:spacing w:after="150" w:before="300"/>
      </w:pPr>
      <w:r>
        <w:t xml:space="preserve">1.4 United States / Europe — Horticultural Lighting and Software-Layer Automation</w:t>
      </w:r>
    </w:p>
    <w:p>
      <w:pPr>
        <w:spacing w:after="160"/>
      </w:pPr>
      <w:r>
        <w:t xml:space="preserve">The tunable-spectrum LED grow-light category is dominated by a small set of US- and Europe-headquartered brands: Signify (formerly Philips, Netherlands/global), Fluence (owned by OSRAM, Germany/US), and Heliospectra (Sweden) together account for roughly 35-40% of category revenue, with Signify's 2025 GrowWise Smart Spectrum platform reaching approximately 4.0 µmol/J efficacy using AI-driven real-time spectrum modulation in Dutch trials, and Fluence's late-2025 fixtures exceeding 3.2 µmol/J. These brands compete on photon efficacy, spectral tunability, and integration with climate-control ecosystems (e.g., Heliospectra's helioCORE integrates directly with Priva and Hoogendoorn control loops) rather than on price. On the control-software side, US-based Argus Control Systems (Canada/US) offers the TITAN platform for integrated climate, lighting, irrigation, and fertigation management with cloud-based remote access, a direct software-layer competitor to the Dutch climate-computer vendors. US-based hydroponic/vertical-farm operators (AeroFarms, BrightFarms, Gotham Greens) are also entering the Indian market directly through partnerships and new facilities, signaling that global CEA operators already see India as a growth market — a competitive pressure this company will face from imported systems and JV-based entrants, not only from other Indian manufacturers.</w:t>
      </w:r>
    </w:p>
    <w:p>
      <w:pPr>
        <w:pStyle w:val="Heading2"/>
        <w:spacing w:after="150" w:before="300"/>
      </w:pPr>
      <w:r>
        <w:t xml:space="preserve">1.5 China — Low-Cost Manufacturing Scale</w:t>
      </w:r>
    </w:p>
    <w:p>
      <w:pPr>
        <w:spacing w:after="160"/>
      </w:pPr>
      <w:r>
        <w:t xml:space="preserve">China does not compete primarily on horticultural science or control sophistication; it competes on manufacturing scale and price. Shandong Province alone accounts for over 60% of China's greenhouse equipment exports and hosts 780+ manufacturers, with dense industrial clusters also in Jiangsu (climate-control and automation components), Guangdong (precision components — aluminum profiles, sensors, ventilation — with strong port access), Hebei (low-cost structural steel), and Sichuan (emerging IoT-integrated greenhouse hub). Chinese suppliers dominate the entry-level LED grow-light tier specifically: 'Everlight, NationStar, and dozens of Shenzhen assemblers own the low-price tier with sub-USD 200 bars meeting baseline DLC efficacy, though lacking IoT or tunability' — i.e., Chinese fixtures are commodity-grade on spectrum control and smart-integration features even where basic photon output is adequate. This is the segment a premium Indian brand should explicitly avoid competing in on price, while still sourcing selected passive/commodity components (aluminum extrusion, basic sensors, cable glands, fasteners) from Chinese or China-adjacent supply chains where local Indian sourcing is not yet cost-competitive (to be detailed in the BOM/sourcing phase of this report).</w:t>
      </w:r>
    </w:p>
    <w:p>
      <w:pPr>
        <w:pStyle w:val="Heading2"/>
        <w:spacing w:after="150" w:before="300"/>
      </w:pPr>
      <w:r>
        <w:t xml:space="preserve">1.6 India — Current Market Landscape</w:t>
      </w:r>
    </w:p>
    <w:p>
      <w:pPr>
        <w:spacing w:after="160"/>
      </w:pPr>
      <w:r>
        <w:t xml:space="preserve">The Indian CEA equipment and hydroponics market is real but structurally fragmented and technologically shallow relative to the five benchmarks above. Notable domestic players include FutureFarms (described in market listings as India's largest hydroponic/CEA technology company, offering NFT, Bato-bucket systems, and farm automation/instrumentation), Saveer Biotech (hi-tech greenhouse and agricultural infrastructure, including research-facility work), Keisha Greens and Inhydro (greenhouse structures and hydroponic equipment), and a long tail of smaller regional fabricators. On the software/sensor side, Fasal (Bangalore) and CropIn are the most prominent Indian agri-IoT players, but both are built primarily for open-field and orchard precision agriculture (soil moisture, leaf wetness, weather-station data, satellite imagery) rather than sealed-room/CEA-specific control (VPD-based climate control, closed-loop CO2 dosing, PLC-integrated fertigation, multi-zone plant-factory automation). The Indian hydroponics market itself is forecast to grow rapidly (from roughly USD 200 million in 2025 toward USD 1.3-1.4 billion by 2033 per industry estimates, a ~25% CAGR), and government programs (MIDH subsidies, BIS greenhouse structure standards) are shaping equipment eligibility — but the market is dominated by basic polyhouse/NFT infrastructure and manual or semi-manual dosing, not by the climate-computer-grade automation, tunable-spectrum lighting, or closed-loop CO2/VPD control documented as standard practice in the Netherlands, Japan, and leading US/EU installations.</w:t>
      </w:r>
    </w:p>
    <w:p>
      <w:pPr>
        <w:pStyle w:val="Heading1"/>
        <w:spacing w:after="200" w:before="400"/>
      </w:pPr>
      <w:r>
        <w:t xml:space="preserve">2. Subsystem-by-Subsystem Global Benchmark</w:t>
      </w:r>
    </w:p>
    <w:p>
      <w:pPr>
        <w:spacing w:after="160"/>
      </w:pPr>
      <w:r>
        <w:t xml:space="preserve">The table below follows the format requested in the brief. 'Manufacturing Feasibility in Coimbatore' reflects Phase A's facility-design conclusions and general knowledge of Coimbatore's textile-machinery, pump, motor, and precision-engineering manufacturing base; it will be refined further in the dedicated Manufacturing Feasibility phase of this report.</w:t>
      </w:r>
    </w:p>
    <w:tbl>
      <w:tblPr>
        <w:tblW w:type="dxa" w:w="106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100"/>
        <w:gridCol w:w="2560"/>
      </w:tblGrid>
      <w:tr>
        <w:trPr>
          <w:tblHeader/>
        </w:trPr>
        <w:tc>
          <w:tcPr>
            <w:tcW w:type="dxa" w:w="2000"/>
            <w:shd w:fill="1F3B2C" w:val="clear"/>
          </w:tcPr>
          <w:p>
            <w:r>
              <w:rPr>
                <w:b/>
                <w:bCs/>
                <w:color w:val="FFFFFF"/>
                <w:sz w:val="17"/>
                <w:szCs w:val="17"/>
              </w:rPr>
              <w:t xml:space="preserve">Component/Subsystem</w:t>
            </w:r>
          </w:p>
        </w:tc>
        <w:tc>
          <w:tcPr>
            <w:tcW w:type="dxa" w:w="2000"/>
            <w:shd w:fill="1F3B2C" w:val="clear"/>
          </w:tcPr>
          <w:p>
            <w:r>
              <w:rPr>
                <w:b/>
                <w:bCs/>
                <w:color w:val="FFFFFF"/>
                <w:sz w:val="17"/>
                <w:szCs w:val="17"/>
              </w:rPr>
              <w:t xml:space="preserve">India Standard (Current)</w:t>
            </w:r>
          </w:p>
        </w:tc>
        <w:tc>
          <w:tcPr>
            <w:tcW w:type="dxa" w:w="2000"/>
            <w:shd w:fill="1F3B2C" w:val="clear"/>
          </w:tcPr>
          <w:p>
            <w:r>
              <w:rPr>
                <w:b/>
                <w:bCs/>
                <w:color w:val="FFFFFF"/>
                <w:sz w:val="17"/>
                <w:szCs w:val="17"/>
              </w:rPr>
              <w:t xml:space="preserve">Global Best Practice</w:t>
            </w:r>
          </w:p>
        </w:tc>
        <w:tc>
          <w:tcPr>
            <w:tcW w:type="dxa" w:w="2100"/>
            <w:shd w:fill="1F3B2C" w:val="clear"/>
          </w:tcPr>
          <w:p>
            <w:r>
              <w:rPr>
                <w:b/>
                <w:bCs/>
                <w:color w:val="FFFFFF"/>
                <w:sz w:val="17"/>
                <w:szCs w:val="17"/>
              </w:rPr>
              <w:t xml:space="preserve">Scientific/Engineering Benefit</w:t>
            </w:r>
          </w:p>
        </w:tc>
        <w:tc>
          <w:tcPr>
            <w:tcW w:type="dxa" w:w="2560"/>
            <w:shd w:fill="1F3B2C" w:val="clear"/>
          </w:tcPr>
          <w:p>
            <w:r>
              <w:rPr>
                <w:b/>
                <w:bCs/>
                <w:color w:val="FFFFFF"/>
                <w:sz w:val="17"/>
                <w:szCs w:val="17"/>
              </w:rPr>
              <w:t xml:space="preserve">Mfg. Feasibility in Coimbatore</w:t>
            </w:r>
          </w:p>
        </w:tc>
      </w:tr>
      <w:tr>
        <w:tc>
          <w:tcPr>
            <w:tcW w:type="dxa" w:w="2000"/>
          </w:tcPr>
          <w:p>
            <w:r>
              <w:rPr>
                <w:sz w:val="17"/>
                <w:szCs w:val="17"/>
              </w:rPr>
              <w:t xml:space="preserve">Grow lights</w:t>
            </w:r>
          </w:p>
        </w:tc>
        <w:tc>
          <w:tcPr>
            <w:tcW w:type="dxa" w:w="2000"/>
          </w:tcPr>
          <w:p>
            <w:r>
              <w:rPr>
                <w:sz w:val="17"/>
                <w:szCs w:val="17"/>
              </w:rPr>
              <w:t xml:space="preserve">Fixed-spectrum LED or basic red/blue panels; largely imported diodes on locally assembled fixtures</w:t>
            </w:r>
          </w:p>
        </w:tc>
        <w:tc>
          <w:tcPr>
            <w:tcW w:type="dxa" w:w="2000"/>
          </w:tcPr>
          <w:p>
            <w:r>
              <w:rPr>
                <w:sz w:val="17"/>
                <w:szCs w:val="17"/>
              </w:rPr>
              <w:t xml:space="preserve">Dynamic multi-channel tunable spectrum, AI-modulated (Signify GrowWise, Fluence, Heliospectra), 3.2-4.0 µmol/J</w:t>
            </w:r>
          </w:p>
        </w:tc>
        <w:tc>
          <w:tcPr>
            <w:tcW w:type="dxa" w:w="2100"/>
          </w:tcPr>
          <w:p>
            <w:r>
              <w:rPr>
                <w:sz w:val="17"/>
                <w:szCs w:val="17"/>
              </w:rPr>
              <w:t xml:space="preserve">Spectrum tuning independently controls yield vs. phytochemical quality (Phase A, Sec. 1.1)</w:t>
            </w:r>
          </w:p>
        </w:tc>
        <w:tc>
          <w:tcPr>
            <w:tcW w:type="dxa" w:w="2560"/>
          </w:tcPr>
          <w:p>
            <w:r>
              <w:rPr>
                <w:sz w:val="17"/>
                <w:szCs w:val="17"/>
              </w:rPr>
              <w:t xml:space="preserve">High — fixture assembly, heat-sink/aluminum extrusion, driver PCB assembly all locally available; diodes likely imported (Taiwan/Korea preferred over China for efficacy grade)</w:t>
            </w:r>
          </w:p>
        </w:tc>
      </w:tr>
      <w:tr>
        <w:tc>
          <w:tcPr>
            <w:tcW w:type="dxa" w:w="2000"/>
          </w:tcPr>
          <w:p>
            <w:r>
              <w:rPr>
                <w:sz w:val="17"/>
                <w:szCs w:val="17"/>
              </w:rPr>
              <w:t xml:space="preserve">Climate computer / process automation</w:t>
            </w:r>
          </w:p>
        </w:tc>
        <w:tc>
          <w:tcPr>
            <w:tcW w:type="dxa" w:w="2000"/>
          </w:tcPr>
          <w:p>
            <w:r>
              <w:rPr>
                <w:sz w:val="17"/>
                <w:szCs w:val="17"/>
              </w:rPr>
              <w:t xml:space="preserve">Manual or single-parameter thermostat/humidistat control; no integrated multi-zone platform made in India</w:t>
            </w:r>
          </w:p>
        </w:tc>
        <w:tc>
          <w:tcPr>
            <w:tcW w:type="dxa" w:w="2000"/>
          </w:tcPr>
          <w:p>
            <w:r>
              <w:rPr>
                <w:sz w:val="17"/>
                <w:szCs w:val="17"/>
              </w:rPr>
              <w:t xml:space="preserve">Integrated climate+irrigation+energy platforms (Priva Connext, Ridder), AI-assisted autonomous control (Plantonomy, IIVO)</w:t>
            </w:r>
          </w:p>
        </w:tc>
        <w:tc>
          <w:tcPr>
            <w:tcW w:type="dxa" w:w="2100"/>
          </w:tcPr>
          <w:p>
            <w:r>
              <w:rPr>
                <w:sz w:val="17"/>
                <w:szCs w:val="17"/>
              </w:rPr>
              <w:t xml:space="preserve">Joint control of T/RH/CO2/light reduces energy waste and disorder incidence (Phase A, Sec. 1.2-1.5)</w:t>
            </w:r>
          </w:p>
        </w:tc>
        <w:tc>
          <w:tcPr>
            <w:tcW w:type="dxa" w:w="2560"/>
          </w:tcPr>
          <w:p>
            <w:r>
              <w:rPr>
                <w:sz w:val="17"/>
                <w:szCs w:val="17"/>
              </w:rPr>
              <w:t xml:space="preserve">Moderate — PLC/HMI integration and firmware is an India-wide software capability gap, not a Coimbatore-specific one; hardware assembly is feasible, control software needs in-house development</w:t>
            </w:r>
          </w:p>
        </w:tc>
      </w:tr>
      <w:tr>
        <w:tc>
          <w:tcPr>
            <w:tcW w:type="dxa" w:w="2000"/>
          </w:tcPr>
          <w:p>
            <w:r>
              <w:rPr>
                <w:sz w:val="17"/>
                <w:szCs w:val="17"/>
              </w:rPr>
              <w:t xml:space="preserve">Fertigation / dosing</w:t>
            </w:r>
          </w:p>
        </w:tc>
        <w:tc>
          <w:tcPr>
            <w:tcW w:type="dxa" w:w="2000"/>
          </w:tcPr>
          <w:p>
            <w:r>
              <w:rPr>
                <w:sz w:val="17"/>
                <w:szCs w:val="17"/>
              </w:rPr>
              <w:t xml:space="preserve">Manual reservoir mixing or basic single-pump dosers</w:t>
            </w:r>
          </w:p>
        </w:tc>
        <w:tc>
          <w:tcPr>
            <w:tcW w:type="dxa" w:w="2000"/>
          </w:tcPr>
          <w:p>
            <w:r>
              <w:rPr>
                <w:sz w:val="17"/>
                <w:szCs w:val="17"/>
              </w:rPr>
              <w:t xml:space="preserve">PLC+HMI closed-loop pH/EC dosing (Phase A Sec. 1.6), multi-ion optimal-control frameworks (research stage globally)</w:t>
            </w:r>
          </w:p>
        </w:tc>
        <w:tc>
          <w:tcPr>
            <w:tcW w:type="dxa" w:w="2100"/>
          </w:tcPr>
          <w:p>
            <w:r>
              <w:rPr>
                <w:sz w:val="17"/>
                <w:szCs w:val="17"/>
              </w:rPr>
              <w:t xml:space="preserve">Reduces pH/EC error to ~3%, cuts irrigation cycle time ~50% (Phase A, Sec. 1.6)</w:t>
            </w:r>
          </w:p>
        </w:tc>
        <w:tc>
          <w:tcPr>
            <w:tcW w:type="dxa" w:w="2560"/>
          </w:tcPr>
          <w:p>
            <w:r>
              <w:rPr>
                <w:sz w:val="17"/>
                <w:szCs w:val="17"/>
              </w:rPr>
              <w:t xml:space="preserve">High — peristaltic pumps, solenoid valves, PLC integration all within Coimbatore's pump/motor/automation manufacturing base</w:t>
            </w:r>
          </w:p>
        </w:tc>
      </w:tr>
      <w:tr>
        <w:tc>
          <w:tcPr>
            <w:tcW w:type="dxa" w:w="2000"/>
          </w:tcPr>
          <w:p>
            <w:r>
              <w:rPr>
                <w:sz w:val="17"/>
                <w:szCs w:val="17"/>
              </w:rPr>
              <w:t xml:space="preserve">CO2 enrichment</w:t>
            </w:r>
          </w:p>
        </w:tc>
        <w:tc>
          <w:tcPr>
            <w:tcW w:type="dxa" w:w="2000"/>
          </w:tcPr>
          <w:p>
            <w:r>
              <w:rPr>
                <w:sz w:val="17"/>
                <w:szCs w:val="17"/>
              </w:rPr>
              <w:t xml:space="preserve">Rare outside cannabis-adjacent or large commercial greenhouses; largely absent in small Indian CEA installs</w:t>
            </w:r>
          </w:p>
        </w:tc>
        <w:tc>
          <w:tcPr>
            <w:tcW w:type="dxa" w:w="2000"/>
          </w:tcPr>
          <w:p>
            <w:r>
              <w:rPr>
                <w:sz w:val="17"/>
                <w:szCs w:val="17"/>
              </w:rPr>
              <w:t xml:space="preserve">Null-balance NDIR-sensor-driven dosing to crop-specific setpoint (standard in NL/Japan plant factories)</w:t>
            </w:r>
          </w:p>
        </w:tc>
        <w:tc>
          <w:tcPr>
            <w:tcW w:type="dxa" w:w="2100"/>
          </w:tcPr>
          <w:p>
            <w:r>
              <w:rPr>
                <w:sz w:val="17"/>
                <w:szCs w:val="17"/>
              </w:rPr>
              <w:t xml:space="preserve">18-40%+ yield gains in C3 crops in closed rooms (Phase A, Sec. 1.3)</w:t>
            </w:r>
          </w:p>
        </w:tc>
        <w:tc>
          <w:tcPr>
            <w:tcW w:type="dxa" w:w="2560"/>
          </w:tcPr>
          <w:p>
            <w:r>
              <w:rPr>
                <w:sz w:val="17"/>
                <w:szCs w:val="17"/>
              </w:rPr>
              <w:t xml:space="preserve">High — cylinders, solenoids, and tubing are locally available; NDIR sensor modules likely imported (Taiwan/China/Europe)</w:t>
            </w:r>
          </w:p>
        </w:tc>
      </w:tr>
      <w:tr>
        <w:tc>
          <w:tcPr>
            <w:tcW w:type="dxa" w:w="2000"/>
          </w:tcPr>
          <w:p>
            <w:r>
              <w:rPr>
                <w:sz w:val="17"/>
                <w:szCs w:val="17"/>
              </w:rPr>
              <w:t xml:space="preserve">Irrigation hardware (drip/micro)</w:t>
            </w:r>
          </w:p>
        </w:tc>
        <w:tc>
          <w:tcPr>
            <w:tcW w:type="dxa" w:w="2000"/>
          </w:tcPr>
          <w:p>
            <w:r>
              <w:rPr>
                <w:sz w:val="17"/>
                <w:szCs w:val="17"/>
              </w:rPr>
              <w:t xml:space="preserve">Widely available, price-competitive, often Netafim-influenced designs already established via Karnataka-scale JVs</w:t>
            </w:r>
          </w:p>
        </w:tc>
        <w:tc>
          <w:tcPr>
            <w:tcW w:type="dxa" w:w="2000"/>
          </w:tcPr>
          <w:p>
            <w:r>
              <w:rPr>
                <w:sz w:val="17"/>
                <w:szCs w:val="17"/>
              </w:rPr>
              <w:t xml:space="preserve">Precision drip/micro-irrigation (Netafim Hybrid Dripline and equivalents)</w:t>
            </w:r>
          </w:p>
        </w:tc>
        <w:tc>
          <w:tcPr>
            <w:tcW w:type="dxa" w:w="2100"/>
          </w:tcPr>
          <w:p>
            <w:r>
              <w:rPr>
                <w:sz w:val="17"/>
                <w:szCs w:val="17"/>
              </w:rPr>
              <w:t xml:space="preserve">Direct root-zone delivery minimizes water/nutrient waste</w:t>
            </w:r>
          </w:p>
        </w:tc>
        <w:tc>
          <w:tcPr>
            <w:tcW w:type="dxa" w:w="2560"/>
          </w:tcPr>
          <w:p>
            <w:r>
              <w:rPr>
                <w:sz w:val="17"/>
                <w:szCs w:val="17"/>
              </w:rPr>
              <w:t xml:space="preserve">High — this is already a maturing Indian manufacturing category; least differentiation opportunity</w:t>
            </w:r>
          </w:p>
        </w:tc>
      </w:tr>
      <w:tr>
        <w:tc>
          <w:tcPr>
            <w:tcW w:type="dxa" w:w="2000"/>
          </w:tcPr>
          <w:p>
            <w:r>
              <w:rPr>
                <w:sz w:val="17"/>
                <w:szCs w:val="17"/>
              </w:rPr>
              <w:t xml:space="preserve">Airflow/HVAC design</w:t>
            </w:r>
          </w:p>
        </w:tc>
        <w:tc>
          <w:tcPr>
            <w:tcW w:type="dxa" w:w="2000"/>
          </w:tcPr>
          <w:p>
            <w:r>
              <w:rPr>
                <w:sz w:val="17"/>
                <w:szCs w:val="17"/>
              </w:rPr>
              <w:t xml:space="preserve">Basic exhaust fans, rarely CFD-optimized duct/inlet placement</w:t>
            </w:r>
          </w:p>
        </w:tc>
        <w:tc>
          <w:tcPr>
            <w:tcW w:type="dxa" w:w="2000"/>
          </w:tcPr>
          <w:p>
            <w:r>
              <w:rPr>
                <w:sz w:val="17"/>
                <w:szCs w:val="17"/>
              </w:rPr>
              <w:t xml:space="preserve">CFD-optimized multi-inlet horizontal airflow, 0.2-0.5 m/s at canopy (Phase A Sec. 1.4)</w:t>
            </w:r>
          </w:p>
        </w:tc>
        <w:tc>
          <w:tcPr>
            <w:tcW w:type="dxa" w:w="2100"/>
          </w:tcPr>
          <w:p>
            <w:r>
              <w:rPr>
                <w:sz w:val="17"/>
                <w:szCs w:val="17"/>
              </w:rPr>
              <w:t xml:space="preserve">Prevents boundary-layer disorders (tip-burn), improves gas exchange uniformity</w:t>
            </w:r>
          </w:p>
        </w:tc>
        <w:tc>
          <w:tcPr>
            <w:tcW w:type="dxa" w:w="2560"/>
          </w:tcPr>
          <w:p>
            <w:r>
              <w:rPr>
                <w:sz w:val="17"/>
                <w:szCs w:val="17"/>
              </w:rPr>
              <w:t xml:space="preserve">High for fabrication of ducting/fans; CFD design expertise needs to be commissioned/developed in-house or via university partnership</w:t>
            </w:r>
          </w:p>
        </w:tc>
      </w:tr>
      <w:tr>
        <w:tc>
          <w:tcPr>
            <w:tcW w:type="dxa" w:w="2000"/>
          </w:tcPr>
          <w:p>
            <w:r>
              <w:rPr>
                <w:sz w:val="17"/>
                <w:szCs w:val="17"/>
              </w:rPr>
              <w:t xml:space="preserve">Insulated envelope</w:t>
            </w:r>
          </w:p>
        </w:tc>
        <w:tc>
          <w:tcPr>
            <w:tcW w:type="dxa" w:w="2000"/>
          </w:tcPr>
          <w:p>
            <w:r>
              <w:rPr>
                <w:sz w:val="17"/>
                <w:szCs w:val="17"/>
              </w:rPr>
              <w:t xml:space="preserve">Often basic masonry or single-skin polyhouse film; PUF sandwich panels used mainly in cold-storage sector, not yet standard for CEA rooms</w:t>
            </w:r>
          </w:p>
        </w:tc>
        <w:tc>
          <w:tcPr>
            <w:tcW w:type="dxa" w:w="2000"/>
          </w:tcPr>
          <w:p>
            <w:r>
              <w:rPr>
                <w:sz w:val="17"/>
                <w:szCs w:val="17"/>
              </w:rPr>
              <w:t xml:space="preserve">PIR/PUF sandwich-panel modular envelopes, thermally broken joints (Phase A Sec. 2.2)</w:t>
            </w:r>
          </w:p>
        </w:tc>
        <w:tc>
          <w:tcPr>
            <w:tcW w:type="dxa" w:w="2100"/>
          </w:tcPr>
          <w:p>
            <w:r>
              <w:rPr>
                <w:sz w:val="17"/>
                <w:szCs w:val="17"/>
              </w:rPr>
              <w:t xml:space="preserve">Reduces HVAC load, prevents condensation-driven disease pressure</w:t>
            </w:r>
          </w:p>
        </w:tc>
        <w:tc>
          <w:tcPr>
            <w:tcW w:type="dxa" w:w="2560"/>
          </w:tcPr>
          <w:p>
            <w:r>
              <w:rPr>
                <w:sz w:val="17"/>
                <w:szCs w:val="17"/>
              </w:rPr>
              <w:t xml:space="preserve">High — India (including Coimbatore-adjacent Tamil Nadu) has a mature cold-storage/sandwich-panel fabrication industry to draw on directly</w:t>
            </w:r>
          </w:p>
        </w:tc>
      </w:tr>
      <w:tr>
        <w:tc>
          <w:tcPr>
            <w:tcW w:type="dxa" w:w="2000"/>
          </w:tcPr>
          <w:p>
            <w:r>
              <w:rPr>
                <w:sz w:val="17"/>
                <w:szCs w:val="17"/>
              </w:rPr>
              <w:t xml:space="preserve">Sensors (T/RH/CO2/pH/EC/PAR)</w:t>
            </w:r>
          </w:p>
        </w:tc>
        <w:tc>
          <w:tcPr>
            <w:tcW w:type="dxa" w:w="2000"/>
          </w:tcPr>
          <w:p>
            <w:r>
              <w:rPr>
                <w:sz w:val="17"/>
                <w:szCs w:val="17"/>
              </w:rPr>
              <w:t xml:space="preserve">Available but mostly imported modules on Indian-assembled boards; Fasal/CropIn sensors are field-agriculture-grade, not sealed-room CEA-grade</w:t>
            </w:r>
          </w:p>
        </w:tc>
        <w:tc>
          <w:tcPr>
            <w:tcW w:type="dxa" w:w="2000"/>
          </w:tcPr>
          <w:p>
            <w:r>
              <w:rPr>
                <w:sz w:val="17"/>
                <w:szCs w:val="17"/>
              </w:rPr>
              <w:t xml:space="preserve">Multi-sensor fusion with imaging (Phase A Sec. 1.7); calibrated, drift-compensated sensor networks</w:t>
            </w:r>
          </w:p>
        </w:tc>
        <w:tc>
          <w:tcPr>
            <w:tcW w:type="dxa" w:w="2100"/>
          </w:tcPr>
          <w:p>
            <w:r>
              <w:rPr>
                <w:sz w:val="17"/>
                <w:szCs w:val="17"/>
              </w:rPr>
              <w:t xml:space="preserve">Enables reproducible R&amp;D and closed-loop control</w:t>
            </w:r>
          </w:p>
        </w:tc>
        <w:tc>
          <w:tcPr>
            <w:tcW w:type="dxa" w:w="2560"/>
          </w:tcPr>
          <w:p>
            <w:r>
              <w:rPr>
                <w:sz w:val="17"/>
                <w:szCs w:val="17"/>
              </w:rPr>
              <w:t xml:space="preserve">Moderate — PCB assembly is a Coimbatore strength; precision sensor elements (NDIR CO2, lab-grade pH/EC probes) are import-dependent short-to-medium term</w:t>
            </w:r>
          </w:p>
        </w:tc>
      </w:tr>
      <w:tr>
        <w:tc>
          <w:tcPr>
            <w:tcW w:type="dxa" w:w="2000"/>
          </w:tcPr>
          <w:p>
            <w:r>
              <w:rPr>
                <w:sz w:val="17"/>
                <w:szCs w:val="17"/>
              </w:rPr>
              <w:t xml:space="preserve">Imaging/phenotyping</w:t>
            </w:r>
          </w:p>
        </w:tc>
        <w:tc>
          <w:tcPr>
            <w:tcW w:type="dxa" w:w="2000"/>
          </w:tcPr>
          <w:p>
            <w:r>
              <w:rPr>
                <w:sz w:val="17"/>
                <w:szCs w:val="17"/>
              </w:rPr>
              <w:t xml:space="preserve">Effectively absent in commercial Indian CEA below research-institute scale</w:t>
            </w:r>
          </w:p>
        </w:tc>
        <w:tc>
          <w:tcPr>
            <w:tcW w:type="dxa" w:w="2000"/>
          </w:tcPr>
          <w:p>
            <w:r>
              <w:rPr>
                <w:sz w:val="17"/>
                <w:szCs w:val="17"/>
              </w:rPr>
              <w:t xml:space="preserve">Low-cost RGB/multispectral time-lapse phenotyping rigs (Phase A Sec. 1.7)</w:t>
            </w:r>
          </w:p>
        </w:tc>
        <w:tc>
          <w:tcPr>
            <w:tcW w:type="dxa" w:w="2100"/>
          </w:tcPr>
          <w:p>
            <w:r>
              <w:rPr>
                <w:sz w:val="17"/>
                <w:szCs w:val="17"/>
              </w:rPr>
              <w:t xml:space="preserve">Non-destructive growth tracking supports product validation and breeding/selection work</w:t>
            </w:r>
          </w:p>
        </w:tc>
        <w:tc>
          <w:tcPr>
            <w:tcW w:type="dxa" w:w="2560"/>
          </w:tcPr>
          <w:p>
            <w:r>
              <w:rPr>
                <w:sz w:val="17"/>
                <w:szCs w:val="17"/>
              </w:rPr>
              <w:t xml:space="preserve">Moderate — camera modules imported, mounting/enclosure fabrication local; software/analytics is a build-vs-buy decision</w:t>
            </w:r>
          </w:p>
        </w:tc>
      </w:tr>
      <w:tr>
        <w:tc>
          <w:tcPr>
            <w:tcW w:type="dxa" w:w="2000"/>
          </w:tcPr>
          <w:p>
            <w:r>
              <w:rPr>
                <w:sz w:val="17"/>
                <w:szCs w:val="17"/>
              </w:rPr>
              <w:t xml:space="preserve">Racking/mechanical structure</w:t>
            </w:r>
          </w:p>
        </w:tc>
        <w:tc>
          <w:tcPr>
            <w:tcW w:type="dxa" w:w="2000"/>
          </w:tcPr>
          <w:p>
            <w:r>
              <w:rPr>
                <w:sz w:val="17"/>
                <w:szCs w:val="17"/>
              </w:rPr>
              <w:t xml:space="preserve">Mild-steel welded racks, largely non-modular</w:t>
            </w:r>
          </w:p>
        </w:tc>
        <w:tc>
          <w:tcPr>
            <w:tcW w:type="dxa" w:w="2000"/>
          </w:tcPr>
          <w:p>
            <w:r>
              <w:rPr>
                <w:sz w:val="17"/>
                <w:szCs w:val="17"/>
              </w:rPr>
              <w:t xml:space="preserve">Modular aluminum-extrusion racking (80/20-style), tool-less reconfiguration</w:t>
            </w:r>
          </w:p>
        </w:tc>
        <w:tc>
          <w:tcPr>
            <w:tcW w:type="dxa" w:w="2100"/>
          </w:tcPr>
          <w:p>
            <w:r>
              <w:rPr>
                <w:sz w:val="17"/>
                <w:szCs w:val="17"/>
              </w:rPr>
              <w:t xml:space="preserve">Enables rapid crop-mix changes and serviceability, a genuine premium-brand differentiator</w:t>
            </w:r>
          </w:p>
        </w:tc>
        <w:tc>
          <w:tcPr>
            <w:tcW w:type="dxa" w:w="2560"/>
          </w:tcPr>
          <w:p>
            <w:r>
              <w:rPr>
                <w:sz w:val="17"/>
                <w:szCs w:val="17"/>
              </w:rPr>
              <w:t xml:space="preserve">High — aluminum extrusion and precision fabrication are established Coimbatore capabilities</w:t>
            </w:r>
          </w:p>
        </w:tc>
      </w:tr>
      <w:tr>
        <w:tc>
          <w:tcPr>
            <w:tcW w:type="dxa" w:w="2000"/>
          </w:tcPr>
          <w:p>
            <w:r>
              <w:rPr>
                <w:sz w:val="17"/>
                <w:szCs w:val="17"/>
              </w:rPr>
              <w:t xml:space="preserve">Power/backup</w:t>
            </w:r>
          </w:p>
        </w:tc>
        <w:tc>
          <w:tcPr>
            <w:tcW w:type="dxa" w:w="2000"/>
          </w:tcPr>
          <w:p>
            <w:r>
              <w:rPr>
                <w:sz w:val="17"/>
                <w:szCs w:val="17"/>
              </w:rPr>
              <w:t xml:space="preserve">UPS commonly used for controllers; diesel generator backup common in commercial greenhouses</w:t>
            </w:r>
          </w:p>
        </w:tc>
        <w:tc>
          <w:tcPr>
            <w:tcW w:type="dxa" w:w="2000"/>
          </w:tcPr>
          <w:p>
            <w:r>
              <w:rPr>
                <w:sz w:val="17"/>
                <w:szCs w:val="17"/>
              </w:rPr>
              <w:t xml:space="preserve">UPS + generator + solar hybrid with automatic failover (increasingly standard in premium global installs)</w:t>
            </w:r>
          </w:p>
        </w:tc>
        <w:tc>
          <w:tcPr>
            <w:tcW w:type="dxa" w:w="2100"/>
          </w:tcPr>
          <w:p>
            <w:r>
              <w:rPr>
                <w:sz w:val="17"/>
                <w:szCs w:val="17"/>
              </w:rPr>
              <w:t xml:space="preserve">Protects data integrity and prevents crop-loss from climate-control interruption</w:t>
            </w:r>
          </w:p>
        </w:tc>
        <w:tc>
          <w:tcPr>
            <w:tcW w:type="dxa" w:w="2560"/>
          </w:tcPr>
          <w:p>
            <w:r>
              <w:rPr>
                <w:sz w:val="17"/>
                <w:szCs w:val="17"/>
              </w:rPr>
              <w:t xml:space="preserve">High — UPS/generator integration is a mature Indian industry</w:t>
            </w:r>
          </w:p>
        </w:tc>
      </w:tr>
      <w:tr>
        <w:tc>
          <w:tcPr>
            <w:tcW w:type="dxa" w:w="2000"/>
          </w:tcPr>
          <w:p>
            <w:r>
              <w:rPr>
                <w:sz w:val="17"/>
                <w:szCs w:val="17"/>
              </w:rPr>
              <w:t xml:space="preserve">Aquascaping-specific equipment (CO2 systems, aqua-soil, lily-pipe glassware, specialty lighting)</w:t>
            </w:r>
          </w:p>
        </w:tc>
        <w:tc>
          <w:tcPr>
            <w:tcW w:type="dxa" w:w="2000"/>
          </w:tcPr>
          <w:p>
            <w:r>
              <w:rPr>
                <w:sz w:val="17"/>
                <w:szCs w:val="17"/>
              </w:rPr>
              <w:t xml:space="preserve">Almost entirely imported (ADA, Chinese generic brands); no known Indian premium aquascaping equipment brand</w:t>
            </w:r>
          </w:p>
        </w:tc>
        <w:tc>
          <w:tcPr>
            <w:tcW w:type="dxa" w:w="2000"/>
          </w:tcPr>
          <w:p>
            <w:r>
              <w:rPr>
                <w:sz w:val="17"/>
                <w:szCs w:val="17"/>
              </w:rPr>
              <w:t xml:space="preserve">ADA (Japan) vertically integrated premium ecosystem — lighting, CO2, substrate, glassware, fertilizers as one designed system</w:t>
            </w:r>
          </w:p>
        </w:tc>
        <w:tc>
          <w:tcPr>
            <w:tcW w:type="dxa" w:w="2100"/>
          </w:tcPr>
          <w:p>
            <w:r>
              <w:rPr>
                <w:sz w:val="17"/>
                <w:szCs w:val="17"/>
              </w:rPr>
              <w:t xml:space="preserve">Coordinated system design (light + CO2 + substrate chemistry) outperforms mismatched component combinations for plant health and aesthetics</w:t>
            </w:r>
          </w:p>
        </w:tc>
        <w:tc>
          <w:tcPr>
            <w:tcW w:type="dxa" w:w="2560"/>
          </w:tcPr>
          <w:p>
            <w:r>
              <w:rPr>
                <w:sz w:val="17"/>
                <w:szCs w:val="17"/>
              </w:rPr>
              <w:t xml:space="preserve">Moderate-High — glasswork/lily-pipes need specialty glass fabrication (may need to start with imported glassware and localize substrate/CO2 hardware first); this is the clearest global whitespace identified in this benchmark</w:t>
            </w:r>
          </w:p>
        </w:tc>
      </w:tr>
    </w:tbl>
    <w:p>
      <w:pPr>
        <w:spacing w:after="200"/>
      </w:pPr>
    </w:p>
    <w:p>
      <w:pPr>
        <w:pStyle w:val="Heading1"/>
        <w:spacing w:after="200" w:before="400"/>
      </w:pPr>
      <w:r>
        <w:t xml:space="preserve">3. Indian Market Gap Analysis</w:t>
      </w:r>
    </w:p>
    <w:p>
      <w:pPr>
        <w:pStyle w:val="Heading2"/>
        <w:spacing w:after="150" w:before="300"/>
      </w:pPr>
      <w:r>
        <w:t xml:space="preserve">3.1 Technologies Validated Elsewhere but Effectively Absent in India</w:t>
      </w:r>
    </w:p>
    <w:p>
      <w:pPr>
        <w:pStyle w:val="ListParagraph"/>
        <w:numPr>
          <w:ilvl w:val="0"/>
          <w:numId w:val="1"/>
        </w:numPr>
        <w:spacing w:after="60"/>
      </w:pPr>
      <w:r>
        <w:t xml:space="preserve">AI-assisted/predictive climate control (VPD forecasting, reinforcement-learning setpoint optimization) — present in Dutch (Plantonomy, IIVO) and emerging US platforms, no known Indian-engineered equivalent.</w:t>
      </w:r>
    </w:p>
    <w:p>
      <w:pPr>
        <w:pStyle w:val="ListParagraph"/>
        <w:numPr>
          <w:ilvl w:val="0"/>
          <w:numId w:val="1"/>
        </w:numPr>
        <w:spacing w:after="60"/>
      </w:pPr>
      <w:r>
        <w:t xml:space="preserve">Closed-loop NDIR CO2 dosing tuned to PFAL-grade concentrations (1,000-1,500 µmol/mol) for small sealed rooms — common in Japanese plant factories, rare-to-absent in Indian CEA outside large commercial cannabis-adjacent installs.</w:t>
      </w:r>
    </w:p>
    <w:p>
      <w:pPr>
        <w:pStyle w:val="ListParagraph"/>
        <w:numPr>
          <w:ilvl w:val="0"/>
          <w:numId w:val="1"/>
        </w:numPr>
        <w:spacing w:after="60"/>
      </w:pPr>
      <w:r>
        <w:t xml:space="preserve">CFD-informed airflow/duct design for boundary-layer management — standard engineering practice in Netherlands/Japan-designed plant factories, not observed as a standard design step among Indian greenhouse fabricators.</w:t>
      </w:r>
    </w:p>
    <w:p>
      <w:pPr>
        <w:pStyle w:val="ListParagraph"/>
        <w:numPr>
          <w:ilvl w:val="0"/>
          <w:numId w:val="1"/>
        </w:numPr>
        <w:spacing w:after="60"/>
      </w:pPr>
      <w:r>
        <w:t xml:space="preserve">Tunable multi-channel horticultural LED spectra with independent yield/quality steering — dominated by Signify/Fluence/Heliospectra globally; Indian LED grow-light products are overwhelmingly fixed-spectrum.</w:t>
      </w:r>
    </w:p>
    <w:p>
      <w:pPr>
        <w:pStyle w:val="ListParagraph"/>
        <w:numPr>
          <w:ilvl w:val="0"/>
          <w:numId w:val="1"/>
        </w:numPr>
        <w:spacing w:after="60"/>
      </w:pPr>
      <w:r>
        <w:t xml:space="preserve">A vertically integrated premium aquascaping equipment brand on the ADA model — no Indian equivalent exists; the entire premium segment of the Indian aquascaping hobby currently depends on imported Japanese/German/Chinese-premium brands.</w:t>
      </w:r>
    </w:p>
    <w:p>
      <w:pPr>
        <w:pStyle w:val="ListParagraph"/>
        <w:numPr>
          <w:ilvl w:val="0"/>
          <w:numId w:val="1"/>
        </w:numPr>
        <w:spacing w:after="60"/>
      </w:pPr>
      <w:r>
        <w:t xml:space="preserve">CEA-specific (sealed-room, multi-zone) sensor/control platforms — existing Indian agri-IoT leaders (Fasal, CropIn) are built for open-field/orchard precision agriculture, not indoor plant-factory control; this is a genuinely different engineering problem (VPD/CO2/multi-zone vs. soil moisture/weather).</w:t>
      </w:r>
    </w:p>
    <w:p>
      <w:pPr>
        <w:pStyle w:val="Heading2"/>
        <w:spacing w:after="150" w:before="300"/>
      </w:pPr>
      <w:r>
        <w:t xml:space="preserve">3.2 Commercially Viable and Feasible to Build or Assemble in Coimbatore</w:t>
      </w:r>
    </w:p>
    <w:p>
      <w:pPr>
        <w:pStyle w:val="ListParagraph"/>
        <w:numPr>
          <w:ilvl w:val="0"/>
          <w:numId w:val="1"/>
        </w:numPr>
        <w:spacing w:after="60"/>
      </w:pPr>
      <w:r>
        <w:t xml:space="preserve">Tunable-spectrum LED fixtures assembled locally on imported diodes (Taiwan/Korea-sourced) — high feasibility, direct differentiation from India's current fixed-spectrum norm and from China's non-tunable low-cost tier.</w:t>
      </w:r>
    </w:p>
    <w:p>
      <w:pPr>
        <w:pStyle w:val="ListParagraph"/>
        <w:numPr>
          <w:ilvl w:val="0"/>
          <w:numId w:val="1"/>
        </w:numPr>
        <w:spacing w:after="60"/>
      </w:pPr>
      <w:r>
        <w:t xml:space="preserve">PLC-based closed-loop fertigation and CO2 dosing systems — pump/valve/PLC integration is within Coimbatore's existing pump, motor, and industrial-automation manufacturing base.</w:t>
      </w:r>
    </w:p>
    <w:p>
      <w:pPr>
        <w:pStyle w:val="ListParagraph"/>
        <w:numPr>
          <w:ilvl w:val="0"/>
          <w:numId w:val="1"/>
        </w:numPr>
        <w:spacing w:after="60"/>
      </w:pPr>
      <w:r>
        <w:t xml:space="preserve">PIR/PUF sandwich-panel insulated envelopes for CEA rooms, adapted from Tamil Nadu's existing cold-storage panel industry — a straight cross-industry technology transfer with minimal new capability required.</w:t>
      </w:r>
    </w:p>
    <w:p>
      <w:pPr>
        <w:pStyle w:val="ListParagraph"/>
        <w:numPr>
          <w:ilvl w:val="0"/>
          <w:numId w:val="1"/>
        </w:numPr>
        <w:spacing w:after="60"/>
      </w:pPr>
      <w:r>
        <w:t xml:space="preserve">Modular aluminum-extrusion racking — Coimbatore's aluminum fabrication capacity supports this directly; this is also the easiest visible 'premium engineering' cue for customers and dealers to notice.</w:t>
      </w:r>
    </w:p>
    <w:p>
      <w:pPr>
        <w:pStyle w:val="ListParagraph"/>
        <w:numPr>
          <w:ilvl w:val="0"/>
          <w:numId w:val="1"/>
        </w:numPr>
        <w:spacing w:after="60"/>
      </w:pPr>
      <w:r>
        <w:t xml:space="preserve">A first-generation Indian premium aquascaping equipment line (CO2 hardware, purpose-built substrate, lighting) — glassware may need to be imported initially, but CO2 regulators/diffusers, substrate formulation, and lighting are locally buildable, addressing a segment with no domestic premium competitor.</w:t>
      </w:r>
    </w:p>
    <w:p>
      <w:pPr>
        <w:pStyle w:val="Heading2"/>
        <w:spacing w:after="150" w:before="300"/>
      </w:pPr>
      <w:r>
        <w:t xml:space="preserve">3.3 Positioning Implication</w:t>
      </w:r>
    </w:p>
    <w:p>
      <w:pPr>
        <w:spacing w:after="160"/>
      </w:pPr>
      <w:r>
        <w:t xml:space="preserve">The gap analysis supports the founder's stated strategy directly: India's CEA equipment sector is currently strong in basic structural fabrication (greenhouses, NFT trays, drip components) — where competition is already price-driven and margins are thin — and essentially absent in the control/automation/lighting-intelligence layer that Dutch, Japanese, and US/EU firms use to command premium pricing. The company's most defensible position is therefore not to compete with FutureFarms/Saveer-type players on basic greenhouse structures, nor with Chinese suppliers on commodity LED bars, but to be India's first vertically-engineered mid-tech automation-and-lighting brand — the Priva/Ridder/ADA role, scaled to Indian price points and Indian crop mixes — a position with no current domestic incumbent.</w:t>
      </w:r>
    </w:p>
    <w:p>
      <w:pPr>
        <w:pStyle w:val="Heading1"/>
        <w:spacing w:after="200" w:before="400"/>
      </w:pPr>
      <w:r>
        <w:t xml:space="preserve">References</w:t>
      </w:r>
    </w:p>
    <w:p>
      <w:pPr>
        <w:spacing w:after="120"/>
        <w:ind w:left="360" w:hanging="360"/>
      </w:pPr>
      <w:r>
        <w:rPr>
          <w:sz w:val="20"/>
          <w:szCs w:val="20"/>
        </w:rPr>
        <w:t xml:space="preserve">Priva B.V. (2026). Greenhouse climate control: Connext platform overview. priva.com.</w:t>
      </w:r>
    </w:p>
    <w:p>
      <w:pPr>
        <w:spacing w:after="120"/>
        <w:ind w:left="360" w:hanging="360"/>
      </w:pPr>
      <w:r>
        <w:rPr>
          <w:sz w:val="20"/>
          <w:szCs w:val="20"/>
        </w:rPr>
        <w:t xml:space="preserve">Ridder (2026). Greenhouse Process Automation solutions. ridder.com.</w:t>
      </w:r>
    </w:p>
    <w:p>
      <w:pPr>
        <w:spacing w:after="120"/>
        <w:ind w:left="360" w:hanging="360"/>
      </w:pPr>
      <w:r>
        <w:rPr>
          <w:sz w:val="20"/>
          <w:szCs w:val="20"/>
        </w:rPr>
        <w:t xml:space="preserve">Foothill Ventures (2022). The future of smart greenhouses empowered by AIoT. Medium.</w:t>
      </w:r>
    </w:p>
    <w:p>
      <w:pPr>
        <w:spacing w:after="120"/>
        <w:ind w:left="360" w:hanging="360"/>
      </w:pPr>
      <w:r>
        <w:rPr>
          <w:sz w:val="20"/>
          <w:szCs w:val="20"/>
        </w:rPr>
        <w:t xml:space="preserve">Mordor Intelligence (2026). Netherlands commercial greenhouse market forecasts to 2031.</w:t>
      </w:r>
    </w:p>
    <w:p>
      <w:pPr>
        <w:spacing w:after="120"/>
        <w:ind w:left="360" w:hanging="360"/>
      </w:pPr>
      <w:r>
        <w:rPr>
          <w:sz w:val="20"/>
          <w:szCs w:val="20"/>
        </w:rPr>
        <w:t xml:space="preserve">Mordor Intelligence (2026). Horticulture lighting market size, share, growth report 2031.</w:t>
      </w:r>
    </w:p>
    <w:p>
      <w:pPr>
        <w:spacing w:after="120"/>
        <w:ind w:left="360" w:hanging="360"/>
      </w:pPr>
      <w:r>
        <w:rPr>
          <w:sz w:val="20"/>
          <w:szCs w:val="20"/>
        </w:rPr>
        <w:t xml:space="preserve">Mordor Intelligence (2026). Grow lights market size, forecast, share analysis 2031.</w:t>
      </w:r>
    </w:p>
    <w:p>
      <w:pPr>
        <w:spacing w:after="120"/>
        <w:ind w:left="360" w:hanging="360"/>
      </w:pPr>
      <w:r>
        <w:rPr>
          <w:sz w:val="20"/>
          <w:szCs w:val="20"/>
        </w:rPr>
        <w:t xml:space="preserve">Netafim / Orbia (2025). Orbia Netafim celebrates 60 years of precision irrigation; Netafim unveils Hybrid Dripline.</w:t>
      </w:r>
    </w:p>
    <w:p>
      <w:pPr>
        <w:spacing w:after="120"/>
        <w:ind w:left="360" w:hanging="360"/>
      </w:pPr>
      <w:r>
        <w:rPr>
          <w:sz w:val="20"/>
          <w:szCs w:val="20"/>
        </w:rPr>
        <w:t xml:space="preserve">Wikipedia (2026). Netafim — company overview, market share, ownership.</w:t>
      </w:r>
    </w:p>
    <w:p>
      <w:pPr>
        <w:spacing w:after="120"/>
        <w:ind w:left="360" w:hanging="360"/>
      </w:pPr>
      <w:r>
        <w:rPr>
          <w:sz w:val="20"/>
          <w:szCs w:val="20"/>
        </w:rPr>
        <w:t xml:space="preserve">Foodservice Consultants Society International (2017). Raising crops: vertical farming in Japan.</w:t>
      </w:r>
    </w:p>
    <w:p>
      <w:pPr>
        <w:spacing w:after="120"/>
        <w:ind w:left="360" w:hanging="360"/>
      </w:pPr>
      <w:r>
        <w:rPr>
          <w:sz w:val="20"/>
          <w:szCs w:val="20"/>
        </w:rPr>
        <w:t xml:space="preserve">National Geographic (2021); EcoWatch (2021). Inside Mirai's plant factory, Miyagi Prefecture, Japan.</w:t>
      </w:r>
    </w:p>
    <w:p>
      <w:pPr>
        <w:spacing w:after="120"/>
        <w:ind w:left="360" w:hanging="360"/>
      </w:pPr>
      <w:r>
        <w:rPr>
          <w:sz w:val="20"/>
          <w:szCs w:val="20"/>
        </w:rPr>
        <w:t xml:space="preserve">Agritecture (2025 republication). Spread Co. Techno Farm, Kyoto — yield and resource-use benchmarks.</w:t>
      </w:r>
    </w:p>
    <w:p>
      <w:pPr>
        <w:spacing w:after="120"/>
        <w:ind w:left="360" w:hanging="360"/>
      </w:pPr>
      <w:r>
        <w:rPr>
          <w:sz w:val="20"/>
          <w:szCs w:val="20"/>
        </w:rPr>
        <w:t xml:space="preserve">ingreenhouses.com (2016). Electronics manufacturers' entry into Japanese vertical farming (Fujitsu, Mirai, Spread).</w:t>
      </w:r>
    </w:p>
    <w:p>
      <w:pPr>
        <w:spacing w:after="120"/>
        <w:ind w:left="360" w:hanging="360"/>
      </w:pPr>
      <w:r>
        <w:rPr>
          <w:sz w:val="20"/>
          <w:szCs w:val="20"/>
        </w:rPr>
        <w:t xml:space="preserve">Aqua Design Amano (ADA) (2026). Company and product line overview — Nature Aquarium systems. adana.co.jp.</w:t>
      </w:r>
    </w:p>
    <w:p>
      <w:pPr>
        <w:spacing w:after="120"/>
        <w:ind w:left="360" w:hanging="360"/>
      </w:pPr>
      <w:r>
        <w:rPr>
          <w:sz w:val="20"/>
          <w:szCs w:val="20"/>
        </w:rPr>
        <w:t xml:space="preserve">Verified Market Research; Custom Market Insights; Future Market Insights (2025-2026). LED grow light manufacturer landscape (Signify, Fluence/OSRAM, Heliospectra, Valoya, Gavita).</w:t>
      </w:r>
    </w:p>
    <w:p>
      <w:pPr>
        <w:spacing w:after="120"/>
        <w:ind w:left="360" w:hanging="360"/>
      </w:pPr>
      <w:r>
        <w:rPr>
          <w:sz w:val="20"/>
          <w:szCs w:val="20"/>
        </w:rPr>
        <w:t xml:space="preserve">Accio / Made-in-China industry directories (2025-2026). China greenhouse equipment manufacturing clusters (Shandong, Jiangsu, Guangdong, Sichuan, Henan).</w:t>
      </w:r>
    </w:p>
    <w:p>
      <w:pPr>
        <w:spacing w:after="120"/>
        <w:ind w:left="360" w:hanging="360"/>
      </w:pPr>
      <w:r>
        <w:rPr>
          <w:sz w:val="20"/>
          <w:szCs w:val="20"/>
        </w:rPr>
        <w:t xml:space="preserve">ensun.io (2026). Top hydroponic and greenhouse companies in India — FutureFarms, Envirevo, Saveer Biotech, Keisha Greens, Inhydro.</w:t>
      </w:r>
    </w:p>
    <w:p>
      <w:pPr>
        <w:spacing w:after="120"/>
        <w:ind w:left="360" w:hanging="360"/>
      </w:pPr>
      <w:r>
        <w:rPr>
          <w:sz w:val="20"/>
          <w:szCs w:val="20"/>
        </w:rPr>
        <w:t xml:space="preserve">MarkWide Research (2026). India greenhouse horticulture market size, share, and industry trends forecast 2026-2036.</w:t>
      </w:r>
    </w:p>
    <w:p>
      <w:pPr>
        <w:spacing w:after="120"/>
        <w:ind w:left="360" w:hanging="360"/>
      </w:pPr>
      <w:r>
        <w:rPr>
          <w:sz w:val="20"/>
          <w:szCs w:val="20"/>
        </w:rPr>
        <w:t xml:space="preserve">DataM Intelligence (2026). India hydroponics market — share, industry analysis with key companies 2026-2033.</w:t>
      </w:r>
    </w:p>
    <w:p>
      <w:pPr>
        <w:spacing w:after="120"/>
        <w:ind w:left="360" w:hanging="360"/>
      </w:pPr>
      <w:r>
        <w:rPr>
          <w:sz w:val="20"/>
          <w:szCs w:val="20"/>
        </w:rPr>
        <w:t xml:space="preserve">Nexdigm (2026). India agricultural sensors and telematics industry — market share and competitive analysis.</w:t>
      </w:r>
    </w:p>
    <w:p>
      <w:pPr>
        <w:spacing w:after="120"/>
        <w:ind w:left="360" w:hanging="360"/>
      </w:pPr>
      <w:r>
        <w:rPr>
          <w:sz w:val="20"/>
          <w:szCs w:val="20"/>
        </w:rPr>
        <w:t xml:space="preserve">Prodwrks; StartupIntros (2025-2026). Fasal Tech — IoT sensor and AI precision-horticulture platform, India.</w:t>
      </w:r>
    </w:p>
    <w:p>
      <w:pPr>
        <w:spacing w:after="120"/>
        <w:ind w:left="360" w:hanging="360"/>
      </w:pPr>
      <w:r>
        <w:rPr>
          <w:sz w:val="20"/>
          <w:szCs w:val="20"/>
        </w:rPr>
        <w:t xml:space="preserve">IoT Insider; TECHDesign (2022-2023). IoT in agriculture and Indian agritech startups (CropIn, Fasal, Aquaconnect).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2026-08-01T15:15:25.395Z</dcterms:created>
  <dcterms:modified xsi:type="dcterms:W3CDTF">2026-08-01T15:15:25.407Z</dcterms:modified>
</cp:coreProperties>
</file>

<file path=docProps/custom.xml><?xml version="1.0" encoding="utf-8"?>
<Properties xmlns="http://schemas.openxmlformats.org/officeDocument/2006/custom-properties" xmlns:vt="http://schemas.openxmlformats.org/officeDocument/2006/docPropsVTypes"/>
</file>