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0"/>
          <w:szCs w:val="40"/>
        </w:rPr>
        <w:t xml:space="preserve">PREMIUM INDIAN CEA EQUIPMENT MANUFACTURING</w:t>
      </w:r>
    </w:p>
    <w:p>
      <w:pPr>
        <w:spacing w:after="400"/>
        <w:jc w:val="center"/>
      </w:pPr>
      <w:r>
        <w:rPr>
          <w:b/>
          <w:bCs/>
          <w:color w:val="1F3B2C"/>
          <w:sz w:val="32"/>
          <w:szCs w:val="32"/>
        </w:rPr>
        <w:t xml:space="preserve">R&amp;D Strategy Report — Phase E (Final)</w:t>
      </w:r>
    </w:p>
    <w:p>
      <w:pPr>
        <w:spacing w:after="1200"/>
        <w:jc w:val="center"/>
      </w:pPr>
      <w:r>
        <w:rPr>
          <w:i/>
          <w:iCs/>
          <w:sz w:val="24"/>
          <w:szCs w:val="24"/>
        </w:rPr>
        <w:t xml:space="preserve">Executive Summary, Manufacturing Roadmap, TRL Assessment, Cost/Complexity Matrix &amp; Full References</w:t>
      </w:r>
    </w:p>
    <w:p>
      <w:pPr>
        <w:spacing w:after="100"/>
        <w:jc w:val="center"/>
      </w:pPr>
      <w:r>
        <w:rPr>
          <w:sz w:val="22"/>
          <w:szCs w:val="22"/>
        </w:rPr>
        <w:t xml:space="preserve">Objective 6 and final synthesis of the complete six-part strategic report</w:t>
      </w:r>
    </w:p>
    <w:p>
      <w:pPr>
        <w:spacing w:after="100"/>
        <w:jc w:val="center"/>
      </w:pPr>
      <w:r>
        <w:rPr>
          <w:sz w:val="22"/>
          <w:szCs w:val="22"/>
        </w:rPr>
        <w:t xml:space="preserve">Manufacturing base: Coimbatore, Tamil Nadu, India | R&amp;D facility: Ooty, Tamil Nadu, India</w:t>
      </w:r>
    </w:p>
    <w:p>
      <w:pPr>
        <w:jc w:val="center"/>
      </w:pPr>
      <w:r>
        <w:rPr>
          <w:i/>
          <w:iCs/>
          <w:color w:val="666666"/>
          <w:sz w:val="20"/>
          <w:szCs w:val="20"/>
        </w:rPr>
        <w:t xml:space="preserve">Document 5 of 5 in a phased report series (Objective 6 + final synthesis)</w:t>
      </w:r>
    </w:p>
    <w:p>
      <w:pPr>
        <w:sectPr>
          <w:pgSz w:w="12240" w:h="15840" w:orient="portrait"/>
          <w:pgMar w:top="1440" w:right="1440" w:bottom="1440" w:left="1440" w:header="708" w:footer="708" w:gutter="0"/>
          <w:pgNumType/>
          <w:docGrid w:linePitch="360"/>
        </w:sectPr>
      </w:pPr>
    </w:p>
    <w:p>
      <w:pPr>
        <w:pStyle w:val="Heading1"/>
        <w:spacing w:after="200" w:before="400"/>
      </w:pPr>
      <w:r>
        <w:t xml:space="preserve">Executive Summary</w:t>
      </w:r>
    </w:p>
    <w:p>
      <w:pPr>
        <w:spacing w:after="160"/>
      </w:pPr>
      <w:r>
        <w:t xml:space="preserve">This report set a premium Indian horticulture equipment manufacturing company, based in Coimbatore with an R&amp;D research farm in Ooty, on a scientifically grounded, phased path to market. Four earlier documents (Phases A-D) built the evidence base: a peer-reviewed literature review and mid-tech CEA facility design (Phase A); a global technology benchmark against the Netherlands, Israel, Japan, USA/Europe, and China with an Indian market gap analysis (Phase B); a twelve-product phased catalog with a process-by-process Coimbatore manufacturing feasibility assessment (Phase C); and a component-level bill of materials and supplier catalog (Phase D). This final phase (Objective 6) synthesizes those findings into a manufacturing roadmap, technology readiness and cost/complexity assessments, a three-year product roadmap, and a consolidated reference list.</w:t>
      </w:r>
    </w:p>
    <w:p>
      <w:pPr>
        <w:spacing w:after="160"/>
      </w:pPr>
      <w:r>
        <w:t xml:space="preserve">Three findings carry through the entire report and should anchor the company's strategy. First, Coimbatore's industrial base ('Pump City of India', with over 25,000 manufacturing units, 535+ foundries, and mature PCB assembly, aluminum, and finishing capability) is genuinely sufficient for nearly the entire mechanical and electro-mechanical bill of materials — the company is not fighting its location. Second, the real competitive whitespace in India is not in structures, racking, or basic irrigation, where domestic players already compete adequately, but in the control-and-automation layer (VPD-based multi-zone climate control, closed-loop CO2/fertigation dosing) that Dutch and Japanese leaders use to command premium pricing, and in premium aquascaping equipment, where no Indian brand currently exists at all. Third, Ooty's cool ambient climate is a genuine, evidence-grounded differentiator specifically for saffron cultivation — not just a scenic R&amp;D location — because it supplies much of the cool-phase flower-induction requirement passively, a real engineering advantage unavailable to plains-based Indian competitors.</w:t>
      </w:r>
    </w:p>
    <w:p>
      <w:pPr>
        <w:spacing w:after="160"/>
      </w:pPr>
      <w:r>
        <w:t xml:space="preserve">The recommended path is deliberately sequenced: build revenue and manufacturing-vendor relationships on lower-complexity Phase 1 products first, while using the Ooty facility itself as both a demonstrator and a genuine data-generating R&amp;D instrument; invest in an in-house embedded-systems/firmware team as the single highest-leverage capability, since it is what separates the company's flagship control products from being merely assembled hardware; and treat the saffron cold-induction chamber and integrated aquascaping line as products that should wait for the company's own R&amp;D data before launch, rather than being rushed to market on borrowed credibility.</w:t>
      </w:r>
    </w:p>
    <w:p>
      <w:pPr>
        <w:pStyle w:val="Heading1"/>
        <w:spacing w:after="200" w:before="400"/>
      </w:pPr>
      <w:r>
        <w:t xml:space="preserve">1. Three-Year Product Roadmap</w:t>
      </w:r>
    </w:p>
    <w:p>
      <w:pPr>
        <w:spacing w:after="160"/>
      </w:pPr>
      <w:r>
        <w:t xml:space="preserve">This roadmap sequences the twelve products defined in Phase C against the facility build-out from Phase A and the capability-building priorities from Phase C Section 3.1, on the principle that revenue-generating, lower-complexity products fund and de-risk the higher-complexity, higher-margin engineering products that build the company's long-term moat.</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1300"/>
        <w:gridCol w:w="5100"/>
        <w:gridCol w:w="5500"/>
      </w:tblGrid>
      <w:tr>
        <w:trPr>
          <w:tblHeader/>
        </w:trPr>
        <w:tc>
          <w:tcPr>
            <w:tcW w:type="dxa" w:w="1300"/>
            <w:shd w:fill="1F3B2C" w:val="clear"/>
          </w:tcPr>
          <w:p>
            <w:r>
              <w:rPr>
                <w:b/>
                <w:bCs/>
                <w:color w:val="FFFFFF"/>
                <w:sz w:val="17"/>
                <w:szCs w:val="17"/>
              </w:rPr>
              <w:t xml:space="preserve">Period</w:t>
            </w:r>
          </w:p>
        </w:tc>
        <w:tc>
          <w:tcPr>
            <w:tcW w:type="dxa" w:w="5100"/>
            <w:shd w:fill="1F3B2C" w:val="clear"/>
          </w:tcPr>
          <w:p>
            <w:r>
              <w:rPr>
                <w:b/>
                <w:bCs/>
                <w:color w:val="FFFFFF"/>
                <w:sz w:val="17"/>
                <w:szCs w:val="17"/>
              </w:rPr>
              <w:t xml:space="preserve">Key Activities</w:t>
            </w:r>
          </w:p>
        </w:tc>
        <w:tc>
          <w:tcPr>
            <w:tcW w:type="dxa" w:w="5500"/>
            <w:shd w:fill="1F3B2C" w:val="clear"/>
          </w:tcPr>
          <w:p>
            <w:r>
              <w:rPr>
                <w:b/>
                <w:bCs/>
                <w:color w:val="FFFFFF"/>
                <w:sz w:val="17"/>
                <w:szCs w:val="17"/>
              </w:rPr>
              <w:t xml:space="preserve">Milestones / Exit Criteria</w:t>
            </w:r>
          </w:p>
        </w:tc>
      </w:tr>
      <w:tr>
        <w:tc>
          <w:tcPr>
            <w:tcW w:type="dxa" w:w="1300"/>
          </w:tcPr>
          <w:p>
            <w:r>
              <w:rPr>
                <w:sz w:val="17"/>
                <w:szCs w:val="17"/>
              </w:rPr>
              <w:t xml:space="preserve">Year 1</w:t>
            </w:r>
          </w:p>
        </w:tc>
        <w:tc>
          <w:tcPr>
            <w:tcW w:type="dxa" w:w="5100"/>
          </w:tcPr>
          <w:p>
            <w:r>
              <w:rPr>
                <w:sz w:val="17"/>
                <w:szCs w:val="17"/>
              </w:rPr>
              <w:t xml:space="preserve">Establish Ooty R&amp;D facility (Phase A design); commission Coimbatore vendor relationships for CNC/laser/sheet-metal/extrusion/PCB assembly/finishing (Phase C); launch Phase 1 products 1.1-1.4 and 1.6; begin Product 1.5 (aquascaping starter) design</w:t>
            </w:r>
          </w:p>
        </w:tc>
        <w:tc>
          <w:tcPr>
            <w:tcW w:type="dxa" w:w="5500"/>
          </w:tcPr>
          <w:p>
            <w:r>
              <w:rPr>
                <w:sz w:val="17"/>
                <w:szCs w:val="17"/>
              </w:rPr>
              <w:t xml:space="preserve">Revenue from Phase 1 catalog; validated facility generating real performance data; vendor relationships proven at small volume; first aquascaping SKUs in market</w:t>
            </w:r>
          </w:p>
        </w:tc>
      </w:tr>
      <w:tr>
        <w:tc>
          <w:tcPr>
            <w:tcW w:type="dxa" w:w="1300"/>
          </w:tcPr>
          <w:p>
            <w:r>
              <w:rPr>
                <w:sz w:val="17"/>
                <w:szCs w:val="17"/>
              </w:rPr>
              <w:t xml:space="preserve">Year 2</w:t>
            </w:r>
          </w:p>
        </w:tc>
        <w:tc>
          <w:tcPr>
            <w:tcW w:type="dxa" w:w="5100"/>
          </w:tcPr>
          <w:p>
            <w:r>
              <w:rPr>
                <w:sz w:val="17"/>
                <w:szCs w:val="17"/>
              </w:rPr>
              <w:t xml:space="preserve">Build in-house embedded systems/firmware team; develop Product 2.1 (climate controller) and 2.2 (fertigation controller) using Ooty facility as testbed; launch Product 2.5 (imaging); begin saffron R&amp;D data collection toward Product 2.3</w:t>
            </w:r>
          </w:p>
        </w:tc>
        <w:tc>
          <w:tcPr>
            <w:tcW w:type="dxa" w:w="5500"/>
          </w:tcPr>
          <w:p>
            <w:r>
              <w:rPr>
                <w:sz w:val="17"/>
                <w:szCs w:val="17"/>
              </w:rPr>
              <w:t xml:space="preserve">First in-house-engineered control products in market; saffron R&amp;D dataset supporting Product 2.3 design; firmware team established as durable capability, not vendor-dependent</w:t>
            </w:r>
          </w:p>
        </w:tc>
      </w:tr>
      <w:tr>
        <w:tc>
          <w:tcPr>
            <w:tcW w:type="dxa" w:w="1300"/>
          </w:tcPr>
          <w:p>
            <w:r>
              <w:rPr>
                <w:sz w:val="17"/>
                <w:szCs w:val="17"/>
              </w:rPr>
              <w:t xml:space="preserve">Year 3</w:t>
            </w:r>
          </w:p>
        </w:tc>
        <w:tc>
          <w:tcPr>
            <w:tcW w:type="dxa" w:w="5100"/>
          </w:tcPr>
          <w:p>
            <w:r>
              <w:rPr>
                <w:sz w:val="17"/>
                <w:szCs w:val="17"/>
              </w:rPr>
              <w:t xml:space="preserve">Launch Product 2.3 (saffron chamber) and Product 2.4 (integrated aquascaping line) using accumulated R&amp;D data; assemble Product 2.6 (turnkey room package) from now-mature constituent products; evaluate first in-house manufacturing investments (e.g., in-house SMT line) based on volume achieved</w:t>
            </w:r>
          </w:p>
        </w:tc>
        <w:tc>
          <w:tcPr>
            <w:tcW w:type="dxa" w:w="5500"/>
          </w:tcPr>
          <w:p>
            <w:r>
              <w:rPr>
                <w:sz w:val="17"/>
                <w:szCs w:val="17"/>
              </w:rPr>
              <w:t xml:space="preserve">Full catalog live; company positioned as India's first vertically-engineered mid-tech CEA automation-and-lighting brand (Phase B positioning); credible data-backed premium claims across all three original crop lines</w:t>
            </w:r>
          </w:p>
        </w:tc>
      </w:tr>
    </w:tbl>
    <w:p>
      <w:pPr>
        <w:spacing w:after="200"/>
      </w:pPr>
    </w:p>
    <w:p>
      <w:pPr>
        <w:pStyle w:val="Heading1"/>
        <w:spacing w:after="200" w:before="400"/>
      </w:pPr>
      <w:r>
        <w:t xml:space="preserve">2. Technology Readiness Level (TRL) Assessment</w:t>
      </w:r>
    </w:p>
    <w:p>
      <w:pPr>
        <w:spacing w:after="160"/>
      </w:pPr>
      <w:r>
        <w:t xml:space="preserve">TRL is a 9-level scale originally developed by NASA in the 1970s and now standard across the European Commission's Horizon Europe program, ESA, and other agencies, running from TRL 1 (basic principles observed) through TRL 4-6 (component and system validation in laboratory and relevant environments) to TRL 7-9 (system proven and deployed in its operational environment). Because a system's overall TRL is limited by its least-mature constituent component, integrated products (e.g., 2.6) cannot exceed the TRL of their weakest subsystem. The assessment below reflects the maturity of the underlying technology plus the company's own (as-yet-unbuilt) implementation of it — not the maturity of the science alone, which is generally higher per Phase A.</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7200"/>
      </w:tblGrid>
      <w:tr>
        <w:trPr>
          <w:tblHeader/>
        </w:trPr>
        <w:tc>
          <w:tcPr>
            <w:tcW w:type="dxa" w:w="3400"/>
            <w:shd w:fill="1F3B2C" w:val="clear"/>
          </w:tcPr>
          <w:p>
            <w:r>
              <w:rPr>
                <w:b/>
                <w:bCs/>
                <w:color w:val="FFFFFF"/>
                <w:sz w:val="17"/>
                <w:szCs w:val="17"/>
              </w:rPr>
              <w:t xml:space="preserve">Product</w:t>
            </w:r>
          </w:p>
        </w:tc>
        <w:tc>
          <w:tcPr>
            <w:tcW w:type="dxa" w:w="1300"/>
            <w:shd w:fill="1F3B2C" w:val="clear"/>
          </w:tcPr>
          <w:p>
            <w:r>
              <w:rPr>
                <w:b/>
                <w:bCs/>
                <w:color w:val="FFFFFF"/>
                <w:sz w:val="17"/>
                <w:szCs w:val="17"/>
              </w:rPr>
              <w:t xml:space="preserve">TRL</w:t>
            </w:r>
          </w:p>
        </w:tc>
        <w:tc>
          <w:tcPr>
            <w:tcW w:type="dxa" w:w="7200"/>
            <w:shd w:fill="1F3B2C" w:val="clear"/>
          </w:tcPr>
          <w:p>
            <w:r>
              <w:rPr>
                <w:b/>
                <w:bCs/>
                <w:color w:val="FFFFFF"/>
                <w:sz w:val="17"/>
                <w:szCs w:val="17"/>
              </w:rPr>
              <w:t xml:space="preserve">Rationale</w:t>
            </w:r>
          </w:p>
        </w:tc>
      </w:tr>
      <w:tr>
        <w:tc>
          <w:tcPr>
            <w:tcW w:type="dxa" w:w="3400"/>
          </w:tcPr>
          <w:p>
            <w:r>
              <w:rPr>
                <w:sz w:val="17"/>
                <w:szCs w:val="17"/>
              </w:rPr>
              <w:t xml:space="preserve">1.1 Modular Aluminum Rack System</w:t>
            </w:r>
          </w:p>
        </w:tc>
        <w:tc>
          <w:tcPr>
            <w:tcW w:type="dxa" w:w="1300"/>
          </w:tcPr>
          <w:p>
            <w:r>
              <w:rPr>
                <w:sz w:val="17"/>
                <w:szCs w:val="17"/>
              </w:rPr>
              <w:t xml:space="preserve">TRL 8-9</w:t>
            </w:r>
          </w:p>
        </w:tc>
        <w:tc>
          <w:tcPr>
            <w:tcW w:type="dxa" w:w="7200"/>
          </w:tcPr>
          <w:p>
            <w:r>
              <w:rPr>
                <w:sz w:val="17"/>
                <w:szCs w:val="17"/>
              </w:rPr>
              <w:t xml:space="preserve">Mature mechanical engineering (extrusion, CNC, anodizing) already proven at industrial scale worldwide and within Coimbatore; only company-specific tooling/design remains</w:t>
            </w:r>
          </w:p>
        </w:tc>
      </w:tr>
      <w:tr>
        <w:tc>
          <w:tcPr>
            <w:tcW w:type="dxa" w:w="3400"/>
          </w:tcPr>
          <w:p>
            <w:r>
              <w:rPr>
                <w:sz w:val="17"/>
                <w:szCs w:val="17"/>
              </w:rPr>
              <w:t xml:space="preserve">1.2 Tunable-Spectrum LED Grow Light Bar</w:t>
            </w:r>
          </w:p>
        </w:tc>
        <w:tc>
          <w:tcPr>
            <w:tcW w:type="dxa" w:w="1300"/>
          </w:tcPr>
          <w:p>
            <w:r>
              <w:rPr>
                <w:sz w:val="17"/>
                <w:szCs w:val="17"/>
              </w:rPr>
              <w:t xml:space="preserve">TRL 6-7</w:t>
            </w:r>
          </w:p>
        </w:tc>
        <w:tc>
          <w:tcPr>
            <w:tcW w:type="dxa" w:w="7200"/>
          </w:tcPr>
          <w:p>
            <w:r>
              <w:rPr>
                <w:sz w:val="17"/>
                <w:szCs w:val="17"/>
              </w:rPr>
              <w:t xml:space="preserve">Underlying photobiology and driver technology are well-proven (Phase A/B); company-specific spectrum tuning and thermal design need prototype validation in the Ooty facility before commercial-scale rollout</w:t>
            </w:r>
          </w:p>
        </w:tc>
      </w:tr>
      <w:tr>
        <w:tc>
          <w:tcPr>
            <w:tcW w:type="dxa" w:w="3400"/>
          </w:tcPr>
          <w:p>
            <w:r>
              <w:rPr>
                <w:sz w:val="17"/>
                <w:szCs w:val="17"/>
              </w:rPr>
              <w:t xml:space="preserve">1.3 NFT Microgreens Tray &amp; Channel System</w:t>
            </w:r>
          </w:p>
        </w:tc>
        <w:tc>
          <w:tcPr>
            <w:tcW w:type="dxa" w:w="1300"/>
          </w:tcPr>
          <w:p>
            <w:r>
              <w:rPr>
                <w:sz w:val="17"/>
                <w:szCs w:val="17"/>
              </w:rPr>
              <w:t xml:space="preserve">TRL 8-9</w:t>
            </w:r>
          </w:p>
        </w:tc>
        <w:tc>
          <w:tcPr>
            <w:tcW w:type="dxa" w:w="7200"/>
          </w:tcPr>
          <w:p>
            <w:r>
              <w:rPr>
                <w:sz w:val="17"/>
                <w:szCs w:val="17"/>
              </w:rPr>
              <w:t xml:space="preserve">Standard, widely deployed hydroponic technology; minimal new engineering risk</w:t>
            </w:r>
          </w:p>
        </w:tc>
      </w:tr>
      <w:tr>
        <w:tc>
          <w:tcPr>
            <w:tcW w:type="dxa" w:w="3400"/>
          </w:tcPr>
          <w:p>
            <w:r>
              <w:rPr>
                <w:sz w:val="17"/>
                <w:szCs w:val="17"/>
              </w:rPr>
              <w:t xml:space="preserve">1.4 Entry-Tier Fertigation Doser</w:t>
            </w:r>
          </w:p>
        </w:tc>
        <w:tc>
          <w:tcPr>
            <w:tcW w:type="dxa" w:w="1300"/>
          </w:tcPr>
          <w:p>
            <w:r>
              <w:rPr>
                <w:sz w:val="17"/>
                <w:szCs w:val="17"/>
              </w:rPr>
              <w:t xml:space="preserve">TRL 7-8</w:t>
            </w:r>
          </w:p>
        </w:tc>
        <w:tc>
          <w:tcPr>
            <w:tcW w:type="dxa" w:w="7200"/>
          </w:tcPr>
          <w:p>
            <w:r>
              <w:rPr>
                <w:sz w:val="17"/>
                <w:szCs w:val="17"/>
              </w:rPr>
              <w:t xml:space="preserve">Timer-based dosing is mature technology; mainly an integration and enclosure-design exercise</w:t>
            </w:r>
          </w:p>
        </w:tc>
      </w:tr>
      <w:tr>
        <w:tc>
          <w:tcPr>
            <w:tcW w:type="dxa" w:w="3400"/>
          </w:tcPr>
          <w:p>
            <w:r>
              <w:rPr>
                <w:sz w:val="17"/>
                <w:szCs w:val="17"/>
              </w:rPr>
              <w:t xml:space="preserve">1.5 Aquascaping CO2 &amp; Lighting Starter System</w:t>
            </w:r>
          </w:p>
        </w:tc>
        <w:tc>
          <w:tcPr>
            <w:tcW w:type="dxa" w:w="1300"/>
          </w:tcPr>
          <w:p>
            <w:r>
              <w:rPr>
                <w:sz w:val="17"/>
                <w:szCs w:val="17"/>
              </w:rPr>
              <w:t xml:space="preserve">TRL 5-6</w:t>
            </w:r>
          </w:p>
        </w:tc>
        <w:tc>
          <w:tcPr>
            <w:tcW w:type="dxa" w:w="7200"/>
          </w:tcPr>
          <w:p>
            <w:r>
              <w:rPr>
                <w:sz w:val="17"/>
                <w:szCs w:val="17"/>
              </w:rPr>
              <w:t xml:space="preserve">Individual components (CO2 regulators, aquarium LEDs) are mature, but the matched-system design as a coordinated product is unvalidated by the company and requires prototype/field testing with real aquascapers</w:t>
            </w:r>
          </w:p>
        </w:tc>
      </w:tr>
      <w:tr>
        <w:tc>
          <w:tcPr>
            <w:tcW w:type="dxa" w:w="3400"/>
          </w:tcPr>
          <w:p>
            <w:r>
              <w:rPr>
                <w:sz w:val="17"/>
                <w:szCs w:val="17"/>
              </w:rPr>
              <w:t xml:space="preserve">1.6 CEA Environmental Monitoring Node</w:t>
            </w:r>
          </w:p>
        </w:tc>
        <w:tc>
          <w:tcPr>
            <w:tcW w:type="dxa" w:w="1300"/>
          </w:tcPr>
          <w:p>
            <w:r>
              <w:rPr>
                <w:sz w:val="17"/>
                <w:szCs w:val="17"/>
              </w:rPr>
              <w:t xml:space="preserve">TRL 6-7</w:t>
            </w:r>
          </w:p>
        </w:tc>
        <w:tc>
          <w:tcPr>
            <w:tcW w:type="dxa" w:w="7200"/>
          </w:tcPr>
          <w:p>
            <w:r>
              <w:rPr>
                <w:sz w:val="17"/>
                <w:szCs w:val="17"/>
              </w:rPr>
              <w:t xml:space="preserve">Sensor hardware is off-the-shelf and proven; the cloud dashboard/alerting software layer needs building and field validation</w:t>
            </w:r>
          </w:p>
        </w:tc>
      </w:tr>
      <w:tr>
        <w:tc>
          <w:tcPr>
            <w:tcW w:type="dxa" w:w="3400"/>
          </w:tcPr>
          <w:p>
            <w:r>
              <w:rPr>
                <w:sz w:val="17"/>
                <w:szCs w:val="17"/>
              </w:rPr>
              <w:t xml:space="preserve">2.1 Multi-Zone PLC Climate Controller (VPD-based)</w:t>
            </w:r>
          </w:p>
        </w:tc>
        <w:tc>
          <w:tcPr>
            <w:tcW w:type="dxa" w:w="1300"/>
          </w:tcPr>
          <w:p>
            <w:r>
              <w:rPr>
                <w:sz w:val="17"/>
                <w:szCs w:val="17"/>
              </w:rPr>
              <w:t xml:space="preserve">TRL 4-5</w:t>
            </w:r>
          </w:p>
        </w:tc>
        <w:tc>
          <w:tcPr>
            <w:tcW w:type="dxa" w:w="7200"/>
          </w:tcPr>
          <w:p>
            <w:r>
              <w:rPr>
                <w:sz w:val="17"/>
                <w:szCs w:val="17"/>
              </w:rPr>
              <w:t xml:space="preserve">VPD-based control logic is validated in the literature and by Dutch/Japanese systems, but the company's own implementation is unbuilt; requires lab/prototype validation in the Ooty facility before field deployment</w:t>
            </w:r>
          </w:p>
        </w:tc>
      </w:tr>
      <w:tr>
        <w:tc>
          <w:tcPr>
            <w:tcW w:type="dxa" w:w="3400"/>
          </w:tcPr>
          <w:p>
            <w:r>
              <w:rPr>
                <w:sz w:val="17"/>
                <w:szCs w:val="17"/>
              </w:rPr>
              <w:t xml:space="preserve">2.2 Closed-Loop pH/EC Fertigation Controller</w:t>
            </w:r>
          </w:p>
        </w:tc>
        <w:tc>
          <w:tcPr>
            <w:tcW w:type="dxa" w:w="1300"/>
          </w:tcPr>
          <w:p>
            <w:r>
              <w:rPr>
                <w:sz w:val="17"/>
                <w:szCs w:val="17"/>
              </w:rPr>
              <w:t xml:space="preserve">TRL 4-5</w:t>
            </w:r>
          </w:p>
        </w:tc>
        <w:tc>
          <w:tcPr>
            <w:tcW w:type="dxa" w:w="7200"/>
          </w:tcPr>
          <w:p>
            <w:r>
              <w:rPr>
                <w:sz w:val="17"/>
                <w:szCs w:val="17"/>
              </w:rPr>
              <w:t xml:space="preserve">Control approach is well-documented (Phase A Sec. 1.6) but the company's specific hardware/firmware integration has not yet been built or tested</w:t>
            </w:r>
          </w:p>
        </w:tc>
      </w:tr>
      <w:tr>
        <w:tc>
          <w:tcPr>
            <w:tcW w:type="dxa" w:w="3400"/>
          </w:tcPr>
          <w:p>
            <w:r>
              <w:rPr>
                <w:sz w:val="17"/>
                <w:szCs w:val="17"/>
              </w:rPr>
              <w:t xml:space="preserve">2.3 Two-Phase Cold-Induction Chamber (Saffron)</w:t>
            </w:r>
          </w:p>
        </w:tc>
        <w:tc>
          <w:tcPr>
            <w:tcW w:type="dxa" w:w="1300"/>
          </w:tcPr>
          <w:p>
            <w:r>
              <w:rPr>
                <w:sz w:val="17"/>
                <w:szCs w:val="17"/>
              </w:rPr>
              <w:t xml:space="preserve">TRL 3-4</w:t>
            </w:r>
          </w:p>
        </w:tc>
        <w:tc>
          <w:tcPr>
            <w:tcW w:type="dxa" w:w="7200"/>
          </w:tcPr>
          <w:p>
            <w:r>
              <w:rPr>
                <w:sz w:val="17"/>
                <w:szCs w:val="17"/>
              </w:rPr>
              <w:t xml:space="preserve">Scientific basis is strong (Phase A Sec. 1.8) but no engineered product exists yet in the market or within the company; requires the Ooty facility's own saffron zone as a testbed before productization</w:t>
            </w:r>
          </w:p>
        </w:tc>
      </w:tr>
      <w:tr>
        <w:tc>
          <w:tcPr>
            <w:tcW w:type="dxa" w:w="3400"/>
          </w:tcPr>
          <w:p>
            <w:r>
              <w:rPr>
                <w:sz w:val="17"/>
                <w:szCs w:val="17"/>
              </w:rPr>
              <w:t xml:space="preserve">2.4 Integrated Aquascaping "Nature System" Line</w:t>
            </w:r>
          </w:p>
        </w:tc>
        <w:tc>
          <w:tcPr>
            <w:tcW w:type="dxa" w:w="1300"/>
          </w:tcPr>
          <w:p>
            <w:r>
              <w:rPr>
                <w:sz w:val="17"/>
                <w:szCs w:val="17"/>
              </w:rPr>
              <w:t xml:space="preserve">TRL 3-4</w:t>
            </w:r>
          </w:p>
        </w:tc>
        <w:tc>
          <w:tcPr>
            <w:tcW w:type="dxa" w:w="7200"/>
          </w:tcPr>
          <w:p>
            <w:r>
              <w:rPr>
                <w:sz w:val="17"/>
                <w:szCs w:val="17"/>
              </w:rPr>
              <w:t xml:space="preserve">Concept is well-grounded (ADA precedent) but requires in-house substrate chemistry R&amp;D and system integration not yet started</w:t>
            </w:r>
          </w:p>
        </w:tc>
      </w:tr>
      <w:tr>
        <w:tc>
          <w:tcPr>
            <w:tcW w:type="dxa" w:w="3400"/>
          </w:tcPr>
          <w:p>
            <w:r>
              <w:rPr>
                <w:sz w:val="17"/>
                <w:szCs w:val="17"/>
              </w:rPr>
              <w:t xml:space="preserve">2.5 Imaging/Phenotyping Camera Module</w:t>
            </w:r>
          </w:p>
        </w:tc>
        <w:tc>
          <w:tcPr>
            <w:tcW w:type="dxa" w:w="1300"/>
          </w:tcPr>
          <w:p>
            <w:r>
              <w:rPr>
                <w:sz w:val="17"/>
                <w:szCs w:val="17"/>
              </w:rPr>
              <w:t xml:space="preserve">TRL 4-5</w:t>
            </w:r>
          </w:p>
        </w:tc>
        <w:tc>
          <w:tcPr>
            <w:tcW w:type="dxa" w:w="7200"/>
          </w:tcPr>
          <w:p>
            <w:r>
              <w:rPr>
                <w:sz w:val="17"/>
                <w:szCs w:val="17"/>
              </w:rPr>
              <w:t xml:space="preserve">Camera hardware is mature; the analytics layer is an open research question at this facility's scale, per Phase A Sec. 1.7</w:t>
            </w:r>
          </w:p>
        </w:tc>
      </w:tr>
      <w:tr>
        <w:tc>
          <w:tcPr>
            <w:tcW w:type="dxa" w:w="3400"/>
          </w:tcPr>
          <w:p>
            <w:r>
              <w:rPr>
                <w:sz w:val="17"/>
                <w:szCs w:val="17"/>
              </w:rPr>
              <w:t xml:space="preserve">2.6 Turnkey Mid-Tech CEA Room Package</w:t>
            </w:r>
          </w:p>
        </w:tc>
        <w:tc>
          <w:tcPr>
            <w:tcW w:type="dxa" w:w="1300"/>
          </w:tcPr>
          <w:p>
            <w:r>
              <w:rPr>
                <w:sz w:val="17"/>
                <w:szCs w:val="17"/>
              </w:rPr>
              <w:t xml:space="preserve">TRL 3-4</w:t>
            </w:r>
          </w:p>
        </w:tc>
        <w:tc>
          <w:tcPr>
            <w:tcW w:type="dxa" w:w="7200"/>
          </w:tcPr>
          <w:p>
            <w:r>
              <w:rPr>
                <w:sz w:val="17"/>
                <w:szCs w:val="17"/>
              </w:rPr>
              <w:t xml:space="preserve">Depends on Products 1.1-2.3 individually reaching higher TRL first; as an integrated package it cannot mature faster than its least-mature constituent subsystem</w:t>
            </w:r>
          </w:p>
        </w:tc>
      </w:tr>
    </w:tbl>
    <w:p>
      <w:pPr>
        <w:spacing w:after="200"/>
      </w:pPr>
    </w:p>
    <w:p>
      <w:pPr>
        <w:pStyle w:val="Heading1"/>
        <w:spacing w:after="200" w:before="400"/>
      </w:pPr>
      <w:r>
        <w:t xml:space="preserve">3. Cost &amp; Manufacturing Complexity Matrix</w:t>
      </w:r>
    </w:p>
    <w:p>
      <w:pPr>
        <w:spacing w:after="160"/>
      </w:pPr>
      <w:r>
        <w:t xml:space="preserve">This matrix consolidates the complexity and margin figures from Phase C with a qualitative brand-investment and time-to-market view, to support internal prioritization discussions alongside the TRL assessment above.</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500"/>
        <w:gridCol w:w="1800"/>
        <w:gridCol w:w="2500"/>
      </w:tblGrid>
      <w:tr>
        <w:trPr>
          <w:tblHeader/>
        </w:trPr>
        <w:tc>
          <w:tcPr>
            <w:tcW w:type="dxa" w:w="3200"/>
            <w:shd w:fill="1F3B2C" w:val="clear"/>
          </w:tcPr>
          <w:p>
            <w:r>
              <w:rPr>
                <w:b/>
                <w:bCs/>
                <w:color w:val="FFFFFF"/>
                <w:sz w:val="17"/>
                <w:szCs w:val="17"/>
              </w:rPr>
              <w:t xml:space="preserve">Product</w:t>
            </w:r>
          </w:p>
        </w:tc>
        <w:tc>
          <w:tcPr>
            <w:tcW w:type="dxa" w:w="1900"/>
            <w:shd w:fill="1F3B2C" w:val="clear"/>
          </w:tcPr>
          <w:p>
            <w:r>
              <w:rPr>
                <w:b/>
                <w:bCs/>
                <w:color w:val="FFFFFF"/>
                <w:sz w:val="17"/>
                <w:szCs w:val="17"/>
              </w:rPr>
              <w:t xml:space="preserve">Manufacturing Complexity</w:t>
            </w:r>
          </w:p>
        </w:tc>
        <w:tc>
          <w:tcPr>
            <w:tcW w:type="dxa" w:w="2500"/>
            <w:shd w:fill="1F3B2C" w:val="clear"/>
          </w:tcPr>
          <w:p>
            <w:r>
              <w:rPr>
                <w:b/>
                <w:bCs/>
                <w:color w:val="FFFFFF"/>
                <w:sz w:val="17"/>
                <w:szCs w:val="17"/>
              </w:rPr>
              <w:t xml:space="preserve">Brand/Engineering Investment</w:t>
            </w:r>
          </w:p>
        </w:tc>
        <w:tc>
          <w:tcPr>
            <w:tcW w:type="dxa" w:w="1800"/>
            <w:shd w:fill="1F3B2C" w:val="clear"/>
          </w:tcPr>
          <w:p>
            <w:r>
              <w:rPr>
                <w:b/>
                <w:bCs/>
                <w:color w:val="FFFFFF"/>
                <w:sz w:val="17"/>
                <w:szCs w:val="17"/>
              </w:rPr>
              <w:t xml:space="preserve">Gross Margin Potential</w:t>
            </w:r>
          </w:p>
        </w:tc>
        <w:tc>
          <w:tcPr>
            <w:tcW w:type="dxa" w:w="2500"/>
            <w:shd w:fill="1F3B2C" w:val="clear"/>
          </w:tcPr>
          <w:p>
            <w:r>
              <w:rPr>
                <w:b/>
                <w:bCs/>
                <w:color w:val="FFFFFF"/>
                <w:sz w:val="17"/>
                <w:szCs w:val="17"/>
              </w:rPr>
              <w:t xml:space="preserve">Time-to-Market</w:t>
            </w:r>
          </w:p>
        </w:tc>
      </w:tr>
      <w:tr>
        <w:tc>
          <w:tcPr>
            <w:tcW w:type="dxa" w:w="3200"/>
          </w:tcPr>
          <w:p>
            <w:r>
              <w:rPr>
                <w:sz w:val="17"/>
                <w:szCs w:val="17"/>
              </w:rPr>
              <w:t xml:space="preserve">1.1 Modular Rack System</w:t>
            </w:r>
          </w:p>
        </w:tc>
        <w:tc>
          <w:tcPr>
            <w:tcW w:type="dxa" w:w="1900"/>
          </w:tcPr>
          <w:p>
            <w:r>
              <w:rPr>
                <w:sz w:val="17"/>
                <w:szCs w:val="17"/>
              </w:rPr>
              <w:t xml:space="preserve">Low</w:t>
            </w:r>
          </w:p>
        </w:tc>
        <w:tc>
          <w:tcPr>
            <w:tcW w:type="dxa" w:w="2500"/>
          </w:tcPr>
          <w:p>
            <w:r>
              <w:rPr>
                <w:sz w:val="17"/>
                <w:szCs w:val="17"/>
              </w:rPr>
              <w:t xml:space="preserve">Low</w:t>
            </w:r>
          </w:p>
        </w:tc>
        <w:tc>
          <w:tcPr>
            <w:tcW w:type="dxa" w:w="1800"/>
          </w:tcPr>
          <w:p>
            <w:r>
              <w:rPr>
                <w:sz w:val="17"/>
                <w:szCs w:val="17"/>
              </w:rPr>
              <w:t xml:space="preserve">35-45%</w:t>
            </w:r>
          </w:p>
        </w:tc>
        <w:tc>
          <w:tcPr>
            <w:tcW w:type="dxa" w:w="2500"/>
          </w:tcPr>
          <w:p>
            <w:r>
              <w:rPr>
                <w:sz w:val="17"/>
                <w:szCs w:val="17"/>
              </w:rPr>
              <w:t xml:space="preserve">Fast (vendor-ready now)</w:t>
            </w:r>
          </w:p>
        </w:tc>
      </w:tr>
      <w:tr>
        <w:tc>
          <w:tcPr>
            <w:tcW w:type="dxa" w:w="3200"/>
          </w:tcPr>
          <w:p>
            <w:r>
              <w:rPr>
                <w:sz w:val="17"/>
                <w:szCs w:val="17"/>
              </w:rPr>
              <w:t xml:space="preserve">1.2 Tunable LED Bar</w:t>
            </w:r>
          </w:p>
        </w:tc>
        <w:tc>
          <w:tcPr>
            <w:tcW w:type="dxa" w:w="1900"/>
          </w:tcPr>
          <w:p>
            <w:r>
              <w:rPr>
                <w:sz w:val="17"/>
                <w:szCs w:val="17"/>
              </w:rPr>
              <w:t xml:space="preserve">Moderate</w:t>
            </w:r>
          </w:p>
        </w:tc>
        <w:tc>
          <w:tcPr>
            <w:tcW w:type="dxa" w:w="2500"/>
          </w:tcPr>
          <w:p>
            <w:r>
              <w:rPr>
                <w:sz w:val="17"/>
                <w:szCs w:val="17"/>
              </w:rPr>
              <w:t xml:space="preserve">Moderate</w:t>
            </w:r>
          </w:p>
        </w:tc>
        <w:tc>
          <w:tcPr>
            <w:tcW w:type="dxa" w:w="1800"/>
          </w:tcPr>
          <w:p>
            <w:r>
              <w:rPr>
                <w:sz w:val="17"/>
                <w:szCs w:val="17"/>
              </w:rPr>
              <w:t xml:space="preserve">40-50%</w:t>
            </w:r>
          </w:p>
        </w:tc>
        <w:tc>
          <w:tcPr>
            <w:tcW w:type="dxa" w:w="2500"/>
          </w:tcPr>
          <w:p>
            <w:r>
              <w:rPr>
                <w:sz w:val="17"/>
                <w:szCs w:val="17"/>
              </w:rPr>
              <w:t xml:space="preserve">Moderate (spectrum/thermal design cycle)</w:t>
            </w:r>
          </w:p>
        </w:tc>
      </w:tr>
      <w:tr>
        <w:tc>
          <w:tcPr>
            <w:tcW w:type="dxa" w:w="3200"/>
          </w:tcPr>
          <w:p>
            <w:r>
              <w:rPr>
                <w:sz w:val="17"/>
                <w:szCs w:val="17"/>
              </w:rPr>
              <w:t xml:space="preserve">1.3 NFT Tray/Channel</w:t>
            </w:r>
          </w:p>
        </w:tc>
        <w:tc>
          <w:tcPr>
            <w:tcW w:type="dxa" w:w="1900"/>
          </w:tcPr>
          <w:p>
            <w:r>
              <w:rPr>
                <w:sz w:val="17"/>
                <w:szCs w:val="17"/>
              </w:rPr>
              <w:t xml:space="preserve">Low</w:t>
            </w:r>
          </w:p>
        </w:tc>
        <w:tc>
          <w:tcPr>
            <w:tcW w:type="dxa" w:w="2500"/>
          </w:tcPr>
          <w:p>
            <w:r>
              <w:rPr>
                <w:sz w:val="17"/>
                <w:szCs w:val="17"/>
              </w:rPr>
              <w:t xml:space="preserve">Low</w:t>
            </w:r>
          </w:p>
        </w:tc>
        <w:tc>
          <w:tcPr>
            <w:tcW w:type="dxa" w:w="1800"/>
          </w:tcPr>
          <w:p>
            <w:r>
              <w:rPr>
                <w:sz w:val="17"/>
                <w:szCs w:val="17"/>
              </w:rPr>
              <w:t xml:space="preserve">25-35%</w:t>
            </w:r>
          </w:p>
        </w:tc>
        <w:tc>
          <w:tcPr>
            <w:tcW w:type="dxa" w:w="2500"/>
          </w:tcPr>
          <w:p>
            <w:r>
              <w:rPr>
                <w:sz w:val="17"/>
                <w:szCs w:val="17"/>
              </w:rPr>
              <w:t xml:space="preserve">Fast</w:t>
            </w:r>
          </w:p>
        </w:tc>
      </w:tr>
      <w:tr>
        <w:tc>
          <w:tcPr>
            <w:tcW w:type="dxa" w:w="3200"/>
          </w:tcPr>
          <w:p>
            <w:r>
              <w:rPr>
                <w:sz w:val="17"/>
                <w:szCs w:val="17"/>
              </w:rPr>
              <w:t xml:space="preserve">1.4 Entry Fertigation Doser</w:t>
            </w:r>
          </w:p>
        </w:tc>
        <w:tc>
          <w:tcPr>
            <w:tcW w:type="dxa" w:w="1900"/>
          </w:tcPr>
          <w:p>
            <w:r>
              <w:rPr>
                <w:sz w:val="17"/>
                <w:szCs w:val="17"/>
              </w:rPr>
              <w:t xml:space="preserve">Low-Moderate</w:t>
            </w:r>
          </w:p>
        </w:tc>
        <w:tc>
          <w:tcPr>
            <w:tcW w:type="dxa" w:w="2500"/>
          </w:tcPr>
          <w:p>
            <w:r>
              <w:rPr>
                <w:sz w:val="17"/>
                <w:szCs w:val="17"/>
              </w:rPr>
              <w:t xml:space="preserve">Low</w:t>
            </w:r>
          </w:p>
        </w:tc>
        <w:tc>
          <w:tcPr>
            <w:tcW w:type="dxa" w:w="1800"/>
          </w:tcPr>
          <w:p>
            <w:r>
              <w:rPr>
                <w:sz w:val="17"/>
                <w:szCs w:val="17"/>
              </w:rPr>
              <w:t xml:space="preserve">35-40%</w:t>
            </w:r>
          </w:p>
        </w:tc>
        <w:tc>
          <w:tcPr>
            <w:tcW w:type="dxa" w:w="2500"/>
          </w:tcPr>
          <w:p>
            <w:r>
              <w:rPr>
                <w:sz w:val="17"/>
                <w:szCs w:val="17"/>
              </w:rPr>
              <w:t xml:space="preserve">Fast</w:t>
            </w:r>
          </w:p>
        </w:tc>
      </w:tr>
      <w:tr>
        <w:tc>
          <w:tcPr>
            <w:tcW w:type="dxa" w:w="3200"/>
          </w:tcPr>
          <w:p>
            <w:r>
              <w:rPr>
                <w:sz w:val="17"/>
                <w:szCs w:val="17"/>
              </w:rPr>
              <w:t xml:space="preserve">1.5 Aquascaping CO2/Lighting Starter</w:t>
            </w:r>
          </w:p>
        </w:tc>
        <w:tc>
          <w:tcPr>
            <w:tcW w:type="dxa" w:w="1900"/>
          </w:tcPr>
          <w:p>
            <w:r>
              <w:rPr>
                <w:sz w:val="17"/>
                <w:szCs w:val="17"/>
              </w:rPr>
              <w:t xml:space="preserve">Moderate</w:t>
            </w:r>
          </w:p>
        </w:tc>
        <w:tc>
          <w:tcPr>
            <w:tcW w:type="dxa" w:w="2500"/>
          </w:tcPr>
          <w:p>
            <w:r>
              <w:rPr>
                <w:sz w:val="17"/>
                <w:szCs w:val="17"/>
              </w:rPr>
              <w:t xml:space="preserve">Moderate (brand-building)</w:t>
            </w:r>
          </w:p>
        </w:tc>
        <w:tc>
          <w:tcPr>
            <w:tcW w:type="dxa" w:w="1800"/>
          </w:tcPr>
          <w:p>
            <w:r>
              <w:rPr>
                <w:sz w:val="17"/>
                <w:szCs w:val="17"/>
              </w:rPr>
              <w:t xml:space="preserve">45-55%</w:t>
            </w:r>
          </w:p>
        </w:tc>
        <w:tc>
          <w:tcPr>
            <w:tcW w:type="dxa" w:w="2500"/>
          </w:tcPr>
          <w:p>
            <w:r>
              <w:rPr>
                <w:sz w:val="17"/>
                <w:szCs w:val="17"/>
              </w:rPr>
              <w:t xml:space="preserve">Moderate</w:t>
            </w:r>
          </w:p>
        </w:tc>
      </w:tr>
      <w:tr>
        <w:tc>
          <w:tcPr>
            <w:tcW w:type="dxa" w:w="3200"/>
          </w:tcPr>
          <w:p>
            <w:r>
              <w:rPr>
                <w:sz w:val="17"/>
                <w:szCs w:val="17"/>
              </w:rPr>
              <w:t xml:space="preserve">1.6 Environmental Monitoring Node</w:t>
            </w:r>
          </w:p>
        </w:tc>
        <w:tc>
          <w:tcPr>
            <w:tcW w:type="dxa" w:w="1900"/>
          </w:tcPr>
          <w:p>
            <w:r>
              <w:rPr>
                <w:sz w:val="17"/>
                <w:szCs w:val="17"/>
              </w:rPr>
              <w:t xml:space="preserve">Moderate</w:t>
            </w:r>
          </w:p>
        </w:tc>
        <w:tc>
          <w:tcPr>
            <w:tcW w:type="dxa" w:w="2500"/>
          </w:tcPr>
          <w:p>
            <w:r>
              <w:rPr>
                <w:sz w:val="17"/>
                <w:szCs w:val="17"/>
              </w:rPr>
              <w:t xml:space="preserve">Moderate (software)</w:t>
            </w:r>
          </w:p>
        </w:tc>
        <w:tc>
          <w:tcPr>
            <w:tcW w:type="dxa" w:w="1800"/>
          </w:tcPr>
          <w:p>
            <w:r>
              <w:rPr>
                <w:sz w:val="17"/>
                <w:szCs w:val="17"/>
              </w:rPr>
              <w:t xml:space="preserve">40-50%</w:t>
            </w:r>
          </w:p>
        </w:tc>
        <w:tc>
          <w:tcPr>
            <w:tcW w:type="dxa" w:w="2500"/>
          </w:tcPr>
          <w:p>
            <w:r>
              <w:rPr>
                <w:sz w:val="17"/>
                <w:szCs w:val="17"/>
              </w:rPr>
              <w:t xml:space="preserve">Moderate</w:t>
            </w:r>
          </w:p>
        </w:tc>
      </w:tr>
      <w:tr>
        <w:tc>
          <w:tcPr>
            <w:tcW w:type="dxa" w:w="3200"/>
          </w:tcPr>
          <w:p>
            <w:r>
              <w:rPr>
                <w:sz w:val="17"/>
                <w:szCs w:val="17"/>
              </w:rPr>
              <w:t xml:space="preserve">2.1 Multi-Zone PLC Climate Controller</w:t>
            </w:r>
          </w:p>
        </w:tc>
        <w:tc>
          <w:tcPr>
            <w:tcW w:type="dxa" w:w="1900"/>
          </w:tcPr>
          <w:p>
            <w:r>
              <w:rPr>
                <w:sz w:val="17"/>
                <w:szCs w:val="17"/>
              </w:rPr>
              <w:t xml:space="preserve">High</w:t>
            </w:r>
          </w:p>
        </w:tc>
        <w:tc>
          <w:tcPr>
            <w:tcW w:type="dxa" w:w="2500"/>
          </w:tcPr>
          <w:p>
            <w:r>
              <w:rPr>
                <w:sz w:val="17"/>
                <w:szCs w:val="17"/>
              </w:rPr>
              <w:t xml:space="preserve">High</w:t>
            </w:r>
          </w:p>
        </w:tc>
        <w:tc>
          <w:tcPr>
            <w:tcW w:type="dxa" w:w="1800"/>
          </w:tcPr>
          <w:p>
            <w:r>
              <w:rPr>
                <w:sz w:val="17"/>
                <w:szCs w:val="17"/>
              </w:rPr>
              <w:t xml:space="preserve">45-55%</w:t>
            </w:r>
          </w:p>
        </w:tc>
        <w:tc>
          <w:tcPr>
            <w:tcW w:type="dxa" w:w="2500"/>
          </w:tcPr>
          <w:p>
            <w:r>
              <w:rPr>
                <w:sz w:val="17"/>
                <w:szCs w:val="17"/>
              </w:rPr>
              <w:t xml:space="preserve">Slow (needs in-house controls team)</w:t>
            </w:r>
          </w:p>
        </w:tc>
      </w:tr>
      <w:tr>
        <w:tc>
          <w:tcPr>
            <w:tcW w:type="dxa" w:w="3200"/>
          </w:tcPr>
          <w:p>
            <w:r>
              <w:rPr>
                <w:sz w:val="17"/>
                <w:szCs w:val="17"/>
              </w:rPr>
              <w:t xml:space="preserve">2.2 Closed-Loop Fertigation Controller</w:t>
            </w:r>
          </w:p>
        </w:tc>
        <w:tc>
          <w:tcPr>
            <w:tcW w:type="dxa" w:w="1900"/>
          </w:tcPr>
          <w:p>
            <w:r>
              <w:rPr>
                <w:sz w:val="17"/>
                <w:szCs w:val="17"/>
              </w:rPr>
              <w:t xml:space="preserve">Moderate-High</w:t>
            </w:r>
          </w:p>
        </w:tc>
        <w:tc>
          <w:tcPr>
            <w:tcW w:type="dxa" w:w="2500"/>
          </w:tcPr>
          <w:p>
            <w:r>
              <w:rPr>
                <w:sz w:val="17"/>
                <w:szCs w:val="17"/>
              </w:rPr>
              <w:t xml:space="preserve">Moderate</w:t>
            </w:r>
          </w:p>
        </w:tc>
        <w:tc>
          <w:tcPr>
            <w:tcW w:type="dxa" w:w="1800"/>
          </w:tcPr>
          <w:p>
            <w:r>
              <w:rPr>
                <w:sz w:val="17"/>
                <w:szCs w:val="17"/>
              </w:rPr>
              <w:t xml:space="preserve">40-50%</w:t>
            </w:r>
          </w:p>
        </w:tc>
        <w:tc>
          <w:tcPr>
            <w:tcW w:type="dxa" w:w="2500"/>
          </w:tcPr>
          <w:p>
            <w:r>
              <w:rPr>
                <w:sz w:val="17"/>
                <w:szCs w:val="17"/>
              </w:rPr>
              <w:t xml:space="preserve">Moderate-Slow</w:t>
            </w:r>
          </w:p>
        </w:tc>
      </w:tr>
      <w:tr>
        <w:tc>
          <w:tcPr>
            <w:tcW w:type="dxa" w:w="3200"/>
          </w:tcPr>
          <w:p>
            <w:r>
              <w:rPr>
                <w:sz w:val="17"/>
                <w:szCs w:val="17"/>
              </w:rPr>
              <w:t xml:space="preserve">2.3 Saffron Cold-Induction Chamber</w:t>
            </w:r>
          </w:p>
        </w:tc>
        <w:tc>
          <w:tcPr>
            <w:tcW w:type="dxa" w:w="1900"/>
          </w:tcPr>
          <w:p>
            <w:r>
              <w:rPr>
                <w:sz w:val="17"/>
                <w:szCs w:val="17"/>
              </w:rPr>
              <w:t xml:space="preserve">Moderate</w:t>
            </w:r>
          </w:p>
        </w:tc>
        <w:tc>
          <w:tcPr>
            <w:tcW w:type="dxa" w:w="2500"/>
          </w:tcPr>
          <w:p>
            <w:r>
              <w:rPr>
                <w:sz w:val="17"/>
                <w:szCs w:val="17"/>
              </w:rPr>
              <w:t xml:space="preserve">Low (niche market)</w:t>
            </w:r>
          </w:p>
        </w:tc>
        <w:tc>
          <w:tcPr>
            <w:tcW w:type="dxa" w:w="1800"/>
          </w:tcPr>
          <w:p>
            <w:r>
              <w:rPr>
                <w:sz w:val="17"/>
                <w:szCs w:val="17"/>
              </w:rPr>
              <w:t xml:space="preserve">40-50%</w:t>
            </w:r>
          </w:p>
        </w:tc>
        <w:tc>
          <w:tcPr>
            <w:tcW w:type="dxa" w:w="2500"/>
          </w:tcPr>
          <w:p>
            <w:r>
              <w:rPr>
                <w:sz w:val="17"/>
                <w:szCs w:val="17"/>
              </w:rPr>
              <w:t xml:space="preserve">Slow (needs own R&amp;D data first)</w:t>
            </w:r>
          </w:p>
        </w:tc>
      </w:tr>
      <w:tr>
        <w:tc>
          <w:tcPr>
            <w:tcW w:type="dxa" w:w="3200"/>
          </w:tcPr>
          <w:p>
            <w:r>
              <w:rPr>
                <w:sz w:val="17"/>
                <w:szCs w:val="17"/>
              </w:rPr>
              <w:t xml:space="preserve">2.4 Aquascaping "Nature System"</w:t>
            </w:r>
          </w:p>
        </w:tc>
        <w:tc>
          <w:tcPr>
            <w:tcW w:type="dxa" w:w="1900"/>
          </w:tcPr>
          <w:p>
            <w:r>
              <w:rPr>
                <w:sz w:val="17"/>
                <w:szCs w:val="17"/>
              </w:rPr>
              <w:t xml:space="preserve">Moderate-High</w:t>
            </w:r>
          </w:p>
        </w:tc>
        <w:tc>
          <w:tcPr>
            <w:tcW w:type="dxa" w:w="2500"/>
          </w:tcPr>
          <w:p>
            <w:r>
              <w:rPr>
                <w:sz w:val="17"/>
                <w:szCs w:val="17"/>
              </w:rPr>
              <w:t xml:space="preserve">High (integration + brand)</w:t>
            </w:r>
          </w:p>
        </w:tc>
        <w:tc>
          <w:tcPr>
            <w:tcW w:type="dxa" w:w="1800"/>
          </w:tcPr>
          <w:p>
            <w:r>
              <w:rPr>
                <w:sz w:val="17"/>
                <w:szCs w:val="17"/>
              </w:rPr>
              <w:t xml:space="preserve">50-60%</w:t>
            </w:r>
          </w:p>
        </w:tc>
        <w:tc>
          <w:tcPr>
            <w:tcW w:type="dxa" w:w="2500"/>
          </w:tcPr>
          <w:p>
            <w:r>
              <w:rPr>
                <w:sz w:val="17"/>
                <w:szCs w:val="17"/>
              </w:rPr>
              <w:t xml:space="preserve">Slow (chemistry R&amp;D + brand-building)</w:t>
            </w:r>
          </w:p>
        </w:tc>
      </w:tr>
      <w:tr>
        <w:tc>
          <w:tcPr>
            <w:tcW w:type="dxa" w:w="3200"/>
          </w:tcPr>
          <w:p>
            <w:r>
              <w:rPr>
                <w:sz w:val="17"/>
                <w:szCs w:val="17"/>
              </w:rPr>
              <w:t xml:space="preserve">2.5 Imaging/Phenotyping Module</w:t>
            </w:r>
          </w:p>
        </w:tc>
        <w:tc>
          <w:tcPr>
            <w:tcW w:type="dxa" w:w="1900"/>
          </w:tcPr>
          <w:p>
            <w:r>
              <w:rPr>
                <w:sz w:val="17"/>
                <w:szCs w:val="17"/>
              </w:rPr>
              <w:t xml:space="preserve">Moderate</w:t>
            </w:r>
          </w:p>
        </w:tc>
        <w:tc>
          <w:tcPr>
            <w:tcW w:type="dxa" w:w="2500"/>
          </w:tcPr>
          <w:p>
            <w:r>
              <w:rPr>
                <w:sz w:val="17"/>
                <w:szCs w:val="17"/>
              </w:rPr>
              <w:t xml:space="preserve">Moderate</w:t>
            </w:r>
          </w:p>
        </w:tc>
        <w:tc>
          <w:tcPr>
            <w:tcW w:type="dxa" w:w="1800"/>
          </w:tcPr>
          <w:p>
            <w:r>
              <w:rPr>
                <w:sz w:val="17"/>
                <w:szCs w:val="17"/>
              </w:rPr>
              <w:t xml:space="preserve">35-45%</w:t>
            </w:r>
          </w:p>
        </w:tc>
        <w:tc>
          <w:tcPr>
            <w:tcW w:type="dxa" w:w="2500"/>
          </w:tcPr>
          <w:p>
            <w:r>
              <w:rPr>
                <w:sz w:val="17"/>
                <w:szCs w:val="17"/>
              </w:rPr>
              <w:t xml:space="preserve">Moderate-Slow</w:t>
            </w:r>
          </w:p>
        </w:tc>
      </w:tr>
      <w:tr>
        <w:tc>
          <w:tcPr>
            <w:tcW w:type="dxa" w:w="3200"/>
          </w:tcPr>
          <w:p>
            <w:r>
              <w:rPr>
                <w:sz w:val="17"/>
                <w:szCs w:val="17"/>
              </w:rPr>
              <w:t xml:space="preserve">2.6 Turnkey CEA Room Package</w:t>
            </w:r>
          </w:p>
        </w:tc>
        <w:tc>
          <w:tcPr>
            <w:tcW w:type="dxa" w:w="1900"/>
          </w:tcPr>
          <w:p>
            <w:r>
              <w:rPr>
                <w:sz w:val="17"/>
                <w:szCs w:val="17"/>
              </w:rPr>
              <w:t xml:space="preserve">High</w:t>
            </w:r>
          </w:p>
        </w:tc>
        <w:tc>
          <w:tcPr>
            <w:tcW w:type="dxa" w:w="2500"/>
          </w:tcPr>
          <w:p>
            <w:r>
              <w:rPr>
                <w:sz w:val="17"/>
                <w:szCs w:val="17"/>
              </w:rPr>
              <w:t xml:space="preserve">High (systems integration)</w:t>
            </w:r>
          </w:p>
        </w:tc>
        <w:tc>
          <w:tcPr>
            <w:tcW w:type="dxa" w:w="1800"/>
          </w:tcPr>
          <w:p>
            <w:r>
              <w:rPr>
                <w:sz w:val="17"/>
                <w:szCs w:val="17"/>
              </w:rPr>
              <w:t xml:space="preserve">30-40%</w:t>
            </w:r>
          </w:p>
        </w:tc>
        <w:tc>
          <w:tcPr>
            <w:tcW w:type="dxa" w:w="2500"/>
          </w:tcPr>
          <w:p>
            <w:r>
              <w:rPr>
                <w:sz w:val="17"/>
                <w:szCs w:val="17"/>
              </w:rPr>
              <w:t xml:space="preserve">Slow (depends on all constituents)</w:t>
            </w:r>
          </w:p>
        </w:tc>
      </w:tr>
    </w:tbl>
    <w:p>
      <w:pPr>
        <w:spacing w:after="200"/>
      </w:pPr>
    </w:p>
    <w:p>
      <w:pPr>
        <w:pStyle w:val="Heading1"/>
        <w:spacing w:after="200" w:before="400"/>
      </w:pPr>
      <w:r>
        <w:t xml:space="preserve">4. Manufacturing Roadmap (Objective 6)</w:t>
      </w:r>
    </w:p>
    <w:p>
      <w:pPr>
        <w:pStyle w:val="Heading2"/>
        <w:spacing w:after="150" w:before="300"/>
      </w:pPr>
      <w:r>
        <w:t xml:space="preserve">4.1 What to Build First</w:t>
      </w:r>
    </w:p>
    <w:p>
      <w:pPr>
        <w:spacing w:after="160"/>
      </w:pPr>
      <w:r>
        <w:t xml:space="preserve">The modular aluminum rack system (1.1), NFT tray/channel system (1.3), and entry-tier fertigation doser (1.4) should be built first: they carry the lowest manufacturing complexity, use only mature Coimbatore vendor capability (Phase C Section 3), and generate early revenue and market presence with minimal engineering risk. The tunable LED grow light bar (1.2) should follow immediately after, since lighting is both the highest-margin subsystem in the global benchmark (Phase B) and the most visible 'premium engineering' signal to dealers and customers.</w:t>
      </w:r>
    </w:p>
    <w:p>
      <w:pPr>
        <w:pStyle w:val="Heading2"/>
        <w:spacing w:after="150" w:before="300"/>
      </w:pPr>
      <w:r>
        <w:t xml:space="preserve">4.2 What Should Be Outsourced (Ongoing, Not Just Initially)</w:t>
      </w:r>
    </w:p>
    <w:p>
      <w:pPr>
        <w:spacing w:after="160"/>
      </w:pPr>
      <w:r>
        <w:t xml:space="preserve">CNC machining, laser cutting, sheet-metal fabrication, aluminum extrusion and general aluminum fabrication, PCB assembly (SMT/THT), cable harnesses, electrical panels, powder coating, and anodizing should remain permanently outsourced to Coimbatore vendors even after the company's own manufacturing matures — these are mature, competitive local industries where owning the equipment in-house would add capital risk without a corresponding quality or cost advantage (Phase C Section 3).</w:t>
      </w:r>
    </w:p>
    <w:p>
      <w:pPr>
        <w:pStyle w:val="Heading2"/>
        <w:spacing w:after="150" w:before="300"/>
      </w:pPr>
      <w:r>
        <w:t xml:space="preserve">4.3 What IP Should Be Developed In-House</w:t>
      </w:r>
    </w:p>
    <w:p>
      <w:pPr>
        <w:spacing w:after="160"/>
      </w:pPr>
      <w:r>
        <w:t xml:space="preserve">Three capabilities constitute the company's durable, defensible IP and should never be outsourced: embedded systems/firmware engineering for the climate and fertigation controllers (Products 2.1/2.2), which is what separates those products from being merely assembled hardware around someone else's control logic; horticultural substrate and CO2/lighting system-chemistry formulation for the aquascaping line (Products 1.5/2.4), which is the ADA-equivalent expertise with no current Indian competitor; and the company's own accumulated CEA performance dataset from the Ooty facility (all crop zones), which underwrites every scientific claim the company makes in its marketing and is not reproducible by a competitor without years of equivalent facility operation.</w:t>
      </w:r>
    </w:p>
    <w:p>
      <w:pPr>
        <w:pStyle w:val="Heading2"/>
        <w:spacing w:after="150" w:before="300"/>
      </w:pPr>
      <w:r>
        <w:t xml:space="preserve">4.4 What Should Be Imported</w:t>
      </w:r>
    </w:p>
    <w:p>
      <w:pPr>
        <w:spacing w:after="160"/>
      </w:pPr>
      <w:r>
        <w:t xml:space="preserve">Precision LED diodes (Korea/Taiwan), lab-grade pH/EC/CO2/PAR sensor elements (USA/Switzerland), multilayer/HDI PCBs where genuinely required, rockwool (Netherlands) where coco coir is not crop-suitable, and specialty aquascaping glassware should be imported for the foreseeable future — none of these represent a strategic vulnerability, since they are standard distributor-sourced components even for the Netherlands' and Japan's own benchmark manufacturers (Phase D Section 8.3).</w:t>
      </w:r>
    </w:p>
    <w:p>
      <w:pPr>
        <w:pStyle w:val="Heading2"/>
        <w:spacing w:after="150" w:before="300"/>
      </w:pPr>
      <w:r>
        <w:t xml:space="preserve">4.5 Where Engineering Effort Should Be Invested</w:t>
      </w:r>
    </w:p>
    <w:p>
      <w:pPr>
        <w:spacing w:after="160"/>
      </w:pPr>
      <w:r>
        <w:t xml:space="preserve">The single highest-leverage engineering investment is building a genuine in-house embedded-systems/firmware team over the next 1-3 years (Phase C Section 3.1) — this is the one capability gap identified across all four prior phases that, if closed, converts the company from an assembler of imported subsystems into an actual engineering-led brand. The second-highest-leverage investment is horticultural R&amp;D capacity at the Ooty facility itself, specifically generating the saffron flowering and aquascaping propagation datasets that no Indian competitor currently possesses (Phase A Section 1.9, 1.8).</w:t>
      </w:r>
    </w:p>
    <w:p>
      <w:pPr>
        <w:pStyle w:val="Heading2"/>
        <w:spacing w:after="150" w:before="300"/>
      </w:pPr>
      <w:r>
        <w:t xml:space="preserve">4.6 Technologies Providing the Strongest 5-10 Year Competitive Moat</w:t>
      </w:r>
    </w:p>
    <w:p>
      <w:pPr>
        <w:pStyle w:val="ListParagraph"/>
        <w:numPr>
          <w:ilvl w:val="0"/>
          <w:numId w:val="1"/>
        </w:numPr>
        <w:spacing w:after="60"/>
      </w:pPr>
      <w:r>
        <w:t xml:space="preserve">VPD-based multi-zone climate control (Product 2.1) — the largest identified capability gap in the Indian market (Phase B), and the hardest for a competitor to replicate quickly because it requires both firmware engineering talent and real facility-validated control logic, not just component sourcing.</w:t>
      </w:r>
    </w:p>
    <w:p>
      <w:pPr>
        <w:pStyle w:val="ListParagraph"/>
        <w:numPr>
          <w:ilvl w:val="0"/>
          <w:numId w:val="1"/>
        </w:numPr>
        <w:spacing w:after="60"/>
      </w:pPr>
      <w:r>
        <w:t xml:space="preserve">The integrated premium aquascaping ecosystem (Products 1.5/2.4) — following the ADA (Japan) template of coordinated lighting + CO2 + substrate chemistry as one designed system; this is defensible because it combines proprietary substrate formulation (a trade-secret-style moat) with brand-building in a hobbyist community that rewards first-movers with lasting loyalty.</w:t>
      </w:r>
    </w:p>
    <w:p>
      <w:pPr>
        <w:pStyle w:val="ListParagraph"/>
        <w:numPr>
          <w:ilvl w:val="0"/>
          <w:numId w:val="1"/>
        </w:numPr>
        <w:spacing w:after="60"/>
      </w:pPr>
      <w:r>
        <w:t xml:space="preserve">Ooty's climate-enabled saffron cold-induction expertise (Product 2.3) — a genuine geographic and data moat: competitors on the Tamil Nadu plains cannot replicate the passive cool-phase advantage, and the flowering/yield dataset the company will accumulate is not something a new entrant can shortcut.</w:t>
      </w:r>
    </w:p>
    <w:p>
      <w:pPr>
        <w:pStyle w:val="ListParagraph"/>
        <w:numPr>
          <w:ilvl w:val="0"/>
          <w:numId w:val="1"/>
        </w:numPr>
        <w:spacing w:after="60"/>
      </w:pPr>
      <w:r>
        <w:t xml:space="preserve">The company's own accumulated multi-crop CEA performance dataset — over a 5-10 year horizon, the compounding value of a genuine research-farm-backed evidence base (as opposed to marketing claims) is likely to be the single hardest asset for a lower-cost competitor to replicate, and is the direct justification for the company's premium pricing position (per the original brief's positioning strategy).</w:t>
      </w:r>
    </w:p>
    <w:p>
      <w:pPr>
        <w:pStyle w:val="Heading1"/>
        <w:spacing w:after="200" w:before="400"/>
      </w:pPr>
      <w:r>
        <w:t xml:space="preserve">References</w:t>
      </w:r>
    </w:p>
    <w:p>
      <w:pPr>
        <w:spacing w:after="160"/>
      </w:pPr>
      <w:r>
        <w:t xml:space="preserve">Consolidated from all five phases of this report.</w:t>
      </w:r>
    </w:p>
    <w:p>
      <w:pPr>
        <w:spacing w:after="110"/>
        <w:ind w:left="360" w:hanging="360"/>
      </w:pPr>
      <w:r>
        <w:rPr>
          <w:sz w:val="19"/>
          <w:szCs w:val="19"/>
        </w:rPr>
        <w:t xml:space="preserve">Anuar, N., Taha, R. M., Abdullah, S., Nazira, M., &amp; Abdumutalovna, M. S. (2024). Temperature effects on corm germination and flowering of Crocus sativus L. (saffron). Journal of Animal and Plant Sciences, 34(1), 130-137.</w:t>
      </w:r>
    </w:p>
    <w:p>
      <w:pPr>
        <w:spacing w:after="110"/>
        <w:ind w:left="360" w:hanging="360"/>
      </w:pPr>
      <w:r>
        <w:rPr>
          <w:sz w:val="19"/>
          <w:szCs w:val="19"/>
        </w:rPr>
        <w:t xml:space="preserve">Ahrazem, O., et al. (2015). Effects of ambient temperature on flower initiation and flowering in saffron (Crocus sativus L.). Scientia Horticulturae.</w:t>
      </w:r>
    </w:p>
    <w:p>
      <w:pPr>
        <w:spacing w:after="110"/>
        <w:ind w:left="360" w:hanging="360"/>
      </w:pPr>
      <w:r>
        <w:rPr>
          <w:sz w:val="19"/>
          <w:szCs w:val="19"/>
        </w:rPr>
        <w:t xml:space="preserve">Molina, R. V., et al. (2005). Temperature effects on flower formation in saffron (Crocus sativus L.). Scientia Horticulturae.</w:t>
      </w:r>
    </w:p>
    <w:p>
      <w:pPr>
        <w:spacing w:after="110"/>
        <w:ind w:left="360" w:hanging="360"/>
      </w:pPr>
      <w:r>
        <w:rPr>
          <w:sz w:val="19"/>
          <w:szCs w:val="19"/>
        </w:rPr>
        <w:t xml:space="preserve">Kozai, T. (2013). Resource use efficiency of closed plant production system with artificial light. Proceedings of the Japan Academy, Series B, 89(10), 447-461.</w:t>
      </w:r>
    </w:p>
    <w:p>
      <w:pPr>
        <w:spacing w:after="110"/>
        <w:ind w:left="360" w:hanging="360"/>
      </w:pPr>
      <w:r>
        <w:rPr>
          <w:sz w:val="19"/>
          <w:szCs w:val="19"/>
        </w:rPr>
        <w:t xml:space="preserve">Li, K., et al. (2021). Carbon dioxide enrichment promoted growth, yield, and light-use efficiency of lettuce in a plant factory. Agronomy Journal, 113(6).</w:t>
      </w:r>
    </w:p>
    <w:p>
      <w:pPr>
        <w:spacing w:after="110"/>
        <w:ind w:left="360" w:hanging="360"/>
      </w:pPr>
      <w:r>
        <w:rPr>
          <w:sz w:val="19"/>
          <w:szCs w:val="19"/>
        </w:rPr>
        <w:t xml:space="preserve">Wang, A., Lv, J., Wang, J., &amp; Shi, K. (2022). CO2 enrichment in greenhouse production: Towards a sustainable approach. Frontiers in Plant Science, 13, 1029901.</w:t>
      </w:r>
    </w:p>
    <w:p>
      <w:pPr>
        <w:spacing w:after="110"/>
        <w:ind w:left="360" w:hanging="360"/>
      </w:pPr>
      <w:r>
        <w:rPr>
          <w:sz w:val="19"/>
          <w:szCs w:val="19"/>
        </w:rPr>
        <w:t xml:space="preserve">Dannehl, D., Kläring, H.-P., &amp; Schmidt, U. (2021). Light-mediated reduction in photosynthesis in closed greenhouses compensated by CO2 enrichment in tomato. Plants, 10(12), 2808.</w:t>
      </w:r>
    </w:p>
    <w:p>
      <w:pPr>
        <w:spacing w:after="110"/>
        <w:ind w:left="360" w:hanging="360"/>
      </w:pPr>
      <w:r>
        <w:rPr>
          <w:sz w:val="19"/>
          <w:szCs w:val="19"/>
        </w:rPr>
        <w:t xml:space="preserve">Wu, B. (2016). A CFD study on improving air flow uniformity in indoor plant factory system. Biosystems Engineering, 147, 193-205.</w:t>
      </w:r>
    </w:p>
    <w:p>
      <w:pPr>
        <w:spacing w:after="110"/>
        <w:ind w:left="360" w:hanging="360"/>
      </w:pPr>
      <w:r>
        <w:rPr>
          <w:sz w:val="19"/>
          <w:szCs w:val="19"/>
        </w:rPr>
        <w:t xml:space="preserve">Kitaya, Y. (2005). Effects of air current on transpiration and net photosynthetic rates of plants in a closed plant production system. Environment Control in Biology.</w:t>
      </w:r>
    </w:p>
    <w:p>
      <w:pPr>
        <w:spacing w:after="110"/>
        <w:ind w:left="360" w:hanging="360"/>
      </w:pPr>
      <w:r>
        <w:rPr>
          <w:sz w:val="19"/>
          <w:szCs w:val="19"/>
        </w:rPr>
        <w:t xml:space="preserve">(2022). Analysis of climate uniformity in indoor plant factory system with CFD. Computers and Electronics in Agriculture.</w:t>
      </w:r>
    </w:p>
    <w:p>
      <w:pPr>
        <w:spacing w:after="110"/>
        <w:ind w:left="360" w:hanging="360"/>
      </w:pPr>
      <w:r>
        <w:rPr>
          <w:sz w:val="19"/>
          <w:szCs w:val="19"/>
        </w:rPr>
        <w:t xml:space="preserve">Van Delden, S. H., et al. (2024). Benchmarking energy efficiency in vertical farming: Status and prospects. Sustainable Production and Consumption.</w:t>
      </w:r>
    </w:p>
    <w:p>
      <w:pPr>
        <w:spacing w:after="110"/>
        <w:ind w:left="360" w:hanging="360"/>
      </w:pPr>
      <w:r>
        <w:rPr>
          <w:sz w:val="19"/>
          <w:szCs w:val="19"/>
        </w:rPr>
        <w:t xml:space="preserve">Zhang, Y., et al. (2024). Energy consumption of plant factory with artificial light: Challenges and opportunities. Renewable and Sustainable Energy Reviews.</w:t>
      </w:r>
    </w:p>
    <w:p>
      <w:pPr>
        <w:spacing w:after="110"/>
        <w:ind w:left="360" w:hanging="360"/>
      </w:pPr>
      <w:r>
        <w:rPr>
          <w:sz w:val="19"/>
          <w:szCs w:val="19"/>
        </w:rPr>
        <w:t xml:space="preserve">Sheibani, F., &amp; Mitchell, C. A. (2023). Close-canopy lighting, an effective energy-saving strategy for overhead sole-source LED lighting. Frontiers in Plant Science, 14, 1215919.</w:t>
      </w:r>
    </w:p>
    <w:p>
      <w:pPr>
        <w:spacing w:after="110"/>
        <w:ind w:left="360" w:hanging="360"/>
      </w:pPr>
      <w:r>
        <w:rPr>
          <w:sz w:val="19"/>
          <w:szCs w:val="19"/>
        </w:rPr>
        <w:t xml:space="preserve">Colantoni, A., et al. (2024). Lighting strategies in vertical urban farming for enhancement of plant productivity and energy consumption. Journal of Cleaner Production.</w:t>
      </w:r>
    </w:p>
    <w:p>
      <w:pPr>
        <w:spacing w:after="110"/>
        <w:ind w:left="360" w:hanging="360"/>
      </w:pPr>
      <w:r>
        <w:rPr>
          <w:sz w:val="19"/>
          <w:szCs w:val="19"/>
        </w:rPr>
        <w:t xml:space="preserve">Kaya, C. (2025). Intelligent environmental control in plant factories. Food and Energy Security, 14(1), e70026.</w:t>
      </w:r>
    </w:p>
    <w:p>
      <w:pPr>
        <w:spacing w:after="110"/>
        <w:ind w:left="360" w:hanging="360"/>
      </w:pPr>
      <w:r>
        <w:rPr>
          <w:sz w:val="19"/>
          <w:szCs w:val="19"/>
        </w:rPr>
        <w:t xml:space="preserve">(2026). Smart greenhouses in the era of IoT and AI: A comprehensive review. Agriculture, 16(7), 761.</w:t>
      </w:r>
    </w:p>
    <w:p>
      <w:pPr>
        <w:spacing w:after="110"/>
        <w:ind w:left="360" w:hanging="360"/>
      </w:pPr>
      <w:r>
        <w:rPr>
          <w:sz w:val="19"/>
          <w:szCs w:val="19"/>
        </w:rPr>
        <w:t xml:space="preserve">(2025). Multi-sensor monitoring, intelligent control, and data processing for smart greenhouse environment management. PMC review article.</w:t>
      </w:r>
    </w:p>
    <w:p>
      <w:pPr>
        <w:spacing w:after="110"/>
        <w:ind w:left="360" w:hanging="360"/>
      </w:pPr>
      <w:r>
        <w:rPr>
          <w:sz w:val="19"/>
          <w:szCs w:val="19"/>
        </w:rPr>
        <w:t xml:space="preserve">Bethge, H., Winkelmann, T., Lüdeke, P., &amp; Rath, T. (2023). Low-cost and automated phenotyping system "Phenomenon" for multi-sensor in situ monitoring in plant in vitro culture. Plant Methods, 19, 42.</w:t>
      </w:r>
    </w:p>
    <w:p>
      <w:pPr>
        <w:spacing w:after="110"/>
        <w:ind w:left="360" w:hanging="360"/>
      </w:pPr>
      <w:r>
        <w:rPr>
          <w:sz w:val="19"/>
          <w:szCs w:val="19"/>
        </w:rPr>
        <w:t xml:space="preserve">Dobón-Suárez, A., et al. (2024). Can LED lighting be a sustainable solution for producing nutritionally valuable microgreens? Horticulturae, 10(3), 249.</w:t>
      </w:r>
    </w:p>
    <w:p>
      <w:pPr>
        <w:spacing w:after="110"/>
        <w:ind w:left="360" w:hanging="360"/>
      </w:pPr>
      <w:r>
        <w:rPr>
          <w:sz w:val="19"/>
          <w:szCs w:val="19"/>
        </w:rPr>
        <w:t xml:space="preserve">(2026). Effects of LED lighting on the nutritional properties and microbial safety of microgreens. Frontiers in Nutrition, 13, 1869208.</w:t>
      </w:r>
    </w:p>
    <w:p>
      <w:pPr>
        <w:spacing w:after="110"/>
        <w:ind w:left="360" w:hanging="360"/>
      </w:pPr>
      <w:r>
        <w:rPr>
          <w:sz w:val="19"/>
          <w:szCs w:val="19"/>
        </w:rPr>
        <w:t xml:space="preserve">Brazaitytė, A., et al. (2021). Effects of different light spectra on final biomass production and nutritional quality of two microgreens. Plants, 10(8), 1584.</w:t>
      </w:r>
    </w:p>
    <w:p>
      <w:pPr>
        <w:spacing w:after="110"/>
        <w:ind w:left="360" w:hanging="360"/>
      </w:pPr>
      <w:r>
        <w:rPr>
          <w:sz w:val="19"/>
          <w:szCs w:val="19"/>
        </w:rPr>
        <w:t xml:space="preserve">Kyriacou, M. C., et al. (2022). Continuous LED lighting enhances yield and nutritional value of four genotypes of Brassicaceae microgreens. Plants, 11(2), 217.</w:t>
      </w:r>
    </w:p>
    <w:p>
      <w:pPr>
        <w:spacing w:after="110"/>
        <w:ind w:left="360" w:hanging="360"/>
      </w:pPr>
      <w:r>
        <w:rPr>
          <w:sz w:val="19"/>
          <w:szCs w:val="19"/>
        </w:rPr>
        <w:t xml:space="preserve">(2026). Blue-enriched LED light modulates biochemical and proteomic traits without affecting yield in indoor-grown cress microgreens. Frontiers in Plant Science, 17, 1814329.</w:t>
      </w:r>
    </w:p>
    <w:p>
      <w:pPr>
        <w:spacing w:after="110"/>
        <w:ind w:left="360" w:hanging="360"/>
      </w:pPr>
      <w:r>
        <w:rPr>
          <w:sz w:val="19"/>
          <w:szCs w:val="19"/>
        </w:rPr>
        <w:t xml:space="preserve">(2026). Manipulation of light intensity and spectrum for driving growth and metabolism to improve nutritional quality of microgreens. Plant Growth Regulation.</w:t>
      </w:r>
    </w:p>
    <w:p>
      <w:pPr>
        <w:spacing w:after="110"/>
        <w:ind w:left="360" w:hanging="360"/>
      </w:pPr>
      <w:r>
        <w:rPr>
          <w:sz w:val="19"/>
          <w:szCs w:val="19"/>
        </w:rPr>
        <w:t xml:space="preserve">Vanegas-Ayala, S. C., Barón-Velandia, J., &amp; Leal-Lara, D. D. (2022). A systematic review of greenhouse humidity prediction and control models using fuzzy inference systems. Advances in Human-Computer Interaction, 2022, 8483003.</w:t>
      </w:r>
    </w:p>
    <w:p>
      <w:pPr>
        <w:spacing w:after="110"/>
        <w:ind w:left="360" w:hanging="360"/>
      </w:pPr>
      <w:r>
        <w:rPr>
          <w:sz w:val="19"/>
          <w:szCs w:val="19"/>
        </w:rPr>
        <w:t xml:space="preserve">(2025). Forecasting the vapor pressure deficit in vertical farming facilities. Journal of Agricultural Engineering, 56(3).</w:t>
      </w:r>
    </w:p>
    <w:p>
      <w:pPr>
        <w:spacing w:after="110"/>
        <w:ind w:left="360" w:hanging="360"/>
      </w:pPr>
      <w:r>
        <w:rPr>
          <w:sz w:val="19"/>
          <w:szCs w:val="19"/>
        </w:rPr>
        <w:t xml:space="preserve">(2025). A comprehensive review of advances in sensing and monitoring technologies for precision hydroponic cultivation. Computers and Electronics in Agriculture.</w:t>
      </w:r>
    </w:p>
    <w:p>
      <w:pPr>
        <w:spacing w:after="110"/>
        <w:ind w:left="360" w:hanging="360"/>
      </w:pPr>
      <w:r>
        <w:rPr>
          <w:sz w:val="19"/>
          <w:szCs w:val="19"/>
        </w:rPr>
        <w:t xml:space="preserve">(2025). Automated hydroponic nutrient dosing system: A scoping review of pH and EC dosing frameworks. Preprint/ResearchGate.</w:t>
      </w:r>
    </w:p>
    <w:p>
      <w:pPr>
        <w:spacing w:after="110"/>
        <w:ind w:left="360" w:hanging="360"/>
      </w:pPr>
      <w:r>
        <w:rPr>
          <w:sz w:val="19"/>
          <w:szCs w:val="19"/>
        </w:rPr>
        <w:t xml:space="preserve">Ruiz-Garcia, L., et al. (2018). Smart system for bicarbonate control in irrigation for hydroponic precision farming. Sensors, 18(5).</w:t>
      </w:r>
    </w:p>
    <w:p>
      <w:pPr>
        <w:spacing w:after="110"/>
        <w:ind w:left="360" w:hanging="360"/>
      </w:pPr>
      <w:r>
        <w:rPr>
          <w:sz w:val="19"/>
          <w:szCs w:val="19"/>
        </w:rPr>
        <w:t xml:space="preserve">(2025). Towards sustainable vertical farming: A systematic review of energy return on investment. Sustainability, 17(18), 8142.</w:t>
      </w:r>
    </w:p>
    <w:p>
      <w:pPr>
        <w:spacing w:after="110"/>
        <w:ind w:left="360" w:hanging="360"/>
      </w:pPr>
      <w:r>
        <w:rPr>
          <w:sz w:val="19"/>
          <w:szCs w:val="19"/>
        </w:rPr>
        <w:t xml:space="preserve">(2025). Effect of Trichoderma harzianum and nano-TiO2 treatments on saffron cormlet production under high-temperature stress. Scientia Horticulturae.</w:t>
      </w:r>
    </w:p>
    <w:p>
      <w:pPr>
        <w:spacing w:after="110"/>
        <w:ind w:left="360" w:hanging="360"/>
      </w:pPr>
      <w:r>
        <w:rPr>
          <w:sz w:val="19"/>
          <w:szCs w:val="19"/>
        </w:rPr>
        <w:t xml:space="preserve">Buce Plant / South Scape Aquatica / MB Store / Horizon Aquatics (2023-2026). Industry guides on emersed vs. submersed cultivation of aquarium plants for commercial nursery propagation. [Trade/industry sources.]</w:t>
      </w:r>
    </w:p>
    <w:p>
      <w:pPr>
        <w:spacing w:after="110"/>
        <w:ind w:left="360" w:hanging="360"/>
      </w:pPr>
      <w:r>
        <w:rPr>
          <w:sz w:val="19"/>
          <w:szCs w:val="19"/>
        </w:rPr>
        <w:t xml:space="preserve">Climate data compiled from Climate-Data.org, Weather Atlas, Weather Spark, and OotyMade.com for Udhagamandalam (Ooty), Tamil Nadu.</w:t>
      </w:r>
    </w:p>
    <w:p>
      <w:pPr>
        <w:spacing w:after="110"/>
        <w:ind w:left="360" w:hanging="360"/>
      </w:pPr>
      <w:r>
        <w:rPr>
          <w:sz w:val="19"/>
          <w:szCs w:val="19"/>
        </w:rPr>
        <w:t xml:space="preserve">Priva B.V. (2026). Greenhouse climate control: Connext platform overview. priva.com.</w:t>
      </w:r>
    </w:p>
    <w:p>
      <w:pPr>
        <w:spacing w:after="110"/>
        <w:ind w:left="360" w:hanging="360"/>
      </w:pPr>
      <w:r>
        <w:rPr>
          <w:sz w:val="19"/>
          <w:szCs w:val="19"/>
        </w:rPr>
        <w:t xml:space="preserve">Ridder (2026). Greenhouse Process Automation solutions. ridder.com.</w:t>
      </w:r>
    </w:p>
    <w:p>
      <w:pPr>
        <w:spacing w:after="110"/>
        <w:ind w:left="360" w:hanging="360"/>
      </w:pPr>
      <w:r>
        <w:rPr>
          <w:sz w:val="19"/>
          <w:szCs w:val="19"/>
        </w:rPr>
        <w:t xml:space="preserve">Foothill Ventures (2022). The future of smart greenhouses empowered by AIoT. Medium.</w:t>
      </w:r>
    </w:p>
    <w:p>
      <w:pPr>
        <w:spacing w:after="110"/>
        <w:ind w:left="360" w:hanging="360"/>
      </w:pPr>
      <w:r>
        <w:rPr>
          <w:sz w:val="19"/>
          <w:szCs w:val="19"/>
        </w:rPr>
        <w:t xml:space="preserve">Mordor Intelligence (2026). Netherlands commercial greenhouse market forecasts to 2031; Horticulture lighting market report; Grow lights market report.</w:t>
      </w:r>
    </w:p>
    <w:p>
      <w:pPr>
        <w:spacing w:after="110"/>
        <w:ind w:left="360" w:hanging="360"/>
      </w:pPr>
      <w:r>
        <w:rPr>
          <w:sz w:val="19"/>
          <w:szCs w:val="19"/>
        </w:rPr>
        <w:t xml:space="preserve">Netafim / Orbia (2025). Orbia Netafim 60 years of precision irrigation; Hybrid Dripline launch.</w:t>
      </w:r>
    </w:p>
    <w:p>
      <w:pPr>
        <w:spacing w:after="110"/>
        <w:ind w:left="360" w:hanging="360"/>
      </w:pPr>
      <w:r>
        <w:rPr>
          <w:sz w:val="19"/>
          <w:szCs w:val="19"/>
        </w:rPr>
        <w:t xml:space="preserve">Wikipedia (2026). Netafim — company overview, market share, ownership.</w:t>
      </w:r>
    </w:p>
    <w:p>
      <w:pPr>
        <w:spacing w:after="110"/>
        <w:ind w:left="360" w:hanging="360"/>
      </w:pPr>
      <w:r>
        <w:rPr>
          <w:sz w:val="19"/>
          <w:szCs w:val="19"/>
        </w:rPr>
        <w:t xml:space="preserve">Foodservice Consultants Society International (2017). Raising crops: vertical farming in Japan.</w:t>
      </w:r>
    </w:p>
    <w:p>
      <w:pPr>
        <w:spacing w:after="110"/>
        <w:ind w:left="360" w:hanging="360"/>
      </w:pPr>
      <w:r>
        <w:rPr>
          <w:sz w:val="19"/>
          <w:szCs w:val="19"/>
        </w:rPr>
        <w:t xml:space="preserve">National Geographic (2021); EcoWatch (2021). Inside Mirai's plant factory, Miyagi Prefecture, Japan.</w:t>
      </w:r>
    </w:p>
    <w:p>
      <w:pPr>
        <w:spacing w:after="110"/>
        <w:ind w:left="360" w:hanging="360"/>
      </w:pPr>
      <w:r>
        <w:rPr>
          <w:sz w:val="19"/>
          <w:szCs w:val="19"/>
        </w:rPr>
        <w:t xml:space="preserve">Agritecture (2025 republication). Spread Co. Techno Farm, Kyoto — yield and resource-use benchmarks.</w:t>
      </w:r>
    </w:p>
    <w:p>
      <w:pPr>
        <w:spacing w:after="110"/>
        <w:ind w:left="360" w:hanging="360"/>
      </w:pPr>
      <w:r>
        <w:rPr>
          <w:sz w:val="19"/>
          <w:szCs w:val="19"/>
        </w:rPr>
        <w:t xml:space="preserve">ingreenhouses.com (2016). Electronics manufacturers' entry into Japanese vertical farming.</w:t>
      </w:r>
    </w:p>
    <w:p>
      <w:pPr>
        <w:spacing w:after="110"/>
        <w:ind w:left="360" w:hanging="360"/>
      </w:pPr>
      <w:r>
        <w:rPr>
          <w:sz w:val="19"/>
          <w:szCs w:val="19"/>
        </w:rPr>
        <w:t xml:space="preserve">Aqua Design Amano (ADA) (2026). Company and product line overview. adana.co.jp.</w:t>
      </w:r>
    </w:p>
    <w:p>
      <w:pPr>
        <w:spacing w:after="110"/>
        <w:ind w:left="360" w:hanging="360"/>
      </w:pPr>
      <w:r>
        <w:rPr>
          <w:sz w:val="19"/>
          <w:szCs w:val="19"/>
        </w:rPr>
        <w:t xml:space="preserve">Verified Market Research; Custom Market Insights; Future Market Insights (2025-2026). LED grow light manufacturer landscape.</w:t>
      </w:r>
    </w:p>
    <w:p>
      <w:pPr>
        <w:spacing w:after="110"/>
        <w:ind w:left="360" w:hanging="360"/>
      </w:pPr>
      <w:r>
        <w:rPr>
          <w:sz w:val="19"/>
          <w:szCs w:val="19"/>
        </w:rPr>
        <w:t xml:space="preserve">Accio / Made-in-China industry directories (2025-2026). China greenhouse equipment manufacturing clusters.</w:t>
      </w:r>
    </w:p>
    <w:p>
      <w:pPr>
        <w:spacing w:after="110"/>
        <w:ind w:left="360" w:hanging="360"/>
      </w:pPr>
      <w:r>
        <w:rPr>
          <w:sz w:val="19"/>
          <w:szCs w:val="19"/>
        </w:rPr>
        <w:t xml:space="preserve">ensun.io (2026). Top hydroponic and greenhouse companies in India.</w:t>
      </w:r>
    </w:p>
    <w:p>
      <w:pPr>
        <w:spacing w:after="110"/>
        <w:ind w:left="360" w:hanging="360"/>
      </w:pPr>
      <w:r>
        <w:rPr>
          <w:sz w:val="19"/>
          <w:szCs w:val="19"/>
        </w:rPr>
        <w:t xml:space="preserve">MarkWide Research (2026). India greenhouse horticulture market size and trends, 2026-2036.</w:t>
      </w:r>
    </w:p>
    <w:p>
      <w:pPr>
        <w:spacing w:after="110"/>
        <w:ind w:left="360" w:hanging="360"/>
      </w:pPr>
      <w:r>
        <w:rPr>
          <w:sz w:val="19"/>
          <w:szCs w:val="19"/>
        </w:rPr>
        <w:t xml:space="preserve">DataM Intelligence (2026). India hydroponics market — share and competitive analysis, 2026-2033.</w:t>
      </w:r>
    </w:p>
    <w:p>
      <w:pPr>
        <w:spacing w:after="110"/>
        <w:ind w:left="360" w:hanging="360"/>
      </w:pPr>
      <w:r>
        <w:rPr>
          <w:sz w:val="19"/>
          <w:szCs w:val="19"/>
        </w:rPr>
        <w:t xml:space="preserve">Nexdigm (2026). India agricultural sensors and telematics industry; India printed circuit board industry.</w:t>
      </w:r>
    </w:p>
    <w:p>
      <w:pPr>
        <w:spacing w:after="110"/>
        <w:ind w:left="360" w:hanging="360"/>
      </w:pPr>
      <w:r>
        <w:rPr>
          <w:sz w:val="19"/>
          <w:szCs w:val="19"/>
        </w:rPr>
        <w:t xml:space="preserve">Prodwrks; StartupIntros; IoT Insider; TECHDesign (2022-2026). Fasal Tech and Indian agritech IoT startups.</w:t>
      </w:r>
    </w:p>
    <w:p>
      <w:pPr>
        <w:spacing w:after="110"/>
        <w:ind w:left="360" w:hanging="360"/>
      </w:pPr>
      <w:r>
        <w:rPr>
          <w:sz w:val="19"/>
          <w:szCs w:val="19"/>
        </w:rPr>
        <w:t xml:space="preserve">Site Title / 7K Network / thedmschool.com / digitalgriot.com / marketmystique.com / linkdot.io / askdaman.com (2025-2026). Coimbatore manufacturing ecosystem overviews.</w:t>
      </w:r>
    </w:p>
    <w:p>
      <w:pPr>
        <w:spacing w:after="110"/>
        <w:ind w:left="360" w:hanging="360"/>
      </w:pPr>
      <w:r>
        <w:rPr>
          <w:sz w:val="19"/>
          <w:szCs w:val="19"/>
        </w:rPr>
        <w:t xml:space="preserve">IndiaMART / TradeIndia business directories (2025-2026). Coimbatore PCB assembly/EMS, aluminum extrusion, anodizing, powder-coating, and injection-molding suppliers.</w:t>
      </w:r>
    </w:p>
    <w:p>
      <w:pPr>
        <w:spacing w:after="110"/>
        <w:ind w:left="360" w:hanging="360"/>
      </w:pPr>
      <w:r>
        <w:rPr>
          <w:sz w:val="19"/>
          <w:szCs w:val="19"/>
        </w:rPr>
        <w:t xml:space="preserve">findingmfg.com (2025). Top electronics manufacturing companies in Tamil Nadu.</w:t>
      </w:r>
    </w:p>
    <w:p>
      <w:pPr>
        <w:spacing w:after="110"/>
        <w:ind w:left="360" w:hanging="360"/>
      </w:pPr>
      <w:r>
        <w:rPr>
          <w:sz w:val="19"/>
          <w:szCs w:val="19"/>
        </w:rPr>
        <w:t xml:space="preserve">IMARC Group (2026); IMAP India (2025); India Ratings &amp; Research / Moneylife (2025). Indian PCB market and bare-PCB import-dependence data.</w:t>
      </w:r>
    </w:p>
    <w:p>
      <w:pPr>
        <w:spacing w:after="110"/>
        <w:ind w:left="360" w:hanging="360"/>
      </w:pPr>
      <w:r>
        <w:rPr>
          <w:sz w:val="19"/>
          <w:szCs w:val="19"/>
        </w:rPr>
        <w:t xml:space="preserve">LEDYi Lighting; Fanxstar; LEDinside (2025-2026). LED chip manufacturer landscape.</w:t>
      </w:r>
    </w:p>
    <w:p>
      <w:pPr>
        <w:spacing w:after="110"/>
        <w:ind w:left="360" w:hanging="360"/>
      </w:pPr>
      <w:r>
        <w:rPr>
          <w:sz w:val="19"/>
          <w:szCs w:val="19"/>
        </w:rPr>
        <w:t xml:space="preserve">MEAN WELL (2026). LED driver product catalog and horticulture lighting application notes.</w:t>
      </w:r>
    </w:p>
    <w:p>
      <w:pPr>
        <w:spacing w:after="110"/>
        <w:ind w:left="360" w:hanging="360"/>
      </w:pPr>
      <w:r>
        <w:rPr>
          <w:sz w:val="19"/>
          <w:szCs w:val="19"/>
        </w:rPr>
        <w:t xml:space="preserve">DFRobot; Sensirion (2025-2026). NDIR/photoacoustic CO2 sensor modules; pH/EC sensor product listings.</w:t>
      </w:r>
    </w:p>
    <w:p>
      <w:pPr>
        <w:spacing w:after="110"/>
        <w:ind w:left="360" w:hanging="360"/>
      </w:pPr>
      <w:r>
        <w:rPr>
          <w:sz w:val="19"/>
          <w:szCs w:val="19"/>
        </w:rPr>
        <w:t xml:space="preserve">MK Flow; Kirloskar Brothers Limited; CRI Groups; Bharath Pump House (2025-2026). Top pump manufacturers in India.</w:t>
      </w:r>
    </w:p>
    <w:p>
      <w:pPr>
        <w:spacing w:after="110"/>
        <w:ind w:left="360" w:hanging="360"/>
      </w:pPr>
      <w:r>
        <w:rPr>
          <w:sz w:val="19"/>
          <w:szCs w:val="19"/>
        </w:rPr>
        <w:t xml:space="preserve">Delta Electronics India; deltasupplier.in; TradeIndia (2025-2026). Delta PLC/HMI India distribution network.</w:t>
      </w:r>
    </w:p>
    <w:p>
      <w:pPr>
        <w:spacing w:after="110"/>
        <w:ind w:left="360" w:hanging="360"/>
      </w:pPr>
      <w:r>
        <w:rPr>
          <w:sz w:val="19"/>
          <w:szCs w:val="19"/>
        </w:rPr>
        <w:t xml:space="preserve">Grodan (ROCKWOOL Group) (2026). Dealer map and stone-wool product literature.</w:t>
      </w:r>
    </w:p>
    <w:p>
      <w:pPr>
        <w:spacing w:after="110"/>
        <w:ind w:left="360" w:hanging="360"/>
      </w:pPr>
      <w:r>
        <w:rPr>
          <w:sz w:val="19"/>
          <w:szCs w:val="19"/>
        </w:rPr>
        <w:t xml:space="preserve">Vaighai Agro / Nature's Miracle (via TipRanks, 2026); Berri Coco Coir Substrate; Grow Rich India (2025-2026). Indian coco coir substrate manufacturing and export base.</w:t>
      </w:r>
    </w:p>
    <w:p>
      <w:pPr>
        <w:spacing w:after="110"/>
        <w:ind w:left="360" w:hanging="360"/>
      </w:pPr>
      <w:r>
        <w:rPr>
          <w:sz w:val="19"/>
          <w:szCs w:val="19"/>
        </w:rPr>
        <w:t xml:space="preserve">NASA (1989, adopted 1990s); European Commission Horizon Europe guidance; EMDESK, ESA, EUACC (2025-2026). Technology Readiness Level (TRL) 1-9 scale definitions and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2026-08-02T06:49:46.481Z</dcterms:created>
  <dcterms:modified xsi:type="dcterms:W3CDTF">2026-08-02T06:49:46.498Z</dcterms:modified>
</cp:coreProperties>
</file>

<file path=docProps/custom.xml><?xml version="1.0" encoding="utf-8"?>
<Properties xmlns="http://schemas.openxmlformats.org/officeDocument/2006/custom-properties" xmlns:vt="http://schemas.openxmlformats.org/officeDocument/2006/docPropsVTypes"/>
</file>