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PERSONERIA DELEGADA PARA LA SEGUNDA INSTANCIA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Alejandro Sarmiento</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TIC</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20230201-011627-13</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Firmó</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Diego DiscUno</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PERSONERIA DELEGADA PARA LA SEGUNDA INSTANCIA</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160px;height:7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2023-02-01 10:08:12 AM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