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DELEGADA PARA LA SEGUNDA INSTANCIA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2516219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/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FUERON OCHO VOTOS A FAVOR DE LOS CONCEJALES ANDREA PADILLA (VERDE), JULIÁN RODRÍGUEZ (VERDE), HEIDY SÁNCHEZ
(COLOMBIA HUMANA), MANUEL SARMIENTO (POLO), ÁLVARO ACEVEDO (LIBERAL), EDWARD ARIAS (VERDE), DIEGO CANCINO (VERDE), CARLOS
CARRILLO (POLO). Y LOS SIETE VOTOS EN CONTRA CORRESPONDIERON A LOS CABILDANTES CAROLINA ARBELÁEZ (CAMBIO RADICAL), DIANA
DIAGO (CENTRO DEMOCRÁTICO), GLORIA DÍAZ (CONSERVADOR), ÓSCAR RAMÍREZ (CENTRO DEMOCRÁTICO), EMEL ROJAS (COLOMBIA JUSTA
LIBRES), JAVIER BAENA (BOGOTÁ PARA LA GENTE) Y MARÍA VICTORIA VARGAS (LIBERAL).
(LE PUEDE INTERESAR: OPERADOR PÚBLICO, ¿SOLUCIÓN A POSIBLE CRISIS DEL TRANSPORTE EN BOGOTÁ?)
EL TEXTO DEL ARTÍCULO QUEDÓ ASÍ:
ARTÍCULO 88. AUTORIZACIÓN PARA CONSTITUIR OPERADOR PÚBLICO. SE AUTORIZA AL DISTRITO CAPITAL O TRANSMILENIO S.A., PARA
PARTICIPAR EN LA CREACIÓN DE UNA SOCIEDAD POR ACCIONES, OPERADORA DISTRITAL DE TRANSPORTE CON LA PARTICIPACIÓN DE
ENTIDADES PÚBLICAS DE ACUERDO CON LOS RESULTADOS DE ESTUDIOS TÉCNICOS O FINANCIEROS, CON PERSONERÍA JURÍDICA,
AUTONOMÍA ADMINISTRATIVA, CONTABLE, FINANCIERA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Apoderado Saavedra Mateus Sandra Milena,Ministerio público FINO CAÑAS MARIA DE LA PAZ DANIELA ESTEFANIA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2023-04-21 11:13:14 AM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