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2516219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FUERON OCHO VOTOS A FAVOR DE LOS CONCEJALES ANDREA PADILLA (VERDE), JULIÁN RODRÍGUEZ (VERDE), HEIDY SÁNCHEZ
(COLOMBIA HUMANA), MANUEL SARMIENTO (POLO), ÁLVARO ACEVEDO (LIBERAL), EDWARD ARIAS (VERDE), DIEGO CANCINO (VERDE), CARLOS
CARRILLO (POLO). Y LOS SIETE VOTOS EN CONTRA CORRESPONDIERON A LOS CABILDANTES CAROLINA ARBELÁEZ (CAMBIO RADICAL), DIANA
DIAGO (CENTRO DEMOCRÁTICO), GLORIA DÍAZ (CONSERVADOR), ÓSCAR RAMÍREZ (CENTRO DEMOCRÁTICO), EMEL ROJAS (COLOMBIA JUSTA
LIBRES), JAVIER BAENA (BOGOTÁ PARA LA GENTE) Y MARÍA VICTORIA VARGAS (LIBERAL).
(LE PUEDE INTERESAR: OPERADOR PÚBLICO, ¿SOLUCIÓN A POSIBLE CRISIS DEL TRANSPORTE EN BOGOTÁ?)
EL TEXTO DEL ARTÍCULO QUEDÓ ASÍ:
ARTÍCULO 88. AUTORIZACIÓN PARA CONSTITUIR OPERADOR PÚBLICO. SE AUTORIZA AL DISTRITO CAPITAL O TRANSMILENIO S.A., PARA
PARTICIPAR EN LA CREACIÓN DE UNA SOCIEDAD POR ACCIONES, OPERADORA DISTRITAL DE TRANSPORTE CON LA PARTICIPACIÓN DE
ENTIDADES PÚBLICAS DE ACUERDO CON LOS RESULTADOS DE ESTUDIOS TÉCNICOS O FINANCIEROS, CON PERSONERÍA JURÍDICA,
AUTONOMÍA ADMINISTRATIVA, CONTABLE, FINANCIERA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Apoderado Saavedra Mateus Sandra Milena,Ministerio público FINO CAÑAS MARIA DE LA PAZ DANIELA ESTEFANIA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