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pPr>
      <w:r>
        <w:rPr>
          <w:rFonts w:ascii="Plus Jakarta Sans" w:cs="Plus Jakarta Sans" w:eastAsia="Plus Jakarta Sans" w:hAnsi="Plus Jakarta Sans"/>
          <w:b/>
          <w:bCs/>
          <w:color w:val="059669"/>
          <w:sz w:val="20"/>
          <w:szCs w:val="20"/>
        </w:rPr>
        <w:t xml:space="preserve">PRODUCT REQUIREMENT DOCUMENT (PRD)</w:t>
      </w:r>
    </w:p>
    <w:p>
      <w:pPr>
        <w:spacing w:after="180" w:before="0"/>
      </w:pPr>
      <w:r>
        <w:rPr>
          <w:rFonts w:ascii="Plus Jakarta Sans" w:cs="Plus Jakarta Sans" w:eastAsia="Plus Jakarta Sans" w:hAnsi="Plus Jakarta Sans"/>
          <w:b/>
          <w:bCs/>
          <w:color w:val="0F172A"/>
          <w:sz w:val="48"/>
          <w:szCs w:val="48"/>
        </w:rPr>
        <w:t xml:space="preserve">SecurePass NDPA</w:t>
      </w:r>
    </w:p>
    <w:p>
      <w:pPr>
        <w:spacing w:after="280" w:before="0"/>
      </w:pPr>
      <w:r>
        <w:rPr>
          <w:rFonts w:ascii="Plus Jakarta Sans" w:cs="Plus Jakarta Sans" w:eastAsia="Plus Jakarta Sans" w:hAnsi="Plus Jakarta Sans"/>
          <w:color w:val="475569"/>
          <w:sz w:val="26"/>
          <w:szCs w:val="26"/>
        </w:rPr>
        <w:t xml:space="preserve">Enterprise Visitor Access &amp; Data Protection Governance System</w:t>
      </w:r>
    </w:p>
    <w:tbl>
      <w:tblPr>
        <w:tblW w:type="pct" w:w="5000"/>
        <w:tblBorders>
          <w:top w:val="single" w:color="10B981" w:sz="6"/>
          <w:left w:val="single" w:color="059669" w:sz="24"/>
          <w:bottom w:val="single" w:color="10B981" w:sz="6"/>
          <w:right w:val="single" w:color="10B981" w:sz="6"/>
          <w:insideH w:val="single" w:color="auto" w:sz="4"/>
          <w:insideV w:val="single" w:color="auto" w:sz="4"/>
        </w:tblBorders>
      </w:tblPr>
      <w:tblGrid>
        <w:gridCol w:w="9026"/>
      </w:tblGrid>
      <w:tr>
        <w:tc>
          <w:tcPr>
            <w:shd w:fill="F0FDF4" w:val="clear"/>
            <w:tcMar>
              <w:top w:type="dxa" w:w="160"/>
              <w:left w:type="dxa" w:w="240"/>
              <w:bottom w:type="dxa" w:w="160"/>
              <w:right w:type="dxa" w:w="240"/>
            </w:tcMar>
          </w:tcPr>
          <w:p>
            <w:pPr>
              <w:spacing w:after="60"/>
            </w:pPr>
            <w:r>
              <w:rPr>
                <w:rFonts w:ascii="Plus Jakarta Sans" w:cs="Plus Jakarta Sans" w:eastAsia="Plus Jakarta Sans" w:hAnsi="Plus Jakarta Sans"/>
                <w:b/>
                <w:bCs/>
                <w:color w:val="065F46"/>
                <w:sz w:val="22"/>
                <w:szCs w:val="22"/>
              </w:rPr>
              <w:t xml:space="preserve">REGULATORY COMPLIANCE MANDATE</w:t>
            </w:r>
          </w:p>
          <w:p>
            <w:r>
              <w:rPr>
                <w:rFonts w:ascii="Plus Jakarta Sans" w:cs="Plus Jakarta Sans" w:eastAsia="Plus Jakarta Sans" w:hAnsi="Plus Jakarta Sans"/>
                <w:color w:val="166534"/>
                <w:sz w:val="20"/>
                <w:szCs w:val="20"/>
              </w:rPr>
              <w:t xml:space="preserve">This application specification complies with the Nigerian Data Protection Act (NDPA) 2023 enacted on June 12, 2023, and guidelines issued by the Nigeria Data Protection Commission (NDPC). It enforces principles of lawful consent, biometric voluntary opt-outs (Sec 30), purpose limitation, data minimization, 60-day storage lifecycle, and Data Subject Access Requests (DSAR).</w:t>
            </w:r>
          </w:p>
        </w:tc>
      </w:tr>
    </w:tbl>
    <w:p>
      <w:pPr>
        <w:spacing w:after="200"/>
      </w:pPr>
    </w:p>
    <w:tbl>
      <w:tblPr>
        <w:tblW w:type="pct" w:w="5000"/>
        <w:tblBorders>
          <w:top w:val="single" w:color="CBD5E1" w:sz="4"/>
          <w:left w:val="none"/>
          <w:bottom w:val="single" w:color="CBD5E1" w:sz="4"/>
          <w:right w:val="none"/>
          <w:insideH w:val="single" w:color="E2E8F0" w:sz="2"/>
          <w:insideV w:val="none"/>
        </w:tblBorders>
      </w:tblPr>
      <w:tblGrid>
        <w:gridCol w:w="4513"/>
        <w:gridCol w:w="4513"/>
      </w:tblGrid>
      <w:tr>
        <w:trPr>
          <w:tblHeader/>
        </w:trPr>
        <w:tc>
          <w:tcPr>
            <w:shd w:fill="0F172A" w:val="clear"/>
            <w:tcMar>
              <w:top w:type="dxa" w:w="140"/>
              <w:left w:type="dxa" w:w="160"/>
              <w:bottom w:type="dxa" w:w="140"/>
              <w:right w:type="dxa" w:w="160"/>
            </w:tcMar>
          </w:tcPr>
          <w:p>
            <w:r>
              <w:rPr>
                <w:rFonts w:ascii="Plus Jakarta Sans" w:cs="Plus Jakarta Sans" w:eastAsia="Plus Jakarta Sans" w:hAnsi="Plus Jakarta Sans"/>
                <w:b/>
                <w:bCs/>
                <w:color w:val="FFFFFF"/>
                <w:sz w:val="20"/>
                <w:szCs w:val="20"/>
              </w:rPr>
              <w:t xml:space="preserve">Document Attribute</w:t>
            </w:r>
          </w:p>
        </w:tc>
        <w:tc>
          <w:tcPr>
            <w:shd w:fill="0F172A" w:val="clear"/>
            <w:tcMar>
              <w:top w:type="dxa" w:w="140"/>
              <w:left w:type="dxa" w:w="160"/>
              <w:bottom w:type="dxa" w:w="140"/>
              <w:right w:type="dxa" w:w="160"/>
            </w:tcMar>
          </w:tcPr>
          <w:p>
            <w:r>
              <w:rPr>
                <w:rFonts w:ascii="Plus Jakarta Sans" w:cs="Plus Jakarta Sans" w:eastAsia="Plus Jakarta Sans" w:hAnsi="Plus Jakarta Sans"/>
                <w:b/>
                <w:bCs/>
                <w:color w:val="FFFFFF"/>
                <w:sz w:val="20"/>
                <w:szCs w:val="20"/>
              </w:rPr>
              <w:t xml:space="preserve">Specification Details</w:t>
            </w:r>
          </w:p>
        </w:tc>
      </w:tr>
      <w:tr>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Project Codename</w:t>
            </w:r>
          </w:p>
        </w:tc>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SecurePass NDPA (Version 2.4 Enterprise)</w:t>
            </w:r>
          </w:p>
        </w:tc>
      </w:tr>
      <w:tr>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Document Owner</w:t>
            </w:r>
          </w:p>
        </w:tc>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Dr. Marcus Hale, Principal AI-Assisted Architect &amp; Prompt Engineer</w:t>
            </w:r>
          </w:p>
        </w:tc>
      </w:tr>
      <w:tr>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Target Organization</w:t>
            </w:r>
          </w:p>
        </w:tc>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Zenith-Tower Holdings PLC (Victoria Island Corporate Tower)</w:t>
            </w:r>
          </w:p>
        </w:tc>
      </w:tr>
      <w:tr>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NDPC Registration</w:t>
            </w:r>
          </w:p>
        </w:tc>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NDPC/DPCO/2024/0912 (Licensed Data Controller)</w:t>
            </w:r>
          </w:p>
        </w:tc>
      </w:tr>
      <w:tr>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Applicable Laws</w:t>
            </w:r>
          </w:p>
        </w:tc>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NDPA 2023 (Sections 24, 25, 26, 30, 34-39), NDPR 2019 provisions</w:t>
            </w:r>
          </w:p>
        </w:tc>
      </w:tr>
      <w:tr>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Status &amp; Classification</w:t>
            </w:r>
          </w:p>
        </w:tc>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Approved for Production Implementation - Enterprise Confidential</w:t>
            </w:r>
          </w:p>
        </w:tc>
      </w:tr>
    </w:tbl>
    <w:p>
      <w:pPr>
        <w:pStyle w:val="Heading1"/>
        <w:spacing w:after="140" w:before="400"/>
      </w:pPr>
      <w:r>
        <w:t xml:space="preserve">1. Executive Summary &amp; Problem Statement</w:t>
      </w:r>
    </w:p>
    <w:p>
      <w:pPr>
        <w:spacing w:after="120" w:before="60" w:line="276"/>
      </w:pPr>
      <w:r>
        <w:rPr>
          <w:rFonts w:ascii="Plus Jakarta Sans" w:cs="Plus Jakarta Sans" w:eastAsia="Plus Jakarta Sans" w:hAnsi="Plus Jakarta Sans"/>
          <w:color w:val="1E293B"/>
          <w:sz w:val="22"/>
          <w:szCs w:val="22"/>
        </w:rPr>
        <w:t xml:space="preserve">In Nigerian commercial and corporate real estate, visitor logging has historically relied on physical paper ledger books placed at security gates and reception desks. This legacy approach violates core tenants of the Nigerian Data Protection Act (NDPA 2023):</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Breach of Confidentiality: </w:t>
      </w:r>
      <w:r>
        <w:rPr>
          <w:rFonts w:ascii="Plus Jakarta Sans" w:cs="Plus Jakarta Sans" w:eastAsia="Plus Jakarta Sans" w:hAnsi="Plus Jakarta Sans"/>
          <w:color w:val="334155"/>
          <w:sz w:val="21"/>
          <w:szCs w:val="21"/>
        </w:rPr>
        <w:t xml:space="preserve">Public Ledger Shoulder-Surfing: Previous visitors’ names, personal phone numbers, and organizations are openly visible to anyone signing the log, breaching Section 39 (Confidentiality &amp; Integrity).</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Lack of Lawful Basis: </w:t>
      </w:r>
      <w:r>
        <w:rPr>
          <w:rFonts w:ascii="Plus Jakarta Sans" w:cs="Plus Jakarta Sans" w:eastAsia="Plus Jakarta Sans" w:hAnsi="Plus Jakarta Sans"/>
          <w:color w:val="334155"/>
          <w:sz w:val="21"/>
          <w:szCs w:val="21"/>
        </w:rPr>
        <w:t xml:space="preserve">Absence of Informed Consent: Visitors are forced to provide personal telemetry without clear notices regarding data controllers, retention, or lawful processing basis (Section 25).</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Coerced Biometrics: </w:t>
      </w:r>
      <w:r>
        <w:rPr>
          <w:rFonts w:ascii="Plus Jakarta Sans" w:cs="Plus Jakarta Sans" w:eastAsia="Plus Jakarta Sans" w:hAnsi="Plus Jakarta Sans"/>
          <w:color w:val="334155"/>
          <w:sz w:val="21"/>
          <w:szCs w:val="21"/>
        </w:rPr>
        <w:t xml:space="preserve">Mandatory Unchecked Biometrics: Facilities capturing photographs or fingerprints without providing voluntary opt-outs violate Section 30 (Sensitive Personal Data).</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Indefinite Retention: </w:t>
      </w:r>
      <w:r>
        <w:rPr>
          <w:rFonts w:ascii="Plus Jakarta Sans" w:cs="Plus Jakarta Sans" w:eastAsia="Plus Jakarta Sans" w:hAnsi="Plus Jakarta Sans"/>
          <w:color w:val="334155"/>
          <w:sz w:val="21"/>
          <w:szCs w:val="21"/>
        </w:rPr>
        <w:t xml:space="preserve">Permanent Data Hoarding: Paper logs are stored indefinitely or disposed of carelessly, defying statutory storage limitation principles (Section 24(1)(d)).</w:t>
      </w:r>
    </w:p>
    <w:p>
      <w:pPr>
        <w:spacing w:after="120" w:before="60" w:line="276"/>
      </w:pPr>
      <w:r>
        <w:rPr>
          <w:rFonts w:ascii="Plus Jakarta Sans" w:cs="Plus Jakarta Sans" w:eastAsia="Plus Jakarta Sans" w:hAnsi="Plus Jakarta Sans"/>
          <w:color w:val="1E293B"/>
          <w:sz w:val="22"/>
          <w:szCs w:val="22"/>
        </w:rPr>
        <w:t xml:space="preserve">SecurePass NDPA solves this through an enterprise digital platform featuring dual self-service kiosks, touchless mobile smartphone check-in via reception QR standees, scannable Avery/thermal badge issuance, instant host alerts, emergency evacuation muster tracking, and a dedicated NDPA Compliance Desk.</w:t>
      </w:r>
    </w:p>
    <w:p>
      <w:pPr>
        <w:pStyle w:val="Heading1"/>
        <w:spacing w:after="140" w:before="350"/>
      </w:pPr>
      <w:r>
        <w:t xml:space="preserve">2. Core Product Objectives &amp; North Star KPIs</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Objective 1: </w:t>
      </w:r>
      <w:r>
        <w:rPr>
          <w:rFonts w:ascii="Plus Jakarta Sans" w:cs="Plus Jakarta Sans" w:eastAsia="Plus Jakarta Sans" w:hAnsi="Plus Jakarta Sans"/>
          <w:color w:val="334155"/>
          <w:sz w:val="21"/>
          <w:szCs w:val="21"/>
        </w:rPr>
        <w:t xml:space="preserve">100% Statutory NDPA Compliance: Complete coverage of lawful consent, voluntary biometrics, and automated 60-day data lifecycle.</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Objective 2: </w:t>
      </w:r>
      <w:r>
        <w:rPr>
          <w:rFonts w:ascii="Plus Jakarta Sans" w:cs="Plus Jakarta Sans" w:eastAsia="Plus Jakarta Sans" w:hAnsi="Plus Jakarta Sans"/>
          <w:color w:val="334155"/>
          <w:sz w:val="21"/>
          <w:szCs w:val="21"/>
        </w:rPr>
        <w:t xml:space="preserve">Sub-10 Second Check-In: Invite-only pre-registered guests complete check-in and receive their security pass in under 10 seconds.</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Objective 3: </w:t>
      </w:r>
      <w:r>
        <w:rPr>
          <w:rFonts w:ascii="Plus Jakarta Sans" w:cs="Plus Jakarta Sans" w:eastAsia="Plus Jakarta Sans" w:hAnsi="Plus Jakarta Sans"/>
          <w:color w:val="334155"/>
          <w:sz w:val="21"/>
          <w:szCs w:val="21"/>
        </w:rPr>
        <w:t xml:space="preserve">Touchless Reception Entry: Arriving visitors scan a front-desk QR standee to complete check-in on their personal smartphones without touching shared kiosk screens.</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Objective 4: </w:t>
      </w:r>
      <w:r>
        <w:rPr>
          <w:rFonts w:ascii="Plus Jakarta Sans" w:cs="Plus Jakarta Sans" w:eastAsia="Plus Jakarta Sans" w:hAnsi="Plus Jakarta Sans"/>
          <w:color w:val="334155"/>
          <w:sz w:val="21"/>
          <w:szCs w:val="21"/>
        </w:rPr>
        <w:t xml:space="preserve">Zero-Latency Life Safety: Real-time emergency evacuation roll-call providing building fire marshals with immediate headcount and contact details of all souls in the tower.</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Objective 5: </w:t>
      </w:r>
      <w:r>
        <w:rPr>
          <w:rFonts w:ascii="Plus Jakarta Sans" w:cs="Plus Jakarta Sans" w:eastAsia="Plus Jakarta Sans" w:hAnsi="Plus Jakarta Sans"/>
          <w:color w:val="334155"/>
          <w:sz w:val="21"/>
          <w:szCs w:val="21"/>
        </w:rPr>
        <w:t xml:space="preserve">Strict Role-Based Access Control: Staff members can solely invite guests, while administrative features (access logs, compliance reports, user administration) are locked behind enterprise authentication.</w:t>
      </w:r>
    </w:p>
    <w:p>
      <w:pPr>
        <w:pStyle w:val="Heading1"/>
        <w:spacing w:after="140" w:before="350"/>
      </w:pPr>
      <w:r>
        <w:t xml:space="preserve">3. NDPA 2023 Regulatory Architecture</w:t>
      </w:r>
    </w:p>
    <w:p>
      <w:pPr>
        <w:spacing w:after="120" w:before="60" w:line="276"/>
      </w:pPr>
      <w:r>
        <w:rPr>
          <w:rFonts w:ascii="Plus Jakarta Sans" w:cs="Plus Jakarta Sans" w:eastAsia="Plus Jakarta Sans" w:hAnsi="Plus Jakarta Sans"/>
          <w:color w:val="1E293B"/>
          <w:sz w:val="22"/>
          <w:szCs w:val="22"/>
        </w:rPr>
        <w:t xml:space="preserve">The system architecture is engineered from first principles around the Nigeria Data Protection Act 2023:</w:t>
      </w:r>
    </w:p>
    <w:tbl>
      <w:tblPr>
        <w:tblW w:type="pct" w:w="5000"/>
        <w:tblBorders>
          <w:top w:val="single" w:color="CBD5E1" w:sz="4"/>
          <w:left w:val="none"/>
          <w:bottom w:val="single" w:color="CBD5E1" w:sz="4"/>
          <w:right w:val="none"/>
          <w:insideH w:val="single" w:color="E2E8F0" w:sz="2"/>
          <w:insideV w:val="none"/>
        </w:tblBorders>
      </w:tblPr>
      <w:tblGrid>
        <w:gridCol w:w="3009"/>
        <w:gridCol w:w="3009"/>
        <w:gridCol w:w="3009"/>
      </w:tblGrid>
      <w:tr>
        <w:trPr>
          <w:tblHeader/>
        </w:trPr>
        <w:tc>
          <w:tcPr>
            <w:shd w:fill="0F172A" w:val="clear"/>
            <w:tcMar>
              <w:top w:type="dxa" w:w="140"/>
              <w:left w:type="dxa" w:w="160"/>
              <w:bottom w:type="dxa" w:w="140"/>
              <w:right w:type="dxa" w:w="160"/>
            </w:tcMar>
          </w:tcPr>
          <w:p>
            <w:r>
              <w:rPr>
                <w:rFonts w:ascii="Plus Jakarta Sans" w:cs="Plus Jakarta Sans" w:eastAsia="Plus Jakarta Sans" w:hAnsi="Plus Jakarta Sans"/>
                <w:b/>
                <w:bCs/>
                <w:color w:val="FFFFFF"/>
                <w:sz w:val="20"/>
                <w:szCs w:val="20"/>
              </w:rPr>
              <w:t xml:space="preserve">NDPA 2023 Article</w:t>
            </w:r>
          </w:p>
        </w:tc>
        <w:tc>
          <w:tcPr>
            <w:shd w:fill="0F172A" w:val="clear"/>
            <w:tcMar>
              <w:top w:type="dxa" w:w="140"/>
              <w:left w:type="dxa" w:w="160"/>
              <w:bottom w:type="dxa" w:w="140"/>
              <w:right w:type="dxa" w:w="160"/>
            </w:tcMar>
          </w:tcPr>
          <w:p>
            <w:r>
              <w:rPr>
                <w:rFonts w:ascii="Plus Jakarta Sans" w:cs="Plus Jakarta Sans" w:eastAsia="Plus Jakarta Sans" w:hAnsi="Plus Jakarta Sans"/>
                <w:b/>
                <w:bCs/>
                <w:color w:val="FFFFFF"/>
                <w:sz w:val="20"/>
                <w:szCs w:val="20"/>
              </w:rPr>
              <w:t xml:space="preserve">Legal Requirement</w:t>
            </w:r>
          </w:p>
        </w:tc>
        <w:tc>
          <w:tcPr>
            <w:shd w:fill="0F172A" w:val="clear"/>
            <w:tcMar>
              <w:top w:type="dxa" w:w="140"/>
              <w:left w:type="dxa" w:w="160"/>
              <w:bottom w:type="dxa" w:w="140"/>
              <w:right w:type="dxa" w:w="160"/>
            </w:tcMar>
          </w:tcPr>
          <w:p>
            <w:r>
              <w:rPr>
                <w:rFonts w:ascii="Plus Jakarta Sans" w:cs="Plus Jakarta Sans" w:eastAsia="Plus Jakarta Sans" w:hAnsi="Plus Jakarta Sans"/>
                <w:b/>
                <w:bCs/>
                <w:color w:val="FFFFFF"/>
                <w:sz w:val="20"/>
                <w:szCs w:val="20"/>
              </w:rPr>
              <w:t xml:space="preserve">System Implementation Mechanism</w:t>
            </w:r>
          </w:p>
        </w:tc>
      </w:tr>
      <w:tr>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Section 24(1)(a)</w:t>
            </w:r>
          </w:p>
        </w:tc>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Fairness &amp; Transparency</w:t>
            </w:r>
          </w:p>
        </w:tc>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Interactive Privacy Notice displayed prior to data collection detailing controller identity and purpose.</w:t>
            </w:r>
          </w:p>
        </w:tc>
      </w:tr>
      <w:tr>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Section 25(1)(a)</w:t>
            </w:r>
          </w:p>
        </w:tc>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Explicit Consent</w:t>
            </w:r>
          </w:p>
        </w:tc>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Active checkbox consent required before badge creation; cryptographic timestamp recorded.</w:t>
            </w:r>
          </w:p>
        </w:tc>
      </w:tr>
      <w:tr>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Section 25(1)(d)</w:t>
            </w:r>
          </w:p>
        </w:tc>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Vital Interests</w:t>
            </w:r>
          </w:p>
        </w:tc>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Emergency muster headcount justified under life-safety during building evacuation drills.</w:t>
            </w:r>
          </w:p>
        </w:tc>
      </w:tr>
      <w:tr>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Section 30(1)-(2)</w:t>
            </w:r>
          </w:p>
        </w:tc>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Sensitive Biometrics</w:t>
            </w:r>
          </w:p>
        </w:tc>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Voluntary photo capture studio with a prominent "Skip Photo" button. Zero penalty or access refusal for declining.</w:t>
            </w:r>
          </w:p>
        </w:tc>
      </w:tr>
      <w:tr>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Section 24(1)(c)</w:t>
            </w:r>
          </w:p>
        </w:tc>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Data Minimization</w:t>
            </w:r>
          </w:p>
        </w:tc>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Government ID numbers automatically masked (e.g. •••• 9102); lobby privacy masking prevents shoulder surfing.</w:t>
            </w:r>
          </w:p>
        </w:tc>
      </w:tr>
      <w:tr>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Section 24(1)(d)</w:t>
            </w:r>
          </w:p>
        </w:tc>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Storage Limitation</w:t>
            </w:r>
          </w:p>
        </w:tc>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Strict 60-day retention calendar with automated compliance flags and 1-click irreversible cryptographic purge.</w:t>
            </w:r>
          </w:p>
        </w:tc>
      </w:tr>
      <w:tr>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Section 34 &amp; 37</w:t>
            </w:r>
          </w:p>
        </w:tc>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Data Subject Rights</w:t>
            </w:r>
          </w:p>
        </w:tc>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1-Click certified DSAR Dossier generation and instant Right-to-Erasure (anonymization) execution.</w:t>
            </w:r>
          </w:p>
        </w:tc>
      </w:tr>
      <w:tr>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Section 39</w:t>
            </w:r>
          </w:p>
        </w:tc>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Security of Processing</w:t>
            </w:r>
          </w:p>
        </w:tc>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Role-Based Access Control (RBAC), password authentication, and tamper-evident audit logs.</w:t>
            </w:r>
          </w:p>
        </w:tc>
      </w:tr>
    </w:tbl>
    <w:p>
      <w:pPr>
        <w:pStyle w:val="Heading1"/>
        <w:spacing w:after="140" w:before="350"/>
      </w:pPr>
      <w:r>
        <w:t xml:space="preserve">4. User Personas &amp; Role-Based Access Matrix</w:t>
      </w:r>
    </w:p>
    <w:p>
      <w:pPr>
        <w:spacing w:after="120" w:before="60" w:line="276"/>
      </w:pPr>
      <w:r>
        <w:rPr>
          <w:rFonts w:ascii="Plus Jakarta Sans" w:cs="Plus Jakarta Sans" w:eastAsia="Plus Jakarta Sans" w:hAnsi="Plus Jakarta Sans"/>
          <w:color w:val="1E293B"/>
          <w:sz w:val="22"/>
          <w:szCs w:val="22"/>
        </w:rPr>
        <w:t xml:space="preserve">The platform defines three distinct operating roles with granular access boundaries:</w:t>
      </w:r>
    </w:p>
    <w:tbl>
      <w:tblPr>
        <w:tblW w:type="pct" w:w="5000"/>
        <w:tblBorders>
          <w:top w:val="single" w:color="CBD5E1" w:sz="4"/>
          <w:left w:val="none"/>
          <w:bottom w:val="single" w:color="CBD5E1" w:sz="4"/>
          <w:right w:val="none"/>
          <w:insideH w:val="single" w:color="E2E8F0" w:sz="2"/>
          <w:insideV w:val="none"/>
        </w:tblBorders>
      </w:tblPr>
      <w:tblGrid>
        <w:gridCol w:w="2257"/>
        <w:gridCol w:w="2257"/>
        <w:gridCol w:w="2257"/>
        <w:gridCol w:w="2257"/>
      </w:tblGrid>
      <w:tr>
        <w:trPr>
          <w:tblHeader/>
        </w:trPr>
        <w:tc>
          <w:tcPr>
            <w:shd w:fill="0F172A" w:val="clear"/>
            <w:tcMar>
              <w:top w:type="dxa" w:w="140"/>
              <w:left w:type="dxa" w:w="160"/>
              <w:bottom w:type="dxa" w:w="140"/>
              <w:right w:type="dxa" w:w="160"/>
            </w:tcMar>
          </w:tcPr>
          <w:p>
            <w:r>
              <w:rPr>
                <w:rFonts w:ascii="Plus Jakarta Sans" w:cs="Plus Jakarta Sans" w:eastAsia="Plus Jakarta Sans" w:hAnsi="Plus Jakarta Sans"/>
                <w:b/>
                <w:bCs/>
                <w:color w:val="FFFFFF"/>
                <w:sz w:val="20"/>
                <w:szCs w:val="20"/>
              </w:rPr>
              <w:t xml:space="preserve">Feature / Module</w:t>
            </w:r>
          </w:p>
        </w:tc>
        <w:tc>
          <w:tcPr>
            <w:shd w:fill="0F172A" w:val="clear"/>
            <w:tcMar>
              <w:top w:type="dxa" w:w="140"/>
              <w:left w:type="dxa" w:w="160"/>
              <w:bottom w:type="dxa" w:w="140"/>
              <w:right w:type="dxa" w:w="160"/>
            </w:tcMar>
          </w:tcPr>
          <w:p>
            <w:r>
              <w:rPr>
                <w:rFonts w:ascii="Plus Jakarta Sans" w:cs="Plus Jakarta Sans" w:eastAsia="Plus Jakarta Sans" w:hAnsi="Plus Jakarta Sans"/>
                <w:b/>
                <w:bCs/>
                <w:color w:val="FFFFFF"/>
                <w:sz w:val="20"/>
                <w:szCs w:val="20"/>
              </w:rPr>
              <w:t xml:space="preserve">Public Visitor (Unauth)</w:t>
            </w:r>
          </w:p>
        </w:tc>
        <w:tc>
          <w:tcPr>
            <w:shd w:fill="0F172A" w:val="clear"/>
            <w:tcMar>
              <w:top w:type="dxa" w:w="140"/>
              <w:left w:type="dxa" w:w="160"/>
              <w:bottom w:type="dxa" w:w="140"/>
              <w:right w:type="dxa" w:w="160"/>
            </w:tcMar>
          </w:tcPr>
          <w:p>
            <w:r>
              <w:rPr>
                <w:rFonts w:ascii="Plus Jakarta Sans" w:cs="Plus Jakarta Sans" w:eastAsia="Plus Jakarta Sans" w:hAnsi="Plus Jakarta Sans"/>
                <w:b/>
                <w:bCs/>
                <w:color w:val="FFFFFF"/>
                <w:sz w:val="20"/>
                <w:szCs w:val="20"/>
              </w:rPr>
              <w:t xml:space="preserve">Staff Member (Role: Staff)</w:t>
            </w:r>
          </w:p>
        </w:tc>
        <w:tc>
          <w:tcPr>
            <w:shd w:fill="0F172A" w:val="clear"/>
            <w:tcMar>
              <w:top w:type="dxa" w:w="140"/>
              <w:left w:type="dxa" w:w="160"/>
              <w:bottom w:type="dxa" w:w="140"/>
              <w:right w:type="dxa" w:w="160"/>
            </w:tcMar>
          </w:tcPr>
          <w:p>
            <w:r>
              <w:rPr>
                <w:rFonts w:ascii="Plus Jakarta Sans" w:cs="Plus Jakarta Sans" w:eastAsia="Plus Jakarta Sans" w:hAnsi="Plus Jakarta Sans"/>
                <w:b/>
                <w:bCs/>
                <w:color w:val="FFFFFF"/>
                <w:sz w:val="20"/>
                <w:szCs w:val="20"/>
              </w:rPr>
              <w:t xml:space="preserve">Administrator (Role: Admin)</w:t>
            </w:r>
          </w:p>
        </w:tc>
      </w:tr>
      <w:tr>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Self-Service Kiosk Check-In</w:t>
            </w:r>
          </w:p>
        </w:tc>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ALLOWED</w:t>
            </w:r>
          </w:p>
        </w:tc>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ALLOWED</w:t>
            </w:r>
          </w:p>
        </w:tc>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ALLOWED</w:t>
            </w:r>
          </w:p>
        </w:tc>
      </w:tr>
      <w:tr>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Touchless Mobile Check-In</w:t>
            </w:r>
          </w:p>
        </w:tc>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ALLOWED</w:t>
            </w:r>
          </w:p>
        </w:tc>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ALLOWED</w:t>
            </w:r>
          </w:p>
        </w:tc>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ALLOWED</w:t>
            </w:r>
          </w:p>
        </w:tc>
      </w:tr>
      <w:tr>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Reception QR Standee Preview</w:t>
            </w:r>
          </w:p>
        </w:tc>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ALLOWED</w:t>
            </w:r>
          </w:p>
        </w:tc>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ALLOWED</w:t>
            </w:r>
          </w:p>
        </w:tc>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ALLOWED</w:t>
            </w:r>
          </w:p>
        </w:tc>
      </w:tr>
      <w:tr>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Guest Invitations Portal</w:t>
            </w:r>
          </w:p>
        </w:tc>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DENIED (Requires Login)</w:t>
            </w:r>
          </w:p>
        </w:tc>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FULL ACCESS (Invite guests in advance)</w:t>
            </w:r>
          </w:p>
        </w:tc>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FULL ACCESS</w:t>
            </w:r>
          </w:p>
        </w:tc>
      </w:tr>
      <w:tr>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Live Access Logs &amp; Check-Out</w:t>
            </w:r>
          </w:p>
        </w:tc>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DENIED</w:t>
            </w:r>
          </w:p>
        </w:tc>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BLOCKED (Role Guard Enforced)</w:t>
            </w:r>
          </w:p>
        </w:tc>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FULL ACCESS (View, filter, checkout, print)</w:t>
            </w:r>
          </w:p>
        </w:tc>
      </w:tr>
      <w:tr>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NDPA Compliance &amp; DSAR Desk</w:t>
            </w:r>
          </w:p>
        </w:tc>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DENIED</w:t>
            </w:r>
          </w:p>
        </w:tc>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BLOCKED (Role Guard Enforced)</w:t>
            </w:r>
          </w:p>
        </w:tc>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FULL ACCESS (Exports, audit, erasure)</w:t>
            </w:r>
          </w:p>
        </w:tc>
      </w:tr>
      <w:tr>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Emergency Evacuation Muster</w:t>
            </w:r>
          </w:p>
        </w:tc>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DENIED</w:t>
            </w:r>
          </w:p>
        </w:tc>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BLOCKED (Role Guard Enforced)</w:t>
            </w:r>
          </w:p>
        </w:tc>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FULL ACCESS (Muster roll-call &amp; print)</w:t>
            </w:r>
          </w:p>
        </w:tc>
      </w:tr>
      <w:tr>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User Profile Management (RBAC)</w:t>
            </w:r>
          </w:p>
        </w:tc>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DENIED</w:t>
            </w:r>
          </w:p>
        </w:tc>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BLOCKED (Role Guard Enforced)</w:t>
            </w:r>
          </w:p>
        </w:tc>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FULL ACCESS (Create, edit, delete users)</w:t>
            </w:r>
          </w:p>
        </w:tc>
      </w:tr>
    </w:tbl>
    <w:p>
      <w:pPr>
        <w:pStyle w:val="Heading1"/>
        <w:spacing w:after="140" w:before="350"/>
      </w:pPr>
      <w:r>
        <w:t xml:space="preserve">5. Comprehensive Functional Requirements (FR)</w:t>
      </w:r>
    </w:p>
    <w:p>
      <w:pPr>
        <w:pStyle w:val="Heading2"/>
        <w:spacing w:after="100" w:before="200"/>
      </w:pPr>
      <w:r>
        <w:t xml:space="preserve">FR-1: Reception Self-Service Kiosk</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Flow Modalities: </w:t>
      </w:r>
      <w:r>
        <w:rPr>
          <w:rFonts w:ascii="Plus Jakarta Sans" w:cs="Plus Jakarta Sans" w:eastAsia="Plus Jakarta Sans" w:hAnsi="Plus Jakarta Sans"/>
          <w:color w:val="334155"/>
          <w:sz w:val="21"/>
          <w:szCs w:val="21"/>
        </w:rPr>
        <w:t xml:space="preserve">Support walk-in guest registration and express redemption of pre-registered invitation codes (e.g. INV-7821).</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Fields Captured: </w:t>
      </w:r>
      <w:r>
        <w:rPr>
          <w:rFonts w:ascii="Plus Jakarta Sans" w:cs="Plus Jakarta Sans" w:eastAsia="Plus Jakarta Sans" w:hAnsi="Plus Jakarta Sans"/>
          <w:color w:val="334155"/>
          <w:sz w:val="21"/>
          <w:szCs w:val="21"/>
        </w:rPr>
        <w:t xml:space="preserve">Captures Full Legal Name, official email, phone number (+234 format), company, vehicle plate, ID type, and emergency next-of-kin.</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Host Selection: </w:t>
      </w:r>
      <w:r>
        <w:rPr>
          <w:rFonts w:ascii="Plus Jakarta Sans" w:cs="Plus Jakarta Sans" w:eastAsia="Plus Jakarta Sans" w:hAnsi="Plus Jakarta Sans"/>
          <w:color w:val="334155"/>
          <w:sz w:val="21"/>
          <w:szCs w:val="21"/>
        </w:rPr>
        <w:t xml:space="preserve">Searchable corporate employee directory with real-time department and floor destination routing.</w:t>
      </w:r>
    </w:p>
    <w:p>
      <w:pPr>
        <w:pStyle w:val="Heading2"/>
        <w:spacing w:after="100" w:before="200"/>
      </w:pPr>
      <w:r>
        <w:t xml:space="preserve">FR-2: Touchless Mobile Check-In via Reception QR Standee</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Standee Generation: </w:t>
      </w:r>
      <w:r>
        <w:rPr>
          <w:rFonts w:ascii="Plus Jakarta Sans" w:cs="Plus Jakarta Sans" w:eastAsia="Plus Jakarta Sans" w:hAnsi="Plus Jakarta Sans"/>
          <w:color w:val="334155"/>
          <w:sz w:val="21"/>
          <w:szCs w:val="21"/>
        </w:rPr>
        <w:t xml:space="preserve">Front desk poster modal generating a dynamic QR code pointing to the public preview URL (bypassing Google login).</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Touch Ergonomics: </w:t>
      </w:r>
      <w:r>
        <w:rPr>
          <w:rFonts w:ascii="Plus Jakarta Sans" w:cs="Plus Jakarta Sans" w:eastAsia="Plus Jakarta Sans" w:hAnsi="Plus Jakarta Sans"/>
          <w:color w:val="334155"/>
          <w:sz w:val="21"/>
          <w:szCs w:val="21"/>
        </w:rPr>
        <w:t xml:space="preserve">Mobile-first responsive layout (375px–430px) optimized for one-handed thumb interaction with 48px hitboxes.</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Digital Wallet Pass: </w:t>
      </w:r>
      <w:r>
        <w:rPr>
          <w:rFonts w:ascii="Plus Jakarta Sans" w:cs="Plus Jakarta Sans" w:eastAsia="Plus Jakarta Sans" w:hAnsi="Plus Jakarta Sans"/>
          <w:color w:val="334155"/>
          <w:sz w:val="21"/>
          <w:szCs w:val="21"/>
        </w:rPr>
        <w:t xml:space="preserve">Renders an Apple/Google Wallet-style digital pass with live turnstile QR token, Wi-Fi code, and host floor directions.</w:t>
      </w:r>
    </w:p>
    <w:p>
      <w:pPr>
        <w:pStyle w:val="Heading2"/>
        <w:spacing w:after="100" w:before="200"/>
      </w:pPr>
      <w:r>
        <w:t xml:space="preserve">FR-3: Biometric Visual Studio &amp; Section 30 Opt-Out</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Camera Studio: </w:t>
      </w:r>
      <w:r>
        <w:rPr>
          <w:rFonts w:ascii="Plus Jakarta Sans" w:cs="Plus Jakarta Sans" w:eastAsia="Plus Jakarta Sans" w:hAnsi="Plus Jakarta Sans"/>
          <w:color w:val="334155"/>
          <w:sz w:val="21"/>
          <w:szCs w:val="21"/>
        </w:rPr>
        <w:t xml:space="preserve">HTML5 video stream with facingMode: "user" for live badge portrait capture, retake, or image upload.</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Voluntary Opt-Out: </w:t>
      </w:r>
      <w:r>
        <w:rPr>
          <w:rFonts w:ascii="Plus Jakarta Sans" w:cs="Plus Jakarta Sans" w:eastAsia="Plus Jakarta Sans" w:hAnsi="Plus Jakarta Sans"/>
          <w:color w:val="334155"/>
          <w:sz w:val="21"/>
          <w:szCs w:val="21"/>
        </w:rPr>
        <w:t xml:space="preserve">Prominent button allowing visitors to decline photographic capture without delay or penalty per NDPA Sec 30.</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Pass Integrity: </w:t>
      </w:r>
      <w:r>
        <w:rPr>
          <w:rFonts w:ascii="Plus Jakarta Sans" w:cs="Plus Jakarta Sans" w:eastAsia="Plus Jakarta Sans" w:hAnsi="Plus Jakarta Sans"/>
          <w:color w:val="334155"/>
          <w:sz w:val="21"/>
          <w:szCs w:val="21"/>
        </w:rPr>
        <w:t xml:space="preserve">Visitors who opt out receive an official security pass displaying "NDPA SEC 30 OPT-OUT" with an authorized security silhouette.</w:t>
      </w:r>
    </w:p>
    <w:p>
      <w:pPr>
        <w:pStyle w:val="Heading2"/>
        <w:spacing w:after="100" w:before="200"/>
      </w:pPr>
      <w:r>
        <w:t xml:space="preserve">FR-4: Enterprise Badge Issuance &amp; Thermal Printing</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Card Layout: </w:t>
      </w:r>
      <w:r>
        <w:rPr>
          <w:rFonts w:ascii="Plus Jakarta Sans" w:cs="Plus Jakarta Sans" w:eastAsia="Plus Jakarta Sans" w:hAnsi="Plus Jakarta Sans"/>
          <w:color w:val="334155"/>
          <w:sz w:val="21"/>
          <w:szCs w:val="21"/>
        </w:rPr>
        <w:t xml:space="preserve">Standards-compliant badge format with corporate header, clearance ribbon, photo/avatar, host details, and validity window.</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Scannable Token: </w:t>
      </w:r>
      <w:r>
        <w:rPr>
          <w:rFonts w:ascii="Plus Jakarta Sans" w:cs="Plus Jakarta Sans" w:eastAsia="Plus Jakarta Sans" w:hAnsi="Plus Jakarta Sans"/>
          <w:color w:val="334155"/>
          <w:sz w:val="21"/>
          <w:szCs w:val="21"/>
        </w:rPr>
        <w:t xml:space="preserve">Dynamic cryptographic QR token encoded with visitor pass code, timestamp, and clearance level.</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Direct Printing: </w:t>
      </w:r>
      <w:r>
        <w:rPr>
          <w:rFonts w:ascii="Plus Jakarta Sans" w:cs="Plus Jakarta Sans" w:eastAsia="Plus Jakarta Sans" w:hAnsi="Plus Jakarta Sans"/>
          <w:color w:val="334155"/>
          <w:sz w:val="21"/>
          <w:szCs w:val="21"/>
        </w:rPr>
        <w:t xml:space="preserve">@media print styling optimized for direct Avery label sheets or direct thermal ID badge printers.</w:t>
      </w:r>
    </w:p>
    <w:p>
      <w:pPr>
        <w:pStyle w:val="Heading2"/>
        <w:spacing w:after="100" w:before="200"/>
      </w:pPr>
      <w:r>
        <w:t xml:space="preserve">FR-5: Email &amp; SMS Notification Bridge</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Host Arrival Alert: </w:t>
      </w:r>
      <w:r>
        <w:rPr>
          <w:rFonts w:ascii="Plus Jakarta Sans" w:cs="Plus Jakarta Sans" w:eastAsia="Plus Jakarta Sans" w:hAnsi="Plus Jakarta Sans"/>
          <w:color w:val="334155"/>
          <w:sz w:val="21"/>
          <w:szCs w:val="21"/>
        </w:rPr>
        <w:t xml:space="preserve">Immediate simulated email dispatch notifying host staff upon visitor check-in at reception.</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Guest Invitations: </w:t>
      </w:r>
      <w:r>
        <w:rPr>
          <w:rFonts w:ascii="Plus Jakarta Sans" w:cs="Plus Jakarta Sans" w:eastAsia="Plus Jakarta Sans" w:hAnsi="Plus Jakarta Sans"/>
          <w:color w:val="334155"/>
          <w:sz w:val="21"/>
          <w:szCs w:val="21"/>
        </w:rPr>
        <w:t xml:space="preserve">Rich transactional invitation emails containing scheduled date/time, VIP parking allocation, and check-in QR code.</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Delivery Inspector: </w:t>
      </w:r>
      <w:r>
        <w:rPr>
          <w:rFonts w:ascii="Plus Jakarta Sans" w:cs="Plus Jakarta Sans" w:eastAsia="Plus Jakarta Sans" w:hAnsi="Plus Jakarta Sans"/>
          <w:color w:val="334155"/>
          <w:sz w:val="21"/>
          <w:szCs w:val="21"/>
        </w:rPr>
        <w:t xml:space="preserve">Interactive inspection drawer allowing administrators to review delivered emails and trigger verification test alerts.</w:t>
      </w:r>
    </w:p>
    <w:p>
      <w:pPr>
        <w:pStyle w:val="Heading2"/>
        <w:spacing w:after="100" w:before="200"/>
      </w:pPr>
      <w:r>
        <w:t xml:space="preserve">FR-6: Pre-Registration &amp; Scheduled Invitations</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Invitation Hub: </w:t>
      </w:r>
      <w:r>
        <w:rPr>
          <w:rFonts w:ascii="Plus Jakarta Sans" w:cs="Plus Jakarta Sans" w:eastAsia="Plus Jakarta Sans" w:hAnsi="Plus Jakarta Sans"/>
          <w:color w:val="334155"/>
          <w:sz w:val="21"/>
          <w:szCs w:val="21"/>
        </w:rPr>
        <w:t xml:space="preserve">Staff and administrators can issue advance guest invitations with custom security notes and VIP parking reservations.</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Pass Generation: </w:t>
      </w:r>
      <w:r>
        <w:rPr>
          <w:rFonts w:ascii="Plus Jakarta Sans" w:cs="Plus Jakarta Sans" w:eastAsia="Plus Jakarta Sans" w:hAnsi="Plus Jakarta Sans"/>
          <w:color w:val="334155"/>
          <w:sz w:val="21"/>
          <w:szCs w:val="21"/>
        </w:rPr>
        <w:t xml:space="preserve">Unique invitation pass code (e.g. INV-8840) generated with 1-click clipboard copy and modal QR preview.</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Express Redemption: </w:t>
      </w:r>
      <w:r>
        <w:rPr>
          <w:rFonts w:ascii="Plus Jakarta Sans" w:cs="Plus Jakarta Sans" w:eastAsia="Plus Jakarta Sans" w:hAnsi="Plus Jakarta Sans"/>
          <w:color w:val="334155"/>
          <w:sz w:val="21"/>
          <w:szCs w:val="21"/>
        </w:rPr>
        <w:t xml:space="preserve">Guests arriving with an invite code redeem it in under 10 seconds with pre-populated credentials.</w:t>
      </w:r>
    </w:p>
    <w:p>
      <w:pPr>
        <w:pStyle w:val="Heading2"/>
        <w:spacing w:after="100" w:before="200"/>
      </w:pPr>
      <w:r>
        <w:t xml:space="preserve">FR-7: Real-Time Access Logs &amp; Lobby Privacy Mode</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Telemetry Grid: </w:t>
      </w:r>
      <w:r>
        <w:rPr>
          <w:rFonts w:ascii="Plus Jakarta Sans" w:cs="Plus Jakarta Sans" w:eastAsia="Plus Jakarta Sans" w:hAnsi="Plus Jakarta Sans"/>
          <w:color w:val="334155"/>
          <w:sz w:val="21"/>
          <w:szCs w:val="21"/>
        </w:rPr>
        <w:t xml:space="preserve">Tabular data grid displaying all active on-premises, expected, and checked-out visitors.</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PII Masking: </w:t>
      </w:r>
      <w:r>
        <w:rPr>
          <w:rFonts w:ascii="Plus Jakarta Sans" w:cs="Plus Jakarta Sans" w:eastAsia="Plus Jakarta Sans" w:hAnsi="Plus Jakarta Sans"/>
          <w:color w:val="334155"/>
          <w:sz w:val="21"/>
          <w:szCs w:val="21"/>
        </w:rPr>
        <w:t xml:space="preserve">1-Click toggle masking visitor phone numbers and email addresses on reception screens to prevent lobby shoulder-surfing (NDPA Sec 24(1)(c)).</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Access Revocation: </w:t>
      </w:r>
      <w:r>
        <w:rPr>
          <w:rFonts w:ascii="Plus Jakarta Sans" w:cs="Plus Jakarta Sans" w:eastAsia="Plus Jakarta Sans" w:hAnsi="Plus Jakarta Sans"/>
          <w:color w:val="334155"/>
          <w:sz w:val="21"/>
          <w:szCs w:val="21"/>
        </w:rPr>
        <w:t xml:space="preserve">One-click checkout recording timestamp and terminating physical access authorization.</w:t>
      </w:r>
    </w:p>
    <w:p>
      <w:pPr>
        <w:pStyle w:val="Heading2"/>
        <w:spacing w:after="100" w:before="200"/>
      </w:pPr>
      <w:r>
        <w:t xml:space="preserve">FR-8: Emergency Evacuation &amp; Muster Roll-Call</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Real-Time Manifest: </w:t>
      </w:r>
      <w:r>
        <w:rPr>
          <w:rFonts w:ascii="Plus Jakarta Sans" w:cs="Plus Jakarta Sans" w:eastAsia="Plus Jakarta Sans" w:hAnsi="Plus Jakarta Sans"/>
          <w:color w:val="334155"/>
          <w:sz w:val="21"/>
          <w:szCs w:val="21"/>
        </w:rPr>
        <w:t xml:space="preserve">Live headcount manifest of every visitor currently verified inside the building, grouped by floor and department.</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Marshal Checklists: </w:t>
      </w:r>
      <w:r>
        <w:rPr>
          <w:rFonts w:ascii="Plus Jakarta Sans" w:cs="Plus Jakarta Sans" w:eastAsia="Plus Jakarta Sans" w:hAnsi="Plus Jakarta Sans"/>
          <w:color w:val="334155"/>
          <w:sz w:val="21"/>
          <w:szCs w:val="21"/>
        </w:rPr>
        <w:t xml:space="preserve">Interactive check-off checkboxes for building fire marshals conducting safety roll-calls at Muster Points A &amp; B.</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Printable Manifest: </w:t>
      </w:r>
      <w:r>
        <w:rPr>
          <w:rFonts w:ascii="Plus Jakarta Sans" w:cs="Plus Jakarta Sans" w:eastAsia="Plus Jakarta Sans" w:hAnsi="Plus Jakarta Sans"/>
          <w:color w:val="334155"/>
          <w:sz w:val="21"/>
          <w:szCs w:val="21"/>
        </w:rPr>
        <w:t xml:space="preserve">1-Click printable evacuation muster sheet formatted for emergency clipboards.</w:t>
      </w:r>
    </w:p>
    <w:p>
      <w:pPr>
        <w:pStyle w:val="Heading2"/>
        <w:spacing w:after="100" w:before="200"/>
      </w:pPr>
      <w:r>
        <w:t xml:space="preserve">FR-9: NDPA Compliance Hub, Retention Daemon &amp; DSAR Desk</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Compliance KPIs: </w:t>
      </w:r>
      <w:r>
        <w:rPr>
          <w:rFonts w:ascii="Plus Jakarta Sans" w:cs="Plus Jakarta Sans" w:eastAsia="Plus Jakarta Sans" w:hAnsi="Plus Jakarta Sans"/>
          <w:color w:val="334155"/>
          <w:sz w:val="21"/>
          <w:szCs w:val="21"/>
        </w:rPr>
        <w:t xml:space="preserve">Real-time analytics tracking general consent rates, biometric opt-in vs. opt-out distributions, and retention status.</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Retention Daemon: </w:t>
      </w:r>
      <w:r>
        <w:rPr>
          <w:rFonts w:ascii="Plus Jakarta Sans" w:cs="Plus Jakarta Sans" w:eastAsia="Plus Jakarta Sans" w:hAnsi="Plus Jakarta Sans"/>
          <w:color w:val="334155"/>
          <w:sz w:val="21"/>
          <w:szCs w:val="21"/>
        </w:rPr>
        <w:t xml:space="preserve">Automated tracking of 60-day storage lifecycle with a 1-click purge tool permanently anonymizing expired records.</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DSAR Workbench: </w:t>
      </w:r>
      <w:r>
        <w:rPr>
          <w:rFonts w:ascii="Plus Jakarta Sans" w:cs="Plus Jakarta Sans" w:eastAsia="Plus Jakarta Sans" w:hAnsi="Plus Jakarta Sans"/>
          <w:color w:val="334155"/>
          <w:sz w:val="21"/>
          <w:szCs w:val="21"/>
        </w:rPr>
        <w:t xml:space="preserve">Searchable Data Subject Access Request (DSAR) desk to export certified Section 34 dossiers or execute Section 37 Right-to-Erasure.</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NDPC Audit Report: </w:t>
      </w:r>
      <w:r>
        <w:rPr>
          <w:rFonts w:ascii="Plus Jakarta Sans" w:cs="Plus Jakarta Sans" w:eastAsia="Plus Jakarta Sans" w:hAnsi="Plus Jakarta Sans"/>
          <w:color w:val="334155"/>
          <w:sz w:val="21"/>
          <w:szCs w:val="21"/>
        </w:rPr>
        <w:t xml:space="preserve">Downloadable formal compliance audit summary report formatted for submission to the Nigeria Data Protection Commission (NDPC).</w:t>
      </w:r>
    </w:p>
    <w:p>
      <w:pPr>
        <w:pStyle w:val="Heading2"/>
        <w:spacing w:after="100" w:before="200"/>
      </w:pPr>
      <w:r>
        <w:t xml:space="preserve">FR-10: Enterprise Authentication &amp; User Profile Management</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Authentication Gate: </w:t>
      </w:r>
      <w:r>
        <w:rPr>
          <w:rFonts w:ascii="Plus Jakarta Sans" w:cs="Plus Jakarta Sans" w:eastAsia="Plus Jakarta Sans" w:hAnsi="Plus Jakarta Sans"/>
          <w:color w:val="334155"/>
          <w:sz w:val="21"/>
          <w:szCs w:val="21"/>
        </w:rPr>
        <w:t xml:space="preserve">Dedicated login page with role-based routing and pre-seeded enterprise accounts (Admin &amp; Staff).</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User Administration: </w:t>
      </w:r>
      <w:r>
        <w:rPr>
          <w:rFonts w:ascii="Plus Jakarta Sans" w:cs="Plus Jakarta Sans" w:eastAsia="Plus Jakarta Sans" w:hAnsi="Plus Jakarta Sans"/>
          <w:color w:val="334155"/>
          <w:sz w:val="21"/>
          <w:szCs w:val="21"/>
        </w:rPr>
        <w:t xml:space="preserve">Admin portal to create, update, or delete user accounts, assign roles, and manage active/suspended states.</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Immutable Audit Trail: </w:t>
      </w:r>
      <w:r>
        <w:rPr>
          <w:rFonts w:ascii="Plus Jakarta Sans" w:cs="Plus Jakarta Sans" w:eastAsia="Plus Jakarta Sans" w:hAnsi="Plus Jakarta Sans"/>
          <w:color w:val="334155"/>
          <w:sz w:val="21"/>
          <w:szCs w:val="21"/>
        </w:rPr>
        <w:t xml:space="preserve">Tamper-evident chronological log of all access events, user creations, deletions, logins, and logouts under NDPA Sec 39.</w:t>
      </w:r>
    </w:p>
    <w:p>
      <w:pPr>
        <w:pStyle w:val="Heading1"/>
        <w:spacing w:after="140" w:before="350"/>
      </w:pPr>
      <w:r>
        <w:t xml:space="preserve">6. Technical Architecture &amp; Data Schema</w:t>
      </w:r>
    </w:p>
    <w:p>
      <w:pPr>
        <w:spacing w:after="120" w:before="60" w:line="276"/>
      </w:pPr>
      <w:r>
        <w:rPr>
          <w:rFonts w:ascii="Plus Jakarta Sans" w:cs="Plus Jakarta Sans" w:eastAsia="Plus Jakarta Sans" w:hAnsi="Plus Jakarta Sans"/>
          <w:color w:val="1E293B"/>
          <w:sz w:val="22"/>
          <w:szCs w:val="22"/>
        </w:rPr>
        <w:t xml:space="preserve">The software architecture utilizes a secure, zero-dependency client-authoritative state model:</w:t>
      </w:r>
    </w:p>
    <w:tbl>
      <w:tblPr>
        <w:tblW w:type="pct" w:w="5000"/>
        <w:tblBorders>
          <w:top w:val="single" w:color="CBD5E1" w:sz="4"/>
          <w:left w:val="none"/>
          <w:bottom w:val="single" w:color="CBD5E1" w:sz="4"/>
          <w:right w:val="none"/>
          <w:insideH w:val="single" w:color="E2E8F0" w:sz="2"/>
          <w:insideV w:val="none"/>
        </w:tblBorders>
      </w:tblPr>
      <w:tblGrid>
        <w:gridCol w:w="3009"/>
        <w:gridCol w:w="3009"/>
        <w:gridCol w:w="3009"/>
      </w:tblGrid>
      <w:tr>
        <w:trPr>
          <w:tblHeader/>
        </w:trPr>
        <w:tc>
          <w:tcPr>
            <w:shd w:fill="0F172A" w:val="clear"/>
            <w:tcMar>
              <w:top w:type="dxa" w:w="140"/>
              <w:left w:type="dxa" w:w="160"/>
              <w:bottom w:type="dxa" w:w="140"/>
              <w:right w:type="dxa" w:w="160"/>
            </w:tcMar>
          </w:tcPr>
          <w:p>
            <w:r>
              <w:rPr>
                <w:rFonts w:ascii="Plus Jakarta Sans" w:cs="Plus Jakarta Sans" w:eastAsia="Plus Jakarta Sans" w:hAnsi="Plus Jakarta Sans"/>
                <w:b/>
                <w:bCs/>
                <w:color w:val="FFFFFF"/>
                <w:sz w:val="20"/>
                <w:szCs w:val="20"/>
              </w:rPr>
              <w:t xml:space="preserve">Architectural Layer</w:t>
            </w:r>
          </w:p>
        </w:tc>
        <w:tc>
          <w:tcPr>
            <w:shd w:fill="0F172A" w:val="clear"/>
            <w:tcMar>
              <w:top w:type="dxa" w:w="140"/>
              <w:left w:type="dxa" w:w="160"/>
              <w:bottom w:type="dxa" w:w="140"/>
              <w:right w:type="dxa" w:w="160"/>
            </w:tcMar>
          </w:tcPr>
          <w:p>
            <w:r>
              <w:rPr>
                <w:rFonts w:ascii="Plus Jakarta Sans" w:cs="Plus Jakarta Sans" w:eastAsia="Plus Jakarta Sans" w:hAnsi="Plus Jakarta Sans"/>
                <w:b/>
                <w:bCs/>
                <w:color w:val="FFFFFF"/>
                <w:sz w:val="20"/>
                <w:szCs w:val="20"/>
              </w:rPr>
              <w:t xml:space="preserve">Technology Stack</w:t>
            </w:r>
          </w:p>
        </w:tc>
        <w:tc>
          <w:tcPr>
            <w:shd w:fill="0F172A" w:val="clear"/>
            <w:tcMar>
              <w:top w:type="dxa" w:w="140"/>
              <w:left w:type="dxa" w:w="160"/>
              <w:bottom w:type="dxa" w:w="140"/>
              <w:right w:type="dxa" w:w="160"/>
            </w:tcMar>
          </w:tcPr>
          <w:p>
            <w:r>
              <w:rPr>
                <w:rFonts w:ascii="Plus Jakarta Sans" w:cs="Plus Jakarta Sans" w:eastAsia="Plus Jakarta Sans" w:hAnsi="Plus Jakarta Sans"/>
                <w:b/>
                <w:bCs/>
                <w:color w:val="FFFFFF"/>
                <w:sz w:val="20"/>
                <w:szCs w:val="20"/>
              </w:rPr>
              <w:t xml:space="preserve">Design &amp; Security Role</w:t>
            </w:r>
          </w:p>
        </w:tc>
      </w:tr>
      <w:tr>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Frontend Framework</w:t>
            </w:r>
          </w:p>
        </w:tc>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React 19 (SPA) + Vite 8</w:t>
            </w:r>
          </w:p>
        </w:tc>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High-performance reactive rendering with zero-latency updates.</w:t>
            </w:r>
          </w:p>
        </w:tc>
      </w:tr>
      <w:tr>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Styling Engine</w:t>
            </w:r>
          </w:p>
        </w:tc>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Tailwind CSS v4 + @theme</w:t>
            </w:r>
          </w:p>
        </w:tc>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Domain-native SaaS dark slate theme with strict 60-30-10 color discipline.</w:t>
            </w:r>
          </w:p>
        </w:tc>
      </w:tr>
      <w:tr>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QR Engine</w:t>
            </w:r>
          </w:p>
        </w:tc>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qrcode npm package</w:t>
            </w:r>
          </w:p>
        </w:tc>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Dynamic client-side generation of cryptographic SVG/canvas tokens.</w:t>
            </w:r>
          </w:p>
        </w:tc>
      </w:tr>
      <w:tr>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Typography</w:t>
            </w:r>
          </w:p>
        </w:tc>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Plus Jakarta Sans + JetBrains Mono</w:t>
            </w:r>
          </w:p>
        </w:tc>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High legibility enterprise sans paired with tabular monospace numerals.</w:t>
            </w:r>
          </w:p>
        </w:tc>
      </w:tr>
      <w:tr>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State &amp; Persistence</w:t>
            </w:r>
          </w:p>
        </w:tc>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In-memory + Session Lifecycle</w:t>
            </w:r>
          </w:p>
        </w:tc>
        <w:tc>
          <w:tcPr>
            <w:shd w:fill="FFFFFF"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Cryptographically clean state handling with automated retention prune.</w:t>
            </w:r>
          </w:p>
        </w:tc>
      </w:tr>
      <w:tr>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Print Architecture</w:t>
            </w:r>
          </w:p>
        </w:tc>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@media print isolation</w:t>
            </w:r>
          </w:p>
        </w:tc>
        <w:tc>
          <w:tcPr>
            <w:shd w:fill="F8FAFC" w:val="clear"/>
            <w:tcMar>
              <w:top w:type="dxa" w:w="120"/>
              <w:left w:type="dxa" w:w="160"/>
              <w:bottom w:type="dxa" w:w="120"/>
              <w:right w:type="dxa" w:w="160"/>
            </w:tcMar>
          </w:tcPr>
          <w:p>
            <w:r>
              <w:rPr>
                <w:rFonts w:ascii="Plus Jakarta Sans" w:cs="Plus Jakarta Sans" w:eastAsia="Plus Jakarta Sans" w:hAnsi="Plus Jakarta Sans"/>
                <w:color w:val="334155"/>
                <w:sz w:val="20"/>
                <w:szCs w:val="20"/>
              </w:rPr>
              <w:t xml:space="preserve">Isolated badge and muster sheet printing targeting paper/label media.</w:t>
            </w:r>
          </w:p>
        </w:tc>
      </w:tr>
    </w:tbl>
    <w:p>
      <w:pPr>
        <w:pStyle w:val="Heading1"/>
        <w:spacing w:after="140" w:before="350"/>
      </w:pPr>
      <w:r>
        <w:t xml:space="preserve">7. Release Roadmap &amp; Acceptance Test Checklist</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Verification 1 (Consent): </w:t>
      </w:r>
      <w:r>
        <w:rPr>
          <w:rFonts w:ascii="Plus Jakarta Sans" w:cs="Plus Jakarta Sans" w:eastAsia="Plus Jakarta Sans" w:hAnsi="Plus Jakarta Sans"/>
          <w:color w:val="334155"/>
          <w:sz w:val="21"/>
          <w:szCs w:val="21"/>
        </w:rPr>
        <w:t xml:space="preserve">Verify that 100% of registrants acknowledge lawful NDPA Section 25 consent prior to pass issuance.</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Verification 2 (Biometrics): </w:t>
      </w:r>
      <w:r>
        <w:rPr>
          <w:rFonts w:ascii="Plus Jakarta Sans" w:cs="Plus Jakarta Sans" w:eastAsia="Plus Jakarta Sans" w:hAnsi="Plus Jakarta Sans"/>
          <w:color w:val="334155"/>
          <w:sz w:val="21"/>
          <w:szCs w:val="21"/>
        </w:rPr>
        <w:t xml:space="preserve">Confirm that choosing "Skip Photo" immediately completes registration without error or access refusal.</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Verification 3 (Public Mobile): </w:t>
      </w:r>
      <w:r>
        <w:rPr>
          <w:rFonts w:ascii="Plus Jakarta Sans" w:cs="Plus Jakarta Sans" w:eastAsia="Plus Jakarta Sans" w:hAnsi="Plus Jakarta Sans"/>
          <w:color w:val="334155"/>
          <w:sz w:val="21"/>
          <w:szCs w:val="21"/>
        </w:rPr>
        <w:t xml:space="preserve">Scan reception QR standee from smartphone and verify that the public preview loads without requiring a Google login.</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Verification 4 (RBAC): </w:t>
      </w:r>
      <w:r>
        <w:rPr>
          <w:rFonts w:ascii="Plus Jakarta Sans" w:cs="Plus Jakarta Sans" w:eastAsia="Plus Jakarta Sans" w:hAnsi="Plus Jakarta Sans"/>
          <w:color w:val="334155"/>
          <w:sz w:val="21"/>
          <w:szCs w:val="21"/>
        </w:rPr>
        <w:t xml:space="preserve">Log in as Staff and confirm that all administrative tabs (Access Logs, Compliance, Muster, Users) are strictly blocked with role guards.</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Verification 5 (User Admin): </w:t>
      </w:r>
      <w:r>
        <w:rPr>
          <w:rFonts w:ascii="Plus Jakarta Sans" w:cs="Plus Jakarta Sans" w:eastAsia="Plus Jakarta Sans" w:hAnsi="Plus Jakarta Sans"/>
          <w:color w:val="334155"/>
          <w:sz w:val="21"/>
          <w:szCs w:val="21"/>
        </w:rPr>
        <w:t xml:space="preserve">Log in as Administrator and verify full creation, update, and deletion of user profiles with audit logging.</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Verification 6 (DSAR): </w:t>
      </w:r>
      <w:r>
        <w:rPr>
          <w:rFonts w:ascii="Plus Jakarta Sans" w:cs="Plus Jakarta Sans" w:eastAsia="Plus Jakarta Sans" w:hAnsi="Plus Jakarta Sans"/>
          <w:color w:val="334155"/>
          <w:sz w:val="21"/>
          <w:szCs w:val="21"/>
        </w:rPr>
        <w:t xml:space="preserve">Execute Section 37 Right to Erasure on a visitor and verify that personal data is permanently replaced with redacted placeholders.</w:t>
      </w:r>
    </w:p>
    <w:p>
      <w:pPr>
        <w:pStyle w:val="ListParagraph"/>
        <w:numPr>
          <w:ilvl w:val="0"/>
          <w:numId w:val="1"/>
        </w:numPr>
        <w:spacing w:after="60" w:before="40" w:line="260"/>
      </w:pPr>
      <w:r>
        <w:rPr>
          <w:rFonts w:ascii="Plus Jakarta Sans" w:cs="Plus Jakarta Sans" w:eastAsia="Plus Jakarta Sans" w:hAnsi="Plus Jakarta Sans"/>
          <w:b/>
          <w:bCs/>
          <w:color w:val="0F172A"/>
          <w:sz w:val="21"/>
          <w:szCs w:val="21"/>
        </w:rPr>
        <w:t xml:space="preserve">Verification 7 (Printing): </w:t>
      </w:r>
      <w:r>
        <w:rPr>
          <w:rFonts w:ascii="Plus Jakarta Sans" w:cs="Plus Jakarta Sans" w:eastAsia="Plus Jakarta Sans" w:hAnsi="Plus Jakarta Sans"/>
          <w:color w:val="334155"/>
          <w:sz w:val="21"/>
          <w:szCs w:val="21"/>
        </w:rPr>
        <w:t xml:space="preserve">Click "Print Badge" and "Print Muster Sheet" and verify dedicated print media CSS rendering.</w:t>
      </w:r>
    </w:p>
    <w:p>
      <w:pPr>
        <w:spacing w:after="120" w:before="300"/>
      </w:pPr>
    </w:p>
    <w:tbl>
      <w:tblPr>
        <w:tblW w:type="pct" w:w="5000"/>
        <w:tblBorders>
          <w:top w:val="single" w:color="10B981" w:sz="6"/>
          <w:left w:val="single" w:color="059669" w:sz="24"/>
          <w:bottom w:val="single" w:color="10B981" w:sz="6"/>
          <w:right w:val="single" w:color="10B981" w:sz="6"/>
          <w:insideH w:val="single" w:color="auto" w:sz="4"/>
          <w:insideV w:val="single" w:color="auto" w:sz="4"/>
        </w:tblBorders>
      </w:tblPr>
      <w:tblGrid>
        <w:gridCol w:w="9026"/>
      </w:tblGrid>
      <w:tr>
        <w:tc>
          <w:tcPr>
            <w:shd w:fill="F0FDF4" w:val="clear"/>
            <w:tcMar>
              <w:top w:type="dxa" w:w="160"/>
              <w:left w:type="dxa" w:w="240"/>
              <w:bottom w:type="dxa" w:w="160"/>
              <w:right w:type="dxa" w:w="240"/>
            </w:tcMar>
          </w:tcPr>
          <w:p>
            <w:pPr>
              <w:spacing w:after="60"/>
            </w:pPr>
            <w:r>
              <w:rPr>
                <w:rFonts w:ascii="Plus Jakarta Sans" w:cs="Plus Jakarta Sans" w:eastAsia="Plus Jakarta Sans" w:hAnsi="Plus Jakarta Sans"/>
                <w:b/>
                <w:bCs/>
                <w:color w:val="065F46"/>
                <w:sz w:val="22"/>
                <w:szCs w:val="22"/>
              </w:rPr>
              <w:t xml:space="preserve">DOCUMENT SIGN-OFF &amp; CERTIFICATION</w:t>
            </w:r>
          </w:p>
          <w:p>
            <w:r>
              <w:rPr>
                <w:rFonts w:ascii="Plus Jakarta Sans" w:cs="Plus Jakarta Sans" w:eastAsia="Plus Jakarta Sans" w:hAnsi="Plus Jakarta Sans"/>
                <w:color w:val="166534"/>
                <w:sz w:val="20"/>
                <w:szCs w:val="20"/>
              </w:rPr>
              <w:t xml:space="preserve">This Product Requirement Document has been prepared and certified for SecurePass NDPA. It represents the binding technical and functional specification for enterprise deployments across commercial headquarters in Lagos and Abuja.</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lus Jakarta Sans" w:cs="Plus Jakarta Sans" w:eastAsia="Plus Jakarta Sans" w:hAnsi="Plus Jakarta Sans"/>
        <w:color w:val="94A3B8"/>
        <w:sz w:val="16"/>
        <w:szCs w:val="16"/>
      </w:rPr>
      <w:t xml:space="preserve">Nigeria Data Protection Act (NDPA 2023) Compliant  |  Page </w:t>
    </w:r>
    <w:r>
      <w:rPr>
        <w:rFonts w:ascii="Plus Jakarta Sans" w:cs="Plus Jakarta Sans" w:eastAsia="Plus Jakarta Sans" w:hAnsi="Plus Jakarta Sans"/>
        <w:color w:val="94A3B8"/>
        <w:sz w:val="16"/>
        <w:szCs w:val="16"/>
      </w:rPr>
      <w:fldChar w:fldCharType="begin"/>
    </w:r>
    <w:r>
      <w:rPr>
        <w:rFonts w:ascii="Plus Jakarta Sans" w:cs="Plus Jakarta Sans" w:eastAsia="Plus Jakarta Sans" w:hAnsi="Plus Jakarta Sans"/>
        <w:color w:val="94A3B8"/>
        <w:sz w:val="16"/>
        <w:szCs w:val="16"/>
      </w:rPr>
      <w:instrText xml:space="preserve">PAGE</w:instrText>
    </w:r>
    <w:r>
      <w:rPr>
        <w:rFonts w:ascii="Plus Jakarta Sans" w:cs="Plus Jakarta Sans" w:eastAsia="Plus Jakarta Sans" w:hAnsi="Plus Jakarta Sans"/>
        <w:color w:val="94A3B8"/>
        <w:sz w:val="16"/>
        <w:szCs w:val="16"/>
      </w:rPr>
      <w:fldChar w:fldCharType="separate"/>
    </w:r>
    <w:r>
      <w:rPr>
        <w:rFonts w:ascii="Plus Jakarta Sans" w:cs="Plus Jakarta Sans" w:eastAsia="Plus Jakarta Sans" w:hAnsi="Plus Jakarta Sans"/>
        <w:color w:val="94A3B8"/>
        <w:sz w:val="16"/>
        <w:szCs w:val="16"/>
      </w:rPr>
      <w:fldChar w:fldCharType="end"/>
    </w:r>
    <w:r>
      <w:rPr>
        <w:rFonts w:ascii="Plus Jakarta Sans" w:cs="Plus Jakarta Sans" w:eastAsia="Plus Jakarta Sans" w:hAnsi="Plus Jakarta Sans"/>
        <w:color w:val="94A3B8"/>
        <w:sz w:val="16"/>
        <w:szCs w:val="16"/>
      </w:rPr>
      <w:t xml:space="preserve"> of </w:t>
    </w:r>
    <w:r>
      <w:rPr>
        <w:rFonts w:ascii="Plus Jakarta Sans" w:cs="Plus Jakarta Sans" w:eastAsia="Plus Jakarta Sans" w:hAnsi="Plus Jakarta Sans"/>
        <w:color w:val="94A3B8"/>
        <w:sz w:val="16"/>
        <w:szCs w:val="16"/>
      </w:rPr>
      <w:fldChar w:fldCharType="begin"/>
    </w:r>
    <w:r>
      <w:rPr>
        <w:rFonts w:ascii="Plus Jakarta Sans" w:cs="Plus Jakarta Sans" w:eastAsia="Plus Jakarta Sans" w:hAnsi="Plus Jakarta Sans"/>
        <w:color w:val="94A3B8"/>
        <w:sz w:val="16"/>
        <w:szCs w:val="16"/>
      </w:rPr>
      <w:instrText xml:space="preserve">NUMPAGES</w:instrText>
    </w:r>
    <w:r>
      <w:rPr>
        <w:rFonts w:ascii="Plus Jakarta Sans" w:cs="Plus Jakarta Sans" w:eastAsia="Plus Jakarta Sans" w:hAnsi="Plus Jakarta Sans"/>
        <w:color w:val="94A3B8"/>
        <w:sz w:val="16"/>
        <w:szCs w:val="16"/>
      </w:rPr>
      <w:fldChar w:fldCharType="separate"/>
    </w:r>
    <w:r>
      <w:rPr>
        <w:rFonts w:ascii="Plus Jakarta Sans" w:cs="Plus Jakarta Sans" w:eastAsia="Plus Jakarta Sans" w:hAnsi="Plus Jakarta Sans"/>
        <w:color w:val="94A3B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Plus Jakarta Sans" w:cs="Plus Jakarta Sans" w:eastAsia="Plus Jakarta Sans" w:hAnsi="Plus Jakarta Sans"/>
        <w:color w:val="94A3B8"/>
        <w:sz w:val="16"/>
        <w:szCs w:val="16"/>
      </w:rPr>
      <w:t xml:space="preserve">SecurePass NDPA | Enterprise Product Requirement Document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lus Jakarta Sans" w:cs="Plus Jakarta Sans" w:eastAsia="Plus Jakarta Sans" w:hAnsi="Plus Jakarta Sans"/>
        <w:color w:val="1E293B"/>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rPr>
      <w:rFonts w:ascii="Plus Jakarta Sans" w:cs="Plus Jakarta Sans" w:eastAsia="Plus Jakarta Sans" w:hAnsi="Plus Jakarta Sans"/>
      <w:b/>
      <w:bCs/>
      <w:color w:val="0F172A"/>
      <w:sz w:val="36"/>
      <w:szCs w:val="36"/>
    </w:rPr>
  </w:style>
  <w:style w:type="paragraph" w:styleId="Heading2">
    <w:name w:val="Heading 2"/>
    <w:rPr>
      <w:rFonts w:ascii="Plus Jakarta Sans" w:cs="Plus Jakarta Sans" w:eastAsia="Plus Jakarta Sans" w:hAnsi="Plus Jakarta Sans"/>
      <w:b/>
      <w:bCs/>
      <w:color w:val="047857"/>
      <w:sz w:val="28"/>
      <w:szCs w:val="28"/>
    </w:rPr>
  </w:style>
  <w:style w:type="paragraph" w:styleId="Heading3">
    <w:name w:val="Heading 3"/>
    <w:rPr>
      <w:rFonts w:ascii="Plus Jakarta Sans" w:cs="Plus Jakarta Sans" w:eastAsia="Plus Jakarta Sans" w:hAnsi="Plus Jakarta Sans"/>
      <w:b/>
      <w:bCs/>
      <w:color w:val="334155"/>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SecurePass NDPA - Product Requirement Document</dc:title>
  <dc:creator>Dr. Marcus Hale, Principal AI-Assisted Architect</dc:creator>
  <dc:description>Enterprise Visitor Access &amp; Data Protection Governance System PRD compliant with NDPA 2023</dc:description>
  <cp:lastModifiedBy>Un-named</cp:lastModifiedBy>
  <cp:revision>1</cp:revision>
  <dcterms:created xsi:type="dcterms:W3CDTF">2026-10-26T06:58:52.393Z</dcterms:created>
  <dcterms:modified xsi:type="dcterms:W3CDTF">2026-10-26T06:58:52.393Z</dcterms:modified>
</cp:coreProperties>
</file>

<file path=docProps/custom.xml><?xml version="1.0" encoding="utf-8"?>
<Properties xmlns="http://schemas.openxmlformats.org/officeDocument/2006/custom-properties" xmlns:vt="http://schemas.openxmlformats.org/officeDocument/2006/docPropsVTypes"/>
</file>