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6C7F" w14:textId="6B4628EA" w:rsidR="0079747D" w:rsidRDefault="00E93CA3" w:rsidP="0079747D">
      <w:pPr>
        <w:pStyle w:val="Title"/>
        <w:jc w:val="center"/>
        <w:rPr>
          <w:rFonts w:ascii="Times New Roman" w:hAnsi="Times New Roman" w:cs="Times New Roman"/>
        </w:rPr>
      </w:pPr>
      <w:r w:rsidRPr="00D06437">
        <w:rPr>
          <w:rFonts w:ascii="Times New Roman" w:hAnsi="Times New Roman" w:cs="Times New Roman"/>
        </w:rPr>
        <w:t>L’uso dell’intelligenza artificiale generativa sul posto di lavoro</w:t>
      </w:r>
    </w:p>
    <w:p w14:paraId="42A0B1F1" w14:textId="77777777" w:rsidR="00D06437" w:rsidRPr="00D06437" w:rsidRDefault="00D06437" w:rsidP="00D06437"/>
    <w:p w14:paraId="016C7F0F" w14:textId="36E460D4" w:rsidR="00E93CA3" w:rsidRDefault="00E93CA3" w:rsidP="0079747D">
      <w:pPr>
        <w:pStyle w:val="Title"/>
        <w:jc w:val="center"/>
        <w:rPr>
          <w:rStyle w:val="SubtitleChar"/>
          <w:rFonts w:ascii="Times New Roman" w:hAnsi="Times New Roman" w:cs="Times New Roman"/>
        </w:rPr>
      </w:pPr>
      <w:r w:rsidRPr="00D06437">
        <w:rPr>
          <w:rStyle w:val="SubtitleChar"/>
          <w:rFonts w:ascii="Times New Roman" w:hAnsi="Times New Roman" w:cs="Times New Roman"/>
        </w:rPr>
        <w:t>Epistemologia post-digitale e metodi misti nella ricerca sociale</w:t>
      </w:r>
    </w:p>
    <w:p w14:paraId="4CFF73FD" w14:textId="77777777" w:rsidR="0067058D" w:rsidRPr="0067058D" w:rsidRDefault="0067058D" w:rsidP="0067058D"/>
    <w:sdt>
      <w:sdtPr>
        <w:rPr>
          <w:rFonts w:asciiTheme="minorHAnsi" w:eastAsiaTheme="minorEastAsia" w:hAnsiTheme="minorHAnsi" w:cstheme="minorBidi"/>
          <w:b w:val="0"/>
          <w:bCs w:val="0"/>
          <w:color w:val="auto"/>
          <w:kern w:val="2"/>
          <w:sz w:val="24"/>
          <w:szCs w:val="24"/>
          <w:lang w:eastAsia="it-IT"/>
          <w14:ligatures w14:val="standardContextual"/>
        </w:rPr>
        <w:id w:val="-623465391"/>
        <w:docPartObj>
          <w:docPartGallery w:val="Table of Contents"/>
          <w:docPartUnique/>
        </w:docPartObj>
      </w:sdtPr>
      <w:sdtEndPr>
        <w:rPr>
          <w:rFonts w:ascii="Times New Roman" w:hAnsi="Times New Roman" w:cs="Times New Roman"/>
          <w:noProof/>
          <w:color w:val="000000" w:themeColor="text1"/>
        </w:rPr>
      </w:sdtEndPr>
      <w:sdtContent>
        <w:p w14:paraId="35E30F93" w14:textId="47C86230" w:rsidR="008D237D" w:rsidRPr="008D237D" w:rsidRDefault="008D237D">
          <w:pPr>
            <w:pStyle w:val="TOCHeading"/>
            <w:rPr>
              <w:rFonts w:ascii="Times New Roman" w:hAnsi="Times New Roman" w:cs="Times New Roman"/>
              <w:b w:val="0"/>
              <w:bCs w:val="0"/>
              <w:color w:val="000000" w:themeColor="text1"/>
            </w:rPr>
          </w:pPr>
          <w:r w:rsidRPr="008D237D">
            <w:rPr>
              <w:rFonts w:ascii="Times New Roman" w:hAnsi="Times New Roman" w:cs="Times New Roman"/>
              <w:b w:val="0"/>
              <w:bCs w:val="0"/>
              <w:color w:val="000000" w:themeColor="text1"/>
            </w:rPr>
            <w:t>Table of Contents</w:t>
          </w:r>
        </w:p>
        <w:p w14:paraId="54DF329A" w14:textId="7426B073" w:rsidR="00F547F7" w:rsidRDefault="008D237D">
          <w:pPr>
            <w:pStyle w:val="TOC1"/>
            <w:tabs>
              <w:tab w:val="right" w:leader="dot" w:pos="8296"/>
            </w:tabs>
            <w:rPr>
              <w:noProof/>
              <w:lang w:val="en-US" w:eastAsia="en-US"/>
            </w:rPr>
          </w:pPr>
          <w:r w:rsidRPr="008D237D">
            <w:rPr>
              <w:rFonts w:ascii="Times New Roman" w:hAnsi="Times New Roman" w:cs="Times New Roman"/>
              <w:color w:val="000000" w:themeColor="text1"/>
            </w:rPr>
            <w:fldChar w:fldCharType="begin"/>
          </w:r>
          <w:r w:rsidRPr="008D237D">
            <w:rPr>
              <w:rFonts w:ascii="Times New Roman" w:hAnsi="Times New Roman" w:cs="Times New Roman"/>
              <w:color w:val="000000" w:themeColor="text1"/>
            </w:rPr>
            <w:instrText xml:space="preserve"> TOC \o "1-3" \h \z \u </w:instrText>
          </w:r>
          <w:r w:rsidRPr="008D237D">
            <w:rPr>
              <w:rFonts w:ascii="Times New Roman" w:hAnsi="Times New Roman" w:cs="Times New Roman"/>
              <w:color w:val="000000" w:themeColor="text1"/>
            </w:rPr>
            <w:fldChar w:fldCharType="separate"/>
          </w:r>
          <w:hyperlink w:anchor="_Toc215663057" w:history="1">
            <w:r w:rsidR="00F547F7" w:rsidRPr="00B41F73">
              <w:rPr>
                <w:rStyle w:val="Hyperlink"/>
                <w:rFonts w:ascii="Times New Roman" w:eastAsia="Times New Roman" w:hAnsi="Times New Roman" w:cs="Times New Roman"/>
                <w:noProof/>
              </w:rPr>
              <w:t>Introduzione</w:t>
            </w:r>
            <w:r w:rsidR="00F547F7">
              <w:rPr>
                <w:noProof/>
                <w:webHidden/>
              </w:rPr>
              <w:tab/>
            </w:r>
            <w:r w:rsidR="00F547F7">
              <w:rPr>
                <w:noProof/>
                <w:webHidden/>
              </w:rPr>
              <w:fldChar w:fldCharType="begin"/>
            </w:r>
            <w:r w:rsidR="00F547F7">
              <w:rPr>
                <w:noProof/>
                <w:webHidden/>
              </w:rPr>
              <w:instrText xml:space="preserve"> PAGEREF _Toc215663057 \h </w:instrText>
            </w:r>
            <w:r w:rsidR="00F547F7">
              <w:rPr>
                <w:noProof/>
                <w:webHidden/>
              </w:rPr>
            </w:r>
            <w:r w:rsidR="00F547F7">
              <w:rPr>
                <w:noProof/>
                <w:webHidden/>
              </w:rPr>
              <w:fldChar w:fldCharType="separate"/>
            </w:r>
            <w:r w:rsidR="00F547F7">
              <w:rPr>
                <w:noProof/>
                <w:webHidden/>
              </w:rPr>
              <w:t>1</w:t>
            </w:r>
            <w:r w:rsidR="00F547F7">
              <w:rPr>
                <w:noProof/>
                <w:webHidden/>
              </w:rPr>
              <w:fldChar w:fldCharType="end"/>
            </w:r>
          </w:hyperlink>
        </w:p>
        <w:p w14:paraId="11A51F6E" w14:textId="0306BC1B" w:rsidR="00F547F7" w:rsidRDefault="00F547F7">
          <w:pPr>
            <w:pStyle w:val="TOC2"/>
            <w:tabs>
              <w:tab w:val="right" w:leader="dot" w:pos="8296"/>
            </w:tabs>
            <w:rPr>
              <w:noProof/>
              <w:lang w:val="en-US" w:eastAsia="en-US"/>
            </w:rPr>
          </w:pPr>
          <w:hyperlink w:anchor="_Toc215663058" w:history="1">
            <w:r w:rsidRPr="00B41F73">
              <w:rPr>
                <w:rStyle w:val="Hyperlink"/>
                <w:rFonts w:ascii="Times New Roman" w:eastAsia="Times New Roman" w:hAnsi="Times New Roman" w:cs="Times New Roman"/>
                <w:noProof/>
              </w:rPr>
              <w:t>Contesto e motivazione della ricerca</w:t>
            </w:r>
            <w:r>
              <w:rPr>
                <w:noProof/>
                <w:webHidden/>
              </w:rPr>
              <w:tab/>
            </w:r>
            <w:r>
              <w:rPr>
                <w:noProof/>
                <w:webHidden/>
              </w:rPr>
              <w:fldChar w:fldCharType="begin"/>
            </w:r>
            <w:r>
              <w:rPr>
                <w:noProof/>
                <w:webHidden/>
              </w:rPr>
              <w:instrText xml:space="preserve"> PAGEREF _Toc215663058 \h </w:instrText>
            </w:r>
            <w:r>
              <w:rPr>
                <w:noProof/>
                <w:webHidden/>
              </w:rPr>
            </w:r>
            <w:r>
              <w:rPr>
                <w:noProof/>
                <w:webHidden/>
              </w:rPr>
              <w:fldChar w:fldCharType="separate"/>
            </w:r>
            <w:r>
              <w:rPr>
                <w:noProof/>
                <w:webHidden/>
              </w:rPr>
              <w:t>1</w:t>
            </w:r>
            <w:r>
              <w:rPr>
                <w:noProof/>
                <w:webHidden/>
              </w:rPr>
              <w:fldChar w:fldCharType="end"/>
            </w:r>
          </w:hyperlink>
        </w:p>
        <w:p w14:paraId="06B37E81" w14:textId="09F5DD30" w:rsidR="00F547F7" w:rsidRDefault="00F547F7">
          <w:pPr>
            <w:pStyle w:val="TOC2"/>
            <w:tabs>
              <w:tab w:val="right" w:leader="dot" w:pos="8296"/>
            </w:tabs>
            <w:rPr>
              <w:noProof/>
              <w:lang w:val="en-US" w:eastAsia="en-US"/>
            </w:rPr>
          </w:pPr>
          <w:hyperlink w:anchor="_Toc215663059" w:history="1">
            <w:r w:rsidRPr="00B41F73">
              <w:rPr>
                <w:rStyle w:val="Hyperlink"/>
                <w:rFonts w:ascii="Times New Roman" w:eastAsia="Times New Roman" w:hAnsi="Times New Roman" w:cs="Times New Roman"/>
                <w:noProof/>
              </w:rPr>
              <w:t>La condizione post-digitale e la crisi dei vecchi schemi</w:t>
            </w:r>
            <w:r>
              <w:rPr>
                <w:noProof/>
                <w:webHidden/>
              </w:rPr>
              <w:tab/>
            </w:r>
            <w:r>
              <w:rPr>
                <w:noProof/>
                <w:webHidden/>
              </w:rPr>
              <w:fldChar w:fldCharType="begin"/>
            </w:r>
            <w:r>
              <w:rPr>
                <w:noProof/>
                <w:webHidden/>
              </w:rPr>
              <w:instrText xml:space="preserve"> PAGEREF _Toc215663059 \h </w:instrText>
            </w:r>
            <w:r>
              <w:rPr>
                <w:noProof/>
                <w:webHidden/>
              </w:rPr>
            </w:r>
            <w:r>
              <w:rPr>
                <w:noProof/>
                <w:webHidden/>
              </w:rPr>
              <w:fldChar w:fldCharType="separate"/>
            </w:r>
            <w:r>
              <w:rPr>
                <w:noProof/>
                <w:webHidden/>
              </w:rPr>
              <w:t>3</w:t>
            </w:r>
            <w:r>
              <w:rPr>
                <w:noProof/>
                <w:webHidden/>
              </w:rPr>
              <w:fldChar w:fldCharType="end"/>
            </w:r>
          </w:hyperlink>
        </w:p>
        <w:p w14:paraId="2F08CF8A" w14:textId="1FF0AA9C" w:rsidR="00F547F7" w:rsidRDefault="00F547F7">
          <w:pPr>
            <w:pStyle w:val="TOC2"/>
            <w:tabs>
              <w:tab w:val="right" w:leader="dot" w:pos="8296"/>
            </w:tabs>
            <w:rPr>
              <w:noProof/>
              <w:lang w:val="en-US" w:eastAsia="en-US"/>
            </w:rPr>
          </w:pPr>
          <w:hyperlink w:anchor="_Toc215663060" w:history="1">
            <w:r w:rsidRPr="00B41F73">
              <w:rPr>
                <w:rStyle w:val="Hyperlink"/>
                <w:rFonts w:ascii="Times New Roman" w:eastAsia="Times New Roman" w:hAnsi="Times New Roman" w:cs="Times New Roman"/>
                <w:noProof/>
              </w:rPr>
              <w:t>Epistemologia adattiva e GenAI</w:t>
            </w:r>
            <w:r>
              <w:rPr>
                <w:noProof/>
                <w:webHidden/>
              </w:rPr>
              <w:tab/>
            </w:r>
            <w:r>
              <w:rPr>
                <w:noProof/>
                <w:webHidden/>
              </w:rPr>
              <w:fldChar w:fldCharType="begin"/>
            </w:r>
            <w:r>
              <w:rPr>
                <w:noProof/>
                <w:webHidden/>
              </w:rPr>
              <w:instrText xml:space="preserve"> PAGEREF _Toc215663060 \h </w:instrText>
            </w:r>
            <w:r>
              <w:rPr>
                <w:noProof/>
                <w:webHidden/>
              </w:rPr>
            </w:r>
            <w:r>
              <w:rPr>
                <w:noProof/>
                <w:webHidden/>
              </w:rPr>
              <w:fldChar w:fldCharType="separate"/>
            </w:r>
            <w:r>
              <w:rPr>
                <w:noProof/>
                <w:webHidden/>
              </w:rPr>
              <w:t>5</w:t>
            </w:r>
            <w:r>
              <w:rPr>
                <w:noProof/>
                <w:webHidden/>
              </w:rPr>
              <w:fldChar w:fldCharType="end"/>
            </w:r>
          </w:hyperlink>
        </w:p>
        <w:p w14:paraId="000EAF36" w14:textId="6E434BEF" w:rsidR="00F547F7" w:rsidRDefault="00F547F7">
          <w:pPr>
            <w:pStyle w:val="TOC2"/>
            <w:tabs>
              <w:tab w:val="right" w:leader="dot" w:pos="8296"/>
            </w:tabs>
            <w:rPr>
              <w:noProof/>
              <w:lang w:val="en-US" w:eastAsia="en-US"/>
            </w:rPr>
          </w:pPr>
          <w:hyperlink w:anchor="_Toc215663061" w:history="1">
            <w:r w:rsidRPr="00B41F73">
              <w:rPr>
                <w:rStyle w:val="Hyperlink"/>
                <w:rFonts w:ascii="Times New Roman" w:hAnsi="Times New Roman" w:cs="Times New Roman"/>
                <w:noProof/>
              </w:rPr>
              <w:t>La GenAI nel lavoro di consulenza</w:t>
            </w:r>
            <w:r>
              <w:rPr>
                <w:noProof/>
                <w:webHidden/>
              </w:rPr>
              <w:tab/>
            </w:r>
            <w:r>
              <w:rPr>
                <w:noProof/>
                <w:webHidden/>
              </w:rPr>
              <w:fldChar w:fldCharType="begin"/>
            </w:r>
            <w:r>
              <w:rPr>
                <w:noProof/>
                <w:webHidden/>
              </w:rPr>
              <w:instrText xml:space="preserve"> PAGEREF _Toc215663061 \h </w:instrText>
            </w:r>
            <w:r>
              <w:rPr>
                <w:noProof/>
                <w:webHidden/>
              </w:rPr>
            </w:r>
            <w:r>
              <w:rPr>
                <w:noProof/>
                <w:webHidden/>
              </w:rPr>
              <w:fldChar w:fldCharType="separate"/>
            </w:r>
            <w:r>
              <w:rPr>
                <w:noProof/>
                <w:webHidden/>
              </w:rPr>
              <w:t>6</w:t>
            </w:r>
            <w:r>
              <w:rPr>
                <w:noProof/>
                <w:webHidden/>
              </w:rPr>
              <w:fldChar w:fldCharType="end"/>
            </w:r>
          </w:hyperlink>
        </w:p>
        <w:p w14:paraId="4E64686F" w14:textId="6E3BCE5C" w:rsidR="00F547F7" w:rsidRDefault="00F547F7">
          <w:pPr>
            <w:pStyle w:val="TOC2"/>
            <w:tabs>
              <w:tab w:val="right" w:leader="dot" w:pos="8296"/>
            </w:tabs>
            <w:rPr>
              <w:noProof/>
              <w:lang w:val="en-US" w:eastAsia="en-US"/>
            </w:rPr>
          </w:pPr>
          <w:hyperlink w:anchor="_Toc215663062" w:history="1">
            <w:r w:rsidRPr="00B41F73">
              <w:rPr>
                <w:rStyle w:val="Hyperlink"/>
                <w:rFonts w:ascii="Times New Roman" w:hAnsi="Times New Roman" w:cs="Times New Roman"/>
                <w:noProof/>
              </w:rPr>
              <w:t>Disegno di ricerca e metodi misti</w:t>
            </w:r>
            <w:r>
              <w:rPr>
                <w:noProof/>
                <w:webHidden/>
              </w:rPr>
              <w:tab/>
            </w:r>
            <w:r>
              <w:rPr>
                <w:noProof/>
                <w:webHidden/>
              </w:rPr>
              <w:fldChar w:fldCharType="begin"/>
            </w:r>
            <w:r>
              <w:rPr>
                <w:noProof/>
                <w:webHidden/>
              </w:rPr>
              <w:instrText xml:space="preserve"> PAGEREF _Toc215663062 \h </w:instrText>
            </w:r>
            <w:r>
              <w:rPr>
                <w:noProof/>
                <w:webHidden/>
              </w:rPr>
            </w:r>
            <w:r>
              <w:rPr>
                <w:noProof/>
                <w:webHidden/>
              </w:rPr>
              <w:fldChar w:fldCharType="separate"/>
            </w:r>
            <w:r>
              <w:rPr>
                <w:noProof/>
                <w:webHidden/>
              </w:rPr>
              <w:t>7</w:t>
            </w:r>
            <w:r>
              <w:rPr>
                <w:noProof/>
                <w:webHidden/>
              </w:rPr>
              <w:fldChar w:fldCharType="end"/>
            </w:r>
          </w:hyperlink>
        </w:p>
        <w:p w14:paraId="7D073E8B" w14:textId="52A9BB7E" w:rsidR="00F547F7" w:rsidRDefault="00F547F7">
          <w:pPr>
            <w:pStyle w:val="TOC1"/>
            <w:tabs>
              <w:tab w:val="right" w:leader="dot" w:pos="8296"/>
            </w:tabs>
            <w:rPr>
              <w:noProof/>
              <w:lang w:val="en-US" w:eastAsia="en-US"/>
            </w:rPr>
          </w:pPr>
          <w:hyperlink w:anchor="_Toc215663063" w:history="1">
            <w:r w:rsidRPr="00B41F73">
              <w:rPr>
                <w:rStyle w:val="Hyperlink"/>
                <w:rFonts w:ascii="Times New Roman" w:hAnsi="Times New Roman" w:cs="Times New Roman"/>
                <w:b/>
                <w:bCs/>
                <w:noProof/>
                <w:lang w:val="it-IT"/>
              </w:rPr>
              <w:t xml:space="preserve">(capitolo in fase di sviluppo) </w:t>
            </w:r>
            <w:r w:rsidRPr="00B41F73">
              <w:rPr>
                <w:rStyle w:val="Hyperlink"/>
                <w:rFonts w:ascii="Times New Roman" w:hAnsi="Times New Roman" w:cs="Times New Roman"/>
                <w:noProof/>
              </w:rPr>
              <w:t>Il metodo</w:t>
            </w:r>
            <w:r>
              <w:rPr>
                <w:noProof/>
                <w:webHidden/>
              </w:rPr>
              <w:tab/>
            </w:r>
            <w:r>
              <w:rPr>
                <w:noProof/>
                <w:webHidden/>
              </w:rPr>
              <w:fldChar w:fldCharType="begin"/>
            </w:r>
            <w:r>
              <w:rPr>
                <w:noProof/>
                <w:webHidden/>
              </w:rPr>
              <w:instrText xml:space="preserve"> PAGEREF _Toc215663063 \h </w:instrText>
            </w:r>
            <w:r>
              <w:rPr>
                <w:noProof/>
                <w:webHidden/>
              </w:rPr>
            </w:r>
            <w:r>
              <w:rPr>
                <w:noProof/>
                <w:webHidden/>
              </w:rPr>
              <w:fldChar w:fldCharType="separate"/>
            </w:r>
            <w:r>
              <w:rPr>
                <w:noProof/>
                <w:webHidden/>
              </w:rPr>
              <w:t>10</w:t>
            </w:r>
            <w:r>
              <w:rPr>
                <w:noProof/>
                <w:webHidden/>
              </w:rPr>
              <w:fldChar w:fldCharType="end"/>
            </w:r>
          </w:hyperlink>
        </w:p>
        <w:p w14:paraId="19F74845" w14:textId="656FC9D6" w:rsidR="00F547F7" w:rsidRDefault="00F547F7">
          <w:pPr>
            <w:pStyle w:val="TOC2"/>
            <w:tabs>
              <w:tab w:val="right" w:leader="dot" w:pos="8296"/>
            </w:tabs>
            <w:rPr>
              <w:noProof/>
              <w:lang w:val="en-US" w:eastAsia="en-US"/>
            </w:rPr>
          </w:pPr>
          <w:hyperlink w:anchor="_Toc215663064" w:history="1">
            <w:r w:rsidRPr="00B41F73">
              <w:rPr>
                <w:rStyle w:val="Hyperlink"/>
                <w:rFonts w:ascii="Times New Roman" w:hAnsi="Times New Roman" w:cs="Times New Roman"/>
                <w:noProof/>
              </w:rPr>
              <w:t>Posizionamento metodologico operativo</w:t>
            </w:r>
            <w:r>
              <w:rPr>
                <w:noProof/>
                <w:webHidden/>
              </w:rPr>
              <w:tab/>
            </w:r>
            <w:r>
              <w:rPr>
                <w:noProof/>
                <w:webHidden/>
              </w:rPr>
              <w:fldChar w:fldCharType="begin"/>
            </w:r>
            <w:r>
              <w:rPr>
                <w:noProof/>
                <w:webHidden/>
              </w:rPr>
              <w:instrText xml:space="preserve"> PAGEREF _Toc215663064 \h </w:instrText>
            </w:r>
            <w:r>
              <w:rPr>
                <w:noProof/>
                <w:webHidden/>
              </w:rPr>
            </w:r>
            <w:r>
              <w:rPr>
                <w:noProof/>
                <w:webHidden/>
              </w:rPr>
              <w:fldChar w:fldCharType="separate"/>
            </w:r>
            <w:r>
              <w:rPr>
                <w:noProof/>
                <w:webHidden/>
              </w:rPr>
              <w:t>10</w:t>
            </w:r>
            <w:r>
              <w:rPr>
                <w:noProof/>
                <w:webHidden/>
              </w:rPr>
              <w:fldChar w:fldCharType="end"/>
            </w:r>
          </w:hyperlink>
        </w:p>
        <w:p w14:paraId="3E9C3697" w14:textId="4BB390F1" w:rsidR="00F547F7" w:rsidRDefault="00F547F7">
          <w:pPr>
            <w:pStyle w:val="TOC1"/>
            <w:tabs>
              <w:tab w:val="right" w:leader="dot" w:pos="8296"/>
            </w:tabs>
            <w:rPr>
              <w:noProof/>
              <w:lang w:val="en-US" w:eastAsia="en-US"/>
            </w:rPr>
          </w:pPr>
          <w:hyperlink w:anchor="_Toc215663065" w:history="1">
            <w:r w:rsidRPr="00B41F73">
              <w:rPr>
                <w:rStyle w:val="Hyperlink"/>
                <w:rFonts w:ascii="Times New Roman" w:hAnsi="Times New Roman" w:cs="Times New Roman"/>
                <w:noProof/>
              </w:rPr>
              <w:t>Bibliografia</w:t>
            </w:r>
            <w:r>
              <w:rPr>
                <w:noProof/>
                <w:webHidden/>
              </w:rPr>
              <w:tab/>
            </w:r>
            <w:r>
              <w:rPr>
                <w:noProof/>
                <w:webHidden/>
              </w:rPr>
              <w:fldChar w:fldCharType="begin"/>
            </w:r>
            <w:r>
              <w:rPr>
                <w:noProof/>
                <w:webHidden/>
              </w:rPr>
              <w:instrText xml:space="preserve"> PAGEREF _Toc215663065 \h </w:instrText>
            </w:r>
            <w:r>
              <w:rPr>
                <w:noProof/>
                <w:webHidden/>
              </w:rPr>
            </w:r>
            <w:r>
              <w:rPr>
                <w:noProof/>
                <w:webHidden/>
              </w:rPr>
              <w:fldChar w:fldCharType="separate"/>
            </w:r>
            <w:r>
              <w:rPr>
                <w:noProof/>
                <w:webHidden/>
              </w:rPr>
              <w:t>12</w:t>
            </w:r>
            <w:r>
              <w:rPr>
                <w:noProof/>
                <w:webHidden/>
              </w:rPr>
              <w:fldChar w:fldCharType="end"/>
            </w:r>
          </w:hyperlink>
        </w:p>
        <w:p w14:paraId="62D94764" w14:textId="09E70930" w:rsidR="008D237D" w:rsidRPr="008D237D" w:rsidRDefault="008D237D">
          <w:pPr>
            <w:rPr>
              <w:rFonts w:ascii="Times New Roman" w:hAnsi="Times New Roman" w:cs="Times New Roman"/>
              <w:color w:val="000000" w:themeColor="text1"/>
            </w:rPr>
          </w:pPr>
          <w:r w:rsidRPr="008D237D">
            <w:rPr>
              <w:rFonts w:ascii="Times New Roman" w:hAnsi="Times New Roman" w:cs="Times New Roman"/>
              <w:noProof/>
              <w:color w:val="000000" w:themeColor="text1"/>
            </w:rPr>
            <w:fldChar w:fldCharType="end"/>
          </w:r>
        </w:p>
      </w:sdtContent>
    </w:sdt>
    <w:p w14:paraId="613DDFD0" w14:textId="77777777" w:rsidR="0067058D" w:rsidRDefault="0067058D" w:rsidP="0015442A">
      <w:pPr>
        <w:pStyle w:val="Heading1"/>
        <w:jc w:val="center"/>
        <w:rPr>
          <w:rFonts w:ascii="Times New Roman" w:eastAsia="Times New Roman" w:hAnsi="Times New Roman" w:cs="Times New Roman"/>
        </w:rPr>
      </w:pPr>
    </w:p>
    <w:p w14:paraId="47855BCC" w14:textId="7F119995" w:rsidR="00903ADD" w:rsidRDefault="00A52670" w:rsidP="0015442A">
      <w:pPr>
        <w:pStyle w:val="Heading1"/>
        <w:jc w:val="center"/>
        <w:rPr>
          <w:rFonts w:ascii="Times New Roman" w:eastAsia="Times New Roman" w:hAnsi="Times New Roman" w:cs="Times New Roman"/>
        </w:rPr>
      </w:pPr>
      <w:bookmarkStart w:id="0" w:name="_Toc215663057"/>
      <w:r>
        <w:rPr>
          <w:rFonts w:ascii="Times New Roman" w:eastAsia="Times New Roman" w:hAnsi="Times New Roman" w:cs="Times New Roman"/>
        </w:rPr>
        <w:t>Introduzione</w:t>
      </w:r>
      <w:bookmarkEnd w:id="0"/>
    </w:p>
    <w:p w14:paraId="7AF4689A" w14:textId="77777777" w:rsidR="0015442A" w:rsidRPr="0015442A" w:rsidRDefault="0015442A" w:rsidP="0015442A"/>
    <w:p w14:paraId="18C72353" w14:textId="29CA0DEF" w:rsidR="002660C1" w:rsidRPr="002660C1" w:rsidRDefault="002660C1" w:rsidP="0067058D">
      <w:pPr>
        <w:pStyle w:val="Heading2"/>
        <w:jc w:val="both"/>
        <w:rPr>
          <w:rFonts w:ascii="Times New Roman" w:eastAsia="Times New Roman" w:hAnsi="Times New Roman" w:cs="Times New Roman"/>
        </w:rPr>
      </w:pPr>
      <w:bookmarkStart w:id="1" w:name="_Toc215663058"/>
      <w:r w:rsidRPr="00D06437">
        <w:rPr>
          <w:rFonts w:ascii="Times New Roman" w:eastAsia="Times New Roman" w:hAnsi="Times New Roman" w:cs="Times New Roman"/>
        </w:rPr>
        <w:t>Contesto e motivazione della ricerca</w:t>
      </w:r>
      <w:bookmarkEnd w:id="1"/>
    </w:p>
    <w:p w14:paraId="46C96BB8" w14:textId="3F28DB70" w:rsidR="002660C1" w:rsidRPr="002660C1" w:rsidRDefault="002660C1" w:rsidP="0067058D">
      <w:pPr>
        <w:jc w:val="both"/>
        <w:rPr>
          <w:rFonts w:ascii="Times New Roman" w:hAnsi="Times New Roman" w:cs="Times New Roman"/>
          <w:kern w:val="0"/>
          <w14:ligatures w14:val="none"/>
        </w:rPr>
      </w:pPr>
      <w:r w:rsidRPr="002660C1">
        <w:rPr>
          <w:rFonts w:ascii="Times New Roman" w:hAnsi="Times New Roman" w:cs="Times New Roman"/>
          <w:kern w:val="0"/>
          <w14:ligatures w14:val="none"/>
        </w:rPr>
        <w:t xml:space="preserve">Negli ultimi anni l’intelligenza artificiale generativa </w:t>
      </w:r>
      <w:r w:rsidR="003B7693">
        <w:rPr>
          <w:rFonts w:ascii="Times New Roman" w:hAnsi="Times New Roman" w:cs="Times New Roman"/>
          <w:kern w:val="0"/>
          <w14:ligatures w14:val="none"/>
        </w:rPr>
        <w:t>(G</w:t>
      </w:r>
      <w:r w:rsidR="004934E3">
        <w:rPr>
          <w:rFonts w:ascii="Times New Roman" w:hAnsi="Times New Roman" w:cs="Times New Roman"/>
          <w:kern w:val="0"/>
          <w14:ligatures w14:val="none"/>
        </w:rPr>
        <w:t>enAI) è entrata</w:t>
      </w:r>
      <w:r w:rsidRPr="002660C1">
        <w:rPr>
          <w:rFonts w:ascii="Times New Roman" w:hAnsi="Times New Roman" w:cs="Times New Roman"/>
          <w:kern w:val="0"/>
          <w14:ligatures w14:val="none"/>
        </w:rPr>
        <w:t xml:space="preserve"> pervas</w:t>
      </w:r>
      <w:r w:rsidR="004934E3">
        <w:rPr>
          <w:rFonts w:ascii="Times New Roman" w:hAnsi="Times New Roman" w:cs="Times New Roman"/>
          <w:kern w:val="0"/>
          <w14:ligatures w14:val="none"/>
        </w:rPr>
        <w:t>ivamente</w:t>
      </w:r>
      <w:r w:rsidRPr="002660C1">
        <w:rPr>
          <w:rFonts w:ascii="Times New Roman" w:hAnsi="Times New Roman" w:cs="Times New Roman"/>
          <w:kern w:val="0"/>
          <w14:ligatures w14:val="none"/>
        </w:rPr>
        <w:t xml:space="preserve"> nella vita quotidiana, fino a diventar</w:t>
      </w:r>
      <w:r w:rsidR="00EE2641">
        <w:rPr>
          <w:rFonts w:ascii="Times New Roman" w:hAnsi="Times New Roman" w:cs="Times New Roman"/>
          <w:kern w:val="0"/>
          <w14:ligatures w14:val="none"/>
        </w:rPr>
        <w:t>ne</w:t>
      </w:r>
      <w:r w:rsidRPr="002660C1">
        <w:rPr>
          <w:rFonts w:ascii="Times New Roman" w:hAnsi="Times New Roman" w:cs="Times New Roman"/>
          <w:kern w:val="0"/>
          <w14:ligatures w14:val="none"/>
        </w:rPr>
        <w:t xml:space="preserve"> un elemento ordinario. I principali osservatori internazionali segnalano una crescita estremamente rapida nell’adozione di questi strumenti: </w:t>
      </w:r>
      <w:r w:rsidR="00707028">
        <w:rPr>
          <w:rFonts w:ascii="Times New Roman" w:hAnsi="Times New Roman" w:cs="Times New Roman"/>
          <w:kern w:val="0"/>
          <w14:ligatures w14:val="none"/>
        </w:rPr>
        <w:t>già a inizio 2024</w:t>
      </w:r>
      <w:r w:rsidRPr="002660C1">
        <w:rPr>
          <w:rFonts w:ascii="Times New Roman" w:hAnsi="Times New Roman" w:cs="Times New Roman"/>
          <w:kern w:val="0"/>
          <w14:ligatures w14:val="none"/>
        </w:rPr>
        <w:t xml:space="preserve"> </w:t>
      </w:r>
      <w:r w:rsidR="005134D6">
        <w:rPr>
          <w:rFonts w:ascii="Times New Roman" w:hAnsi="Times New Roman" w:cs="Times New Roman"/>
          <w:kern w:val="0"/>
          <w14:ligatures w14:val="none"/>
        </w:rPr>
        <w:t xml:space="preserve">il </w:t>
      </w:r>
      <w:r w:rsidRPr="002660C1">
        <w:rPr>
          <w:rFonts w:ascii="Times New Roman" w:hAnsi="Times New Roman" w:cs="Times New Roman"/>
          <w:kern w:val="0"/>
          <w14:ligatures w14:val="none"/>
        </w:rPr>
        <w:t xml:space="preserve">Work Trend Index di Microsoft e LinkedIn </w:t>
      </w:r>
      <w:r w:rsidR="00FE57C4">
        <w:rPr>
          <w:rFonts w:ascii="Times New Roman" w:hAnsi="Times New Roman" w:cs="Times New Roman"/>
          <w:kern w:val="0"/>
          <w14:ligatures w14:val="none"/>
        </w:rPr>
        <w:t>indicava</w:t>
      </w:r>
      <w:r w:rsidRPr="002660C1">
        <w:rPr>
          <w:rFonts w:ascii="Times New Roman" w:hAnsi="Times New Roman" w:cs="Times New Roman"/>
          <w:kern w:val="0"/>
          <w14:ligatures w14:val="none"/>
        </w:rPr>
        <w:t xml:space="preserve">, ad esempio, </w:t>
      </w:r>
      <w:r w:rsidR="00E571E8">
        <w:rPr>
          <w:rFonts w:ascii="Times New Roman" w:hAnsi="Times New Roman" w:cs="Times New Roman"/>
          <w:kern w:val="0"/>
          <w14:ligatures w14:val="none"/>
        </w:rPr>
        <w:t>come</w:t>
      </w:r>
      <w:r w:rsidRPr="002660C1">
        <w:rPr>
          <w:rFonts w:ascii="Times New Roman" w:hAnsi="Times New Roman" w:cs="Times New Roman"/>
          <w:kern w:val="0"/>
          <w14:ligatures w14:val="none"/>
        </w:rPr>
        <w:t xml:space="preserve"> circa il 75% dei lavoratori della conoscenza a livello globale dichiara</w:t>
      </w:r>
      <w:r w:rsidR="00E571E8">
        <w:rPr>
          <w:rFonts w:ascii="Times New Roman" w:hAnsi="Times New Roman" w:cs="Times New Roman"/>
          <w:kern w:val="0"/>
          <w14:ligatures w14:val="none"/>
        </w:rPr>
        <w:t>sse</w:t>
      </w:r>
      <w:r w:rsidRPr="002660C1">
        <w:rPr>
          <w:rFonts w:ascii="Times New Roman" w:hAnsi="Times New Roman" w:cs="Times New Roman"/>
          <w:kern w:val="0"/>
          <w14:ligatures w14:val="none"/>
        </w:rPr>
        <w:t xml:space="preserve"> di utilizzare già strumenti di intelligenza artificiale, in particolare generativa, nel proprio lavoro quotidiano</w:t>
      </w:r>
      <w:r w:rsidR="001D337D">
        <w:rPr>
          <w:rFonts w:ascii="Times New Roman" w:hAnsi="Times New Roman" w:cs="Times New Roman"/>
          <w:kern w:val="0"/>
          <w14:ligatures w14:val="none"/>
        </w:rPr>
        <w:t xml:space="preserve">. </w:t>
      </w:r>
      <w:r w:rsidRPr="002660C1">
        <w:rPr>
          <w:rFonts w:ascii="Times New Roman" w:hAnsi="Times New Roman" w:cs="Times New Roman"/>
          <w:kern w:val="0"/>
          <w14:ligatures w14:val="none"/>
        </w:rPr>
        <w:t xml:space="preserve">(Microsoft &amp; LinkedIn, 2024). Analogamente, le indagini condotte da McKinsey mostrano che </w:t>
      </w:r>
      <w:r w:rsidR="009E5341">
        <w:rPr>
          <w:rFonts w:ascii="Times New Roman" w:hAnsi="Times New Roman" w:cs="Times New Roman"/>
          <w:kern w:val="0"/>
          <w14:ligatures w14:val="none"/>
        </w:rPr>
        <w:t xml:space="preserve">già </w:t>
      </w:r>
      <w:r w:rsidRPr="002660C1">
        <w:rPr>
          <w:rFonts w:ascii="Times New Roman" w:hAnsi="Times New Roman" w:cs="Times New Roman"/>
          <w:kern w:val="0"/>
          <w14:ligatures w14:val="none"/>
        </w:rPr>
        <w:t xml:space="preserve">nel 2023 il 79% dei rispondenti aveva avuto almeno una qualche esposizione alla generative AI e circa il 22% la utilizzava regolarmente nella propria attività lavorativa, mentre nel 2024 quasi due terzi delle </w:t>
      </w:r>
      <w:r w:rsidRPr="002660C1">
        <w:rPr>
          <w:rFonts w:ascii="Times New Roman" w:hAnsi="Times New Roman" w:cs="Times New Roman"/>
          <w:kern w:val="0"/>
          <w14:ligatures w14:val="none"/>
        </w:rPr>
        <w:lastRenderedPageBreak/>
        <w:t xml:space="preserve">organizzazioni dichiarano di impiegarla in modo sistematico, spesso in più funzioni aziendali (Chui et al., 2023; McKinsey &amp; Company, 2024). </w:t>
      </w:r>
      <w:r w:rsidR="00707595" w:rsidRPr="00707595">
        <w:rPr>
          <w:rFonts w:ascii="Times New Roman" w:hAnsi="Times New Roman" w:cs="Times New Roman"/>
          <w:kern w:val="0"/>
          <w14:ligatures w14:val="none"/>
        </w:rPr>
        <w:t>Inoltre,</w:t>
      </w:r>
      <w:r w:rsidR="001518CE">
        <w:rPr>
          <w:rFonts w:ascii="Times New Roman" w:hAnsi="Times New Roman" w:cs="Times New Roman"/>
          <w:kern w:val="0"/>
          <w14:ligatures w14:val="none"/>
        </w:rPr>
        <w:t xml:space="preserve"> </w:t>
      </w:r>
      <w:r w:rsidR="00CE0E97">
        <w:rPr>
          <w:rFonts w:ascii="Times New Roman" w:hAnsi="Times New Roman" w:cs="Times New Roman"/>
          <w:kern w:val="0"/>
          <w14:ligatures w14:val="none"/>
        </w:rPr>
        <w:t xml:space="preserve">la stessa McKinsey, ha affermato </w:t>
      </w:r>
      <w:r w:rsidR="00AC0BCC">
        <w:rPr>
          <w:rFonts w:ascii="Times New Roman" w:hAnsi="Times New Roman" w:cs="Times New Roman"/>
          <w:kern w:val="0"/>
          <w14:ligatures w14:val="none"/>
        </w:rPr>
        <w:t>nel</w:t>
      </w:r>
      <w:r w:rsidR="001518CE" w:rsidRPr="001518CE">
        <w:rPr>
          <w:rFonts w:ascii="Times New Roman" w:hAnsi="Times New Roman" w:cs="Times New Roman"/>
          <w:kern w:val="0"/>
          <w14:ligatures w14:val="none"/>
        </w:rPr>
        <w:t xml:space="preserve"> recente report “The state of AI” </w:t>
      </w:r>
      <w:r w:rsidR="00AC0BCC">
        <w:rPr>
          <w:rFonts w:ascii="Times New Roman" w:hAnsi="Times New Roman" w:cs="Times New Roman"/>
          <w:kern w:val="0"/>
          <w14:ligatures w14:val="none"/>
        </w:rPr>
        <w:t xml:space="preserve">che </w:t>
      </w:r>
      <w:r w:rsidR="00707595" w:rsidRPr="00707595">
        <w:rPr>
          <w:rFonts w:ascii="Times New Roman" w:hAnsi="Times New Roman" w:cs="Times New Roman"/>
          <w:kern w:val="0"/>
          <w14:ligatures w14:val="none"/>
        </w:rPr>
        <w:t xml:space="preserve">circa un quinto dei rispondenti che </w:t>
      </w:r>
      <w:r w:rsidR="00390AC3">
        <w:rPr>
          <w:rFonts w:ascii="Times New Roman" w:hAnsi="Times New Roman" w:cs="Times New Roman"/>
          <w:kern w:val="0"/>
          <w14:ligatures w14:val="none"/>
        </w:rPr>
        <w:t>u</w:t>
      </w:r>
      <w:r w:rsidR="00707595" w:rsidRPr="00707595">
        <w:rPr>
          <w:rFonts w:ascii="Times New Roman" w:hAnsi="Times New Roman" w:cs="Times New Roman"/>
          <w:kern w:val="0"/>
          <w14:ligatures w14:val="none"/>
        </w:rPr>
        <w:t>s</w:t>
      </w:r>
      <w:r w:rsidR="00390AC3">
        <w:rPr>
          <w:rFonts w:ascii="Times New Roman" w:hAnsi="Times New Roman" w:cs="Times New Roman"/>
          <w:kern w:val="0"/>
          <w14:ligatures w14:val="none"/>
        </w:rPr>
        <w:t>ano</w:t>
      </w:r>
      <w:r w:rsidR="00707595" w:rsidRPr="00707595">
        <w:rPr>
          <w:rFonts w:ascii="Times New Roman" w:hAnsi="Times New Roman" w:cs="Times New Roman"/>
          <w:kern w:val="0"/>
          <w14:ligatures w14:val="none"/>
        </w:rPr>
        <w:t xml:space="preserve"> </w:t>
      </w:r>
      <w:r w:rsidR="00390AC3">
        <w:rPr>
          <w:rFonts w:ascii="Times New Roman" w:hAnsi="Times New Roman" w:cs="Times New Roman"/>
          <w:kern w:val="0"/>
          <w14:ligatures w14:val="none"/>
        </w:rPr>
        <w:t xml:space="preserve">la </w:t>
      </w:r>
      <w:r w:rsidR="00707595" w:rsidRPr="00707595">
        <w:rPr>
          <w:rFonts w:ascii="Times New Roman" w:hAnsi="Times New Roman" w:cs="Times New Roman"/>
          <w:kern w:val="0"/>
          <w14:ligatures w14:val="none"/>
        </w:rPr>
        <w:t>genAI sostiene che la propria organizzazione abbia già ridisegnato in modo fondamentale</w:t>
      </w:r>
      <w:r w:rsidR="00390AC3">
        <w:rPr>
          <w:rFonts w:ascii="Times New Roman" w:hAnsi="Times New Roman" w:cs="Times New Roman"/>
          <w:kern w:val="0"/>
          <w14:ligatures w14:val="none"/>
        </w:rPr>
        <w:t xml:space="preserve"> </w:t>
      </w:r>
      <w:r w:rsidR="00707595" w:rsidRPr="00707595">
        <w:rPr>
          <w:rFonts w:ascii="Times New Roman" w:hAnsi="Times New Roman" w:cs="Times New Roman"/>
          <w:kern w:val="0"/>
          <w14:ligatures w14:val="none"/>
        </w:rPr>
        <w:t>alcuni workflow, suggerendo che l’adozione di tali strumenti non si limita ad aggiungere livelli di automazione, ma interviene sulla stessa architettura dei processi di lavoro (McKinsey &amp; Company, 2025).</w:t>
      </w:r>
    </w:p>
    <w:p w14:paraId="14337F12" w14:textId="5C905DF8" w:rsidR="002660C1" w:rsidRPr="002660C1" w:rsidRDefault="002660C1" w:rsidP="00F572B4">
      <w:pPr>
        <w:spacing w:before="100" w:beforeAutospacing="1" w:after="100" w:afterAutospacing="1" w:line="240" w:lineRule="auto"/>
        <w:jc w:val="both"/>
        <w:rPr>
          <w:rFonts w:ascii="Times New Roman" w:hAnsi="Times New Roman" w:cs="Times New Roman"/>
          <w:kern w:val="0"/>
          <w14:ligatures w14:val="none"/>
        </w:rPr>
      </w:pPr>
      <w:r w:rsidRPr="002660C1">
        <w:rPr>
          <w:rFonts w:ascii="Times New Roman" w:hAnsi="Times New Roman" w:cs="Times New Roman"/>
          <w:kern w:val="0"/>
          <w14:ligatures w14:val="none"/>
        </w:rPr>
        <w:t xml:space="preserve">Queste dinamiche non riguardano </w:t>
      </w:r>
      <w:r w:rsidR="00390AC3">
        <w:rPr>
          <w:rFonts w:ascii="Times New Roman" w:hAnsi="Times New Roman" w:cs="Times New Roman"/>
          <w:kern w:val="0"/>
          <w14:ligatures w14:val="none"/>
        </w:rPr>
        <w:t>pi</w:t>
      </w:r>
      <w:r w:rsidR="00BA5781">
        <w:rPr>
          <w:rFonts w:ascii="Times New Roman" w:hAnsi="Times New Roman" w:cs="Times New Roman"/>
          <w:kern w:val="0"/>
          <w14:ligatures w14:val="none"/>
        </w:rPr>
        <w:t xml:space="preserve">ù </w:t>
      </w:r>
      <w:r w:rsidRPr="002660C1">
        <w:rPr>
          <w:rFonts w:ascii="Times New Roman" w:hAnsi="Times New Roman" w:cs="Times New Roman"/>
          <w:kern w:val="0"/>
          <w14:ligatures w14:val="none"/>
        </w:rPr>
        <w:t xml:space="preserve">soltanto </w:t>
      </w:r>
      <w:r w:rsidR="00BA5781">
        <w:rPr>
          <w:rFonts w:ascii="Times New Roman" w:hAnsi="Times New Roman" w:cs="Times New Roman"/>
          <w:kern w:val="0"/>
          <w14:ligatures w14:val="none"/>
        </w:rPr>
        <w:t xml:space="preserve">i </w:t>
      </w:r>
      <w:r w:rsidRPr="002660C1">
        <w:rPr>
          <w:rFonts w:ascii="Times New Roman" w:hAnsi="Times New Roman" w:cs="Times New Roman"/>
          <w:kern w:val="0"/>
          <w14:ligatures w14:val="none"/>
        </w:rPr>
        <w:t>settori altamente tecnologici, ma attraversano in modo trasversale molteplici domini professionali: dalla consulenza alla comunicazione, dal customer care alla programmazione, dal marketing alla produzione di contenuti. L’OCSE sottolinea come, pur partendo da livelli di adozione ancora eterogenei, i paesi avanzati si trovino probabilmente “sull’orlo di una rivoluzione dell’AI”, in cui l’automazione e l’aumento di capacità dei compiti lavorativi mediante sistemi intelligenti sono destinati a rimodellare profondamente l’organizzazione del lavoro, le competenze richieste e la qualità delle posizioni lavorative (OECD, 2023). In questo scenario, l’intelligenza artificiale non è soltanto una tecnologia che entra nei luoghi di lavoro, ma una componente che sta ridefinendo ciò che viene considerato lavoro cognitivo e produttivo.</w:t>
      </w:r>
    </w:p>
    <w:p w14:paraId="5C9BFD5F" w14:textId="125B84B4" w:rsidR="002660C1" w:rsidRPr="002660C1" w:rsidRDefault="002660C1" w:rsidP="00F572B4">
      <w:pPr>
        <w:spacing w:before="100" w:beforeAutospacing="1" w:after="100" w:afterAutospacing="1" w:line="240" w:lineRule="auto"/>
        <w:jc w:val="both"/>
        <w:rPr>
          <w:rFonts w:ascii="Times New Roman" w:hAnsi="Times New Roman" w:cs="Times New Roman"/>
          <w:kern w:val="0"/>
          <w14:ligatures w14:val="none"/>
        </w:rPr>
      </w:pPr>
      <w:r w:rsidRPr="002660C1">
        <w:rPr>
          <w:rFonts w:ascii="Times New Roman" w:hAnsi="Times New Roman" w:cs="Times New Roman"/>
          <w:kern w:val="0"/>
          <w14:ligatures w14:val="none"/>
        </w:rPr>
        <w:t>Gran parte del dibattito pubblico si è concentrata soprattutto su due assi: da un lato l’impatto dell’AI sull’occupazione (quali lavori verranno sostituiti, quali trasformati, quali creati), dall’altro la questione della produttività, dell’efficienza e del risparmio di tempo. Queste dimensioni sono certamente rilevanti, ma rischiano di lasciare in ombra un aspetto altrettanto cruciale: il modo in cui l’uso dell’intelligenza artificiale generativa riconfigura i processi di produzione di conoscenza nel lavoro quotidiano. In molti contesti, i sistemi generativi vengono impiegati per scrivere e riscrivere testi, sintetizzare documenti, formulare proposte, strutturare argomentazioni, analizzare dati, preparare presentazioni o report. Non si limitano quindi ad automatizzare compiti meramente esecutivi, ma intervengono in attività che, tradizionalmente, costituivano il cuore del lavoro dei knowledge workers e di altri profili professionali che operano attraverso il linguaggio, l’interpretazione e la decisione.</w:t>
      </w:r>
    </w:p>
    <w:p w14:paraId="1ED67615" w14:textId="444C07DF" w:rsidR="002660C1" w:rsidRPr="002660C1" w:rsidRDefault="002660C1" w:rsidP="00F572B4">
      <w:pPr>
        <w:spacing w:before="100" w:beforeAutospacing="1" w:after="100" w:afterAutospacing="1" w:line="240" w:lineRule="auto"/>
        <w:jc w:val="both"/>
        <w:rPr>
          <w:rFonts w:ascii="Times New Roman" w:hAnsi="Times New Roman" w:cs="Times New Roman"/>
          <w:kern w:val="0"/>
          <w14:ligatures w14:val="none"/>
        </w:rPr>
      </w:pPr>
      <w:r w:rsidRPr="002660C1">
        <w:rPr>
          <w:rFonts w:ascii="Times New Roman" w:hAnsi="Times New Roman" w:cs="Times New Roman"/>
          <w:kern w:val="0"/>
          <w14:ligatures w14:val="none"/>
        </w:rPr>
        <w:t>In questa prospettiva, diventa centrale interrogarsi su come</w:t>
      </w:r>
      <w:r w:rsidR="00191DAA">
        <w:rPr>
          <w:rFonts w:ascii="Times New Roman" w:hAnsi="Times New Roman" w:cs="Times New Roman"/>
          <w:kern w:val="0"/>
          <w14:ligatures w14:val="none"/>
        </w:rPr>
        <w:t xml:space="preserve"> i</w:t>
      </w:r>
      <w:r w:rsidR="006466AA">
        <w:rPr>
          <w:rFonts w:ascii="Times New Roman" w:hAnsi="Times New Roman" w:cs="Times New Roman"/>
          <w:kern w:val="0"/>
          <w14:ligatures w14:val="none"/>
        </w:rPr>
        <w:t xml:space="preserve"> </w:t>
      </w:r>
      <w:r w:rsidR="006466AA">
        <w:rPr>
          <w:rFonts w:ascii="Times New Roman" w:hAnsi="Times New Roman" w:cs="Times New Roman"/>
          <w:i/>
          <w:iCs/>
          <w:kern w:val="0"/>
          <w14:ligatures w14:val="none"/>
        </w:rPr>
        <w:t>Knowledge workers</w:t>
      </w:r>
      <w:r w:rsidRPr="002660C1">
        <w:rPr>
          <w:rFonts w:ascii="Times New Roman" w:hAnsi="Times New Roman" w:cs="Times New Roman"/>
          <w:kern w:val="0"/>
          <w14:ligatures w14:val="none"/>
        </w:rPr>
        <w:t xml:space="preserve">, in contesti differenti, integrino l’IA generativa nelle loro pratiche quotidiane e su come ciò trasformi autorialità, responsabilità e senso di competenza. Da un lato emergono fenomeni di sperimentazione “dal basso”, in cui singoli dipendenti utilizzano strumenti generativi in modo più o meno informale per alleggerire il carico di lavoro, gestire volumi crescenti di informazioni, affrontare scadenze serrate; dall’altro lato alcune organizzazioni iniziano a incoraggiare, regolamentare o persino strutturare l’utilizzo di sistemi generativi, mentre altre adottano posizioni più caute o restrittive, producendo un quadro complessivo fortemente disomogeneo e in rapida evoluzione (OECD, 2023). </w:t>
      </w:r>
    </w:p>
    <w:p w14:paraId="247CC378" w14:textId="1DA01B45" w:rsidR="002660C1" w:rsidRPr="002660C1" w:rsidRDefault="002660C1" w:rsidP="00F572B4">
      <w:pPr>
        <w:spacing w:before="100" w:beforeAutospacing="1" w:after="100" w:afterAutospacing="1" w:line="240" w:lineRule="auto"/>
        <w:jc w:val="both"/>
        <w:rPr>
          <w:rFonts w:ascii="Times New Roman" w:hAnsi="Times New Roman" w:cs="Times New Roman"/>
          <w:kern w:val="0"/>
          <w14:ligatures w14:val="none"/>
        </w:rPr>
      </w:pPr>
      <w:r w:rsidRPr="002660C1">
        <w:rPr>
          <w:rFonts w:ascii="Times New Roman" w:hAnsi="Times New Roman" w:cs="Times New Roman"/>
          <w:kern w:val="0"/>
          <w14:ligatures w14:val="none"/>
        </w:rPr>
        <w:t>La presente ricerca si colloca all’interno di questo scenario, proponendo di analizzare l’uso dell’intelligenza artificiale generativa da due punti di osservazione complementari: da un lato, le discussioni e le narrazioni prodotte dagli utenti su piattaforme digitali come Reddit</w:t>
      </w:r>
      <w:r w:rsidR="00A856A7">
        <w:rPr>
          <w:rFonts w:ascii="Times New Roman" w:hAnsi="Times New Roman" w:cs="Times New Roman"/>
          <w:kern w:val="0"/>
          <w14:ligatures w14:val="none"/>
        </w:rPr>
        <w:t xml:space="preserve">, </w:t>
      </w:r>
      <w:r w:rsidRPr="002660C1">
        <w:rPr>
          <w:rFonts w:ascii="Times New Roman" w:hAnsi="Times New Roman" w:cs="Times New Roman"/>
          <w:kern w:val="0"/>
          <w14:ligatures w14:val="none"/>
        </w:rPr>
        <w:t xml:space="preserve">dall’altro lato, le pratiche e le rappresentazioni di consulenti che operano in aziende in Italia, chiamati a confrontarsi con l’introduzione di questi strumenti in ambienti organizzativi specifici. Questa doppia prospettiva </w:t>
      </w:r>
      <w:r w:rsidR="006E5404">
        <w:rPr>
          <w:rFonts w:ascii="Times New Roman" w:hAnsi="Times New Roman" w:cs="Times New Roman"/>
          <w:kern w:val="0"/>
          <w14:ligatures w14:val="none"/>
        </w:rPr>
        <w:t xml:space="preserve">ha </w:t>
      </w:r>
      <w:r w:rsidR="006E5404">
        <w:rPr>
          <w:rFonts w:ascii="Times New Roman" w:hAnsi="Times New Roman" w:cs="Times New Roman"/>
          <w:kern w:val="0"/>
          <w14:ligatures w14:val="none"/>
        </w:rPr>
        <w:lastRenderedPageBreak/>
        <w:t>l’obiettivo</w:t>
      </w:r>
      <w:r w:rsidRPr="002660C1">
        <w:rPr>
          <w:rFonts w:ascii="Times New Roman" w:hAnsi="Times New Roman" w:cs="Times New Roman"/>
          <w:kern w:val="0"/>
          <w14:ligatures w14:val="none"/>
        </w:rPr>
        <w:t xml:space="preserve"> di mettere in dialogo un livello discorsivo online, con un livello situato che riguarda concrete ecologie lavorative nazionali.</w:t>
      </w:r>
    </w:p>
    <w:p w14:paraId="6163A324" w14:textId="77777777" w:rsidR="002660C1" w:rsidRPr="002660C1" w:rsidRDefault="002660C1" w:rsidP="00F572B4">
      <w:pPr>
        <w:spacing w:before="100" w:beforeAutospacing="1" w:after="100" w:afterAutospacing="1" w:line="240" w:lineRule="auto"/>
        <w:jc w:val="both"/>
        <w:rPr>
          <w:rFonts w:ascii="Times New Roman" w:hAnsi="Times New Roman" w:cs="Times New Roman"/>
          <w:kern w:val="0"/>
          <w14:ligatures w14:val="none"/>
        </w:rPr>
      </w:pPr>
    </w:p>
    <w:p w14:paraId="46768008" w14:textId="36AD924A" w:rsidR="002660C1" w:rsidRDefault="002660C1" w:rsidP="00F572B4">
      <w:pPr>
        <w:spacing w:before="100" w:beforeAutospacing="1" w:after="100" w:afterAutospacing="1" w:line="240" w:lineRule="auto"/>
        <w:jc w:val="both"/>
        <w:rPr>
          <w:rFonts w:ascii="Times New Roman" w:hAnsi="Times New Roman" w:cs="Times New Roman"/>
          <w:kern w:val="0"/>
          <w14:ligatures w14:val="none"/>
        </w:rPr>
      </w:pPr>
      <w:r w:rsidRPr="002660C1">
        <w:rPr>
          <w:rFonts w:ascii="Times New Roman" w:hAnsi="Times New Roman" w:cs="Times New Roman"/>
          <w:kern w:val="0"/>
          <w14:ligatures w14:val="none"/>
        </w:rPr>
        <w:t>Invece di assumere l’intelligenza artificiale generativa come semplice variabile esogena che incide “sul” lavoro, la tesi la considera come un elemento interno alle pratiche con cui il lavoro viene pensato, organizzato e reso intelligibile. L’attenzione non è rivolta soltanto a ciò che la genAI consente di fare in più o più velocemente, ma a come essa</w:t>
      </w:r>
      <w:r w:rsidR="002C553C">
        <w:rPr>
          <w:rFonts w:ascii="Times New Roman" w:hAnsi="Times New Roman" w:cs="Times New Roman"/>
          <w:kern w:val="0"/>
          <w14:ligatures w14:val="none"/>
        </w:rPr>
        <w:t xml:space="preserve"> </w:t>
      </w:r>
      <w:r w:rsidRPr="002660C1">
        <w:rPr>
          <w:rFonts w:ascii="Times New Roman" w:hAnsi="Times New Roman" w:cs="Times New Roman"/>
          <w:kern w:val="0"/>
          <w14:ligatures w14:val="none"/>
        </w:rPr>
        <w:t>partecipi alla definizione di che cosa conta come informazione rilevante,</w:t>
      </w:r>
      <w:r w:rsidR="002C553C">
        <w:rPr>
          <w:rFonts w:ascii="Times New Roman" w:hAnsi="Times New Roman" w:cs="Times New Roman"/>
          <w:kern w:val="0"/>
          <w14:ligatures w14:val="none"/>
        </w:rPr>
        <w:t xml:space="preserve"> </w:t>
      </w:r>
      <w:r w:rsidRPr="002660C1">
        <w:rPr>
          <w:rFonts w:ascii="Times New Roman" w:hAnsi="Times New Roman" w:cs="Times New Roman"/>
          <w:kern w:val="0"/>
          <w14:ligatures w14:val="none"/>
        </w:rPr>
        <w:t xml:space="preserve">argomentazione convincente, decisione accettabile o prodotto di conoscenza adeguato all’interno dei contesti </w:t>
      </w:r>
      <w:r w:rsidR="00832847">
        <w:rPr>
          <w:rFonts w:ascii="Times New Roman" w:hAnsi="Times New Roman" w:cs="Times New Roman"/>
          <w:kern w:val="0"/>
          <w14:ligatures w14:val="none"/>
        </w:rPr>
        <w:t>aziendali</w:t>
      </w:r>
      <w:r w:rsidRPr="002660C1">
        <w:rPr>
          <w:rFonts w:ascii="Times New Roman" w:hAnsi="Times New Roman" w:cs="Times New Roman"/>
          <w:kern w:val="0"/>
          <w14:ligatures w14:val="none"/>
        </w:rPr>
        <w:t>. In questo senso, il lavoro si inserisce nel più ampio dibattito sull’uso dell’intelligenza artificiale nella ricerca sociale (Christou, 2025) e nella proposta di un’epistemologia adattiva come quadro per ripensare la produzione di conoscenza in condizioni post-digitali (Punziano, 2025)</w:t>
      </w:r>
      <w:r w:rsidR="0042036D">
        <w:rPr>
          <w:rFonts w:ascii="Times New Roman" w:hAnsi="Times New Roman" w:cs="Times New Roman"/>
          <w:kern w:val="0"/>
          <w14:ligatures w14:val="none"/>
        </w:rPr>
        <w:t xml:space="preserve"> che di seguito approfondiremo</w:t>
      </w:r>
      <w:r w:rsidRPr="002660C1">
        <w:rPr>
          <w:rFonts w:ascii="Times New Roman" w:hAnsi="Times New Roman" w:cs="Times New Roman"/>
          <w:kern w:val="0"/>
          <w14:ligatures w14:val="none"/>
        </w:rPr>
        <w:t xml:space="preserve">. </w:t>
      </w:r>
    </w:p>
    <w:p w14:paraId="7EB72FD7" w14:textId="77777777" w:rsidR="00570B19" w:rsidRDefault="00570B19" w:rsidP="006A5CD1">
      <w:pPr>
        <w:pStyle w:val="Heading2"/>
        <w:rPr>
          <w:rFonts w:ascii="Times New Roman" w:eastAsia="Times New Roman" w:hAnsi="Times New Roman" w:cs="Times New Roman"/>
        </w:rPr>
      </w:pPr>
    </w:p>
    <w:p w14:paraId="2672E8B6" w14:textId="772534B6" w:rsidR="00302495" w:rsidRPr="006A5CD1" w:rsidRDefault="00F52462" w:rsidP="006A5CD1">
      <w:pPr>
        <w:pStyle w:val="Heading2"/>
        <w:rPr>
          <w:rFonts w:ascii="Times New Roman" w:eastAsia="Times New Roman" w:hAnsi="Times New Roman" w:cs="Times New Roman"/>
        </w:rPr>
      </w:pPr>
      <w:bookmarkStart w:id="2" w:name="_Toc215663059"/>
      <w:r>
        <w:rPr>
          <w:rFonts w:ascii="Times New Roman" w:eastAsia="Times New Roman" w:hAnsi="Times New Roman" w:cs="Times New Roman"/>
        </w:rPr>
        <w:t>La condizione</w:t>
      </w:r>
      <w:r w:rsidR="00302495" w:rsidRPr="006A5CD1">
        <w:rPr>
          <w:rFonts w:ascii="Times New Roman" w:eastAsia="Times New Roman" w:hAnsi="Times New Roman" w:cs="Times New Roman"/>
        </w:rPr>
        <w:t xml:space="preserve"> post-digitale e </w:t>
      </w:r>
      <w:r>
        <w:rPr>
          <w:rFonts w:ascii="Times New Roman" w:eastAsia="Times New Roman" w:hAnsi="Times New Roman" w:cs="Times New Roman"/>
        </w:rPr>
        <w:t xml:space="preserve">la </w:t>
      </w:r>
      <w:r w:rsidR="00302495" w:rsidRPr="006A5CD1">
        <w:rPr>
          <w:rFonts w:ascii="Times New Roman" w:eastAsia="Times New Roman" w:hAnsi="Times New Roman" w:cs="Times New Roman"/>
        </w:rPr>
        <w:t>crisi dei vecchi schemi</w:t>
      </w:r>
      <w:bookmarkEnd w:id="2"/>
    </w:p>
    <w:p w14:paraId="5B311774" w14:textId="67A2B8C7" w:rsidR="005D742E" w:rsidRDefault="005D742E" w:rsidP="00B66E0F">
      <w:pPr>
        <w:pStyle w:val="p1"/>
        <w:jc w:val="both"/>
      </w:pPr>
      <w:r>
        <w:rPr>
          <w:rStyle w:val="s1"/>
        </w:rPr>
        <w:t xml:space="preserve">Per comprendere la portata del cambiamento introdotto dall’intelligenza artificiale generativa non basta parlare di nuove tecniche o di strumenti più efficienti: il nodo è innanzitutto epistemologico. La storia delle scienze sociali è stata a lungo organizzata attorno alla dualità tra </w:t>
      </w:r>
      <w:r>
        <w:rPr>
          <w:rStyle w:val="s2"/>
        </w:rPr>
        <w:t>positivismo</w:t>
      </w:r>
      <w:r>
        <w:rPr>
          <w:rStyle w:val="s1"/>
        </w:rPr>
        <w:t xml:space="preserve"> e </w:t>
      </w:r>
      <w:r>
        <w:rPr>
          <w:rStyle w:val="s2"/>
        </w:rPr>
        <w:t>interpretativismo</w:t>
      </w:r>
      <w:r>
        <w:rPr>
          <w:rStyle w:val="s1"/>
        </w:rPr>
        <w:t>, che ha funzionato come matrice di legittimazione disciplinare e al tempo stesso come gabbia concettuale. Da un lato, il paradigma positivista, erede della “filosofia positiva” di Comte, ha spinto verso una “scienza della società” fondata su osservazione empirica, misurazione e ricerca di leggi generali, avvicinando le scienze sociali al modello delle scienze naturali (Comte, 1853; Bailey &amp; Eastman, 1994; Punziano, 2025, pp. 3–4). Dall’altro, la tradizione interpretativista, che affonda le radici in Weber e Dilthey e prosegue con l’interazionismo simbolico, ha contestato l’applicabilità diretta di tali modelli, insistendo su significato, contesto e soggettività, e privilegiando metodi qualitativi come interviste in profondità, osservazione partecipante ed etnografia (Weber, 1949; Denzin, 1989; Schwandt, 1994).</w:t>
      </w:r>
      <w:r w:rsidR="00BD49D9">
        <w:t xml:space="preserve"> </w:t>
      </w:r>
      <w:r>
        <w:rPr>
          <w:rStyle w:val="s1"/>
        </w:rPr>
        <w:t xml:space="preserve">Questa faglia non è soltanto metodologica, ma riflette due impegni epistemologici diversi: da un lato la ricerca di regolarità causali e di criteri di oggettività; dall’altro la centralità della comprensione situata e della co-costruzione della realtà sociale. Non a caso, Guba e Lincoln parlano di </w:t>
      </w:r>
      <w:r w:rsidRPr="00076F5D">
        <w:rPr>
          <w:rStyle w:val="s3"/>
          <w:i/>
          <w:iCs/>
        </w:rPr>
        <w:t>paradigm wars</w:t>
      </w:r>
      <w:r w:rsidRPr="00076F5D">
        <w:rPr>
          <w:rStyle w:val="s1"/>
          <w:i/>
          <w:iCs/>
        </w:rPr>
        <w:t xml:space="preserve"> </w:t>
      </w:r>
      <w:r>
        <w:rPr>
          <w:rStyle w:val="s1"/>
        </w:rPr>
        <w:t>per descrivere il conflitto fra approcci positivisti/post-positivisti e interpretativisti/constr</w:t>
      </w:r>
      <w:r w:rsidR="00F94272">
        <w:rPr>
          <w:rStyle w:val="s1"/>
        </w:rPr>
        <w:t>utt</w:t>
      </w:r>
      <w:r>
        <w:rPr>
          <w:rStyle w:val="s1"/>
        </w:rPr>
        <w:t>ivisti rispetto a cosa conti come conoscenza valida (Guba &amp; Lincoln, 1994; Punziano, 2025, pp. 2–4).</w:t>
      </w:r>
      <w:r w:rsidR="00BD49D9">
        <w:t xml:space="preserve"> </w:t>
      </w:r>
      <w:r>
        <w:rPr>
          <w:rStyle w:val="s1"/>
        </w:rPr>
        <w:t xml:space="preserve">Nel corso del Novecento, questa polarizzazione è stata progressivamente messa in discussione dall’emergere di </w:t>
      </w:r>
      <w:r>
        <w:rPr>
          <w:rStyle w:val="s2"/>
        </w:rPr>
        <w:t>realismo critico, pragmatismo, paradigmi trasformativi, metodi misti e metodi digitali</w:t>
      </w:r>
      <w:r>
        <w:rPr>
          <w:rStyle w:val="s1"/>
        </w:rPr>
        <w:t>, che hanno tentato di superare la rigida opposizione fra quantitativo e qualitativo, spiegazione e comprensione (Bhaskar, 1975, 1979; Morgan, 2007; Biesta, 2010; Punziano, 2025, pp. 2–3). Tuttavia, anche queste soluzioni “pacificatrici” si collocano in larga parte entro un orizzonte ancora centrato su soggetti umani e su ambienti relativamente stabili, dove i dati sono raccolti, archiviati e analizzati in sequenze tutto sommato lineari.</w:t>
      </w:r>
      <w:r w:rsidR="00BD49D9">
        <w:t xml:space="preserve"> </w:t>
      </w:r>
      <w:r>
        <w:rPr>
          <w:rStyle w:val="s1"/>
        </w:rPr>
        <w:t xml:space="preserve">Con la </w:t>
      </w:r>
      <w:r>
        <w:rPr>
          <w:rStyle w:val="s2"/>
        </w:rPr>
        <w:t>condizione post-digitale</w:t>
      </w:r>
      <w:r>
        <w:rPr>
          <w:rStyle w:val="s1"/>
        </w:rPr>
        <w:t xml:space="preserve">, questo scenario si incrina. Il termine non descrive semplicemente una società “molto digitale”, ma una realtà socio-tecnica in cui </w:t>
      </w:r>
      <w:r>
        <w:rPr>
          <w:rStyle w:val="s2"/>
        </w:rPr>
        <w:lastRenderedPageBreak/>
        <w:t>dataficazione, piattaformizzazione e infrastrutture algoritmiche pervasive</w:t>
      </w:r>
      <w:r>
        <w:rPr>
          <w:rStyle w:val="s1"/>
        </w:rPr>
        <w:t xml:space="preserve"> rendono inseparabili ambienti sociali e ambienti tecnici (Amaturo &amp; Aragona, 2022; Punziano, 2025). In questo contesto, la produzione di conoscenza non avviene più “fuori” dai sistemi che la mediano: piattaforme, modelli generativi, sistemi di raccomandazione e infrastrutture di calcolo partecipano attivamente a definire cosa può essere visto, raccolto, analizzato e considerato rilevante. Le categorie classiche di “raccolta dati”, “analisi” e “interpretazione” tendono a sovrapporsi e ibridarsi.</w:t>
      </w:r>
    </w:p>
    <w:p w14:paraId="6B6FDD47" w14:textId="6A065E4A" w:rsidR="005D742E" w:rsidRDefault="005D742E" w:rsidP="00B66E0F">
      <w:pPr>
        <w:pStyle w:val="p1"/>
        <w:jc w:val="both"/>
      </w:pPr>
      <w:r>
        <w:rPr>
          <w:rStyle w:val="s1"/>
        </w:rPr>
        <w:t xml:space="preserve">Punziano propone di leggere questo passaggio come una vera e propria </w:t>
      </w:r>
      <w:r>
        <w:rPr>
          <w:rStyle w:val="s2"/>
        </w:rPr>
        <w:t>rottura epistemologica</w:t>
      </w:r>
      <w:r>
        <w:rPr>
          <w:rStyle w:val="s1"/>
        </w:rPr>
        <w:t xml:space="preserve">. In un’epoca segnata da piattaforme digitali e modelli linguistici di grandi dimensioni, i confini tra strumenti, contesto e oggetto di ricerca si fanno porosi: la conoscenza non appare più come un prodotto stabile estratto dalla realtà, ma come un processo dinamico che emerge dalle interazioni tra agenti umani e non umani (Punziano, 2025, pp. 2–3, 9–11). In questa prospettiva, i sistemi generativi diventano </w:t>
      </w:r>
      <w:r>
        <w:rPr>
          <w:rStyle w:val="s2"/>
        </w:rPr>
        <w:t>attori epistemici situati</w:t>
      </w:r>
      <w:r>
        <w:rPr>
          <w:rStyle w:val="s1"/>
        </w:rPr>
        <w:t>, dotati di capacità generative e adattive che riorganizzano le traiettorie dell’indagine, suggeriscono pattern, ipotesi e configurazioni concettuali, e mettono in crisi l’idea del ricercatore come unico arbitro del significato.</w:t>
      </w:r>
      <w:r w:rsidR="00574C0C">
        <w:t xml:space="preserve"> </w:t>
      </w:r>
      <w:r>
        <w:rPr>
          <w:rStyle w:val="s1"/>
        </w:rPr>
        <w:t xml:space="preserve">Questa diagnosi si collega a una serie di riflessioni teoriche che avevano già iniziato a incrinare il mito dell’osservatore neutrale: dalle </w:t>
      </w:r>
      <w:r>
        <w:rPr>
          <w:rStyle w:val="s3"/>
        </w:rPr>
        <w:t>situated knowledges</w:t>
      </w:r>
      <w:r>
        <w:rPr>
          <w:rStyle w:val="s1"/>
        </w:rPr>
        <w:t xml:space="preserve"> di Haraway (1988), che sottolineano il carattere posizionale di ogni conoscenza, alle teorie dell’“epistemology of the digital” che evidenziano il ruolo strutturante delle infrastrutture tecniche nei processi cognitivi (Haraway, 1988; Amaturo &amp; Aragona, 2022; Barad, 2008; Punziano, 2025, p. 2). L’ingresso della gen</w:t>
      </w:r>
      <w:r w:rsidR="00752734">
        <w:rPr>
          <w:rStyle w:val="s1"/>
        </w:rPr>
        <w:t>A</w:t>
      </w:r>
      <w:r>
        <w:rPr>
          <w:rStyle w:val="s1"/>
        </w:rPr>
        <w:t xml:space="preserve">I porta queste intuizioni a un nuovo livello: l’agentività dei sistemi non umani non riguarda più soltanto la mediazione o la filtrazione del dato, ma la </w:t>
      </w:r>
      <w:r>
        <w:rPr>
          <w:rStyle w:val="s2"/>
        </w:rPr>
        <w:t>produzione stessa di contenuti, interpretazioni e sintesi</w:t>
      </w:r>
      <w:r>
        <w:rPr>
          <w:rStyle w:val="s1"/>
        </w:rPr>
        <w:t>.</w:t>
      </w:r>
      <w:r w:rsidR="00574C0C">
        <w:t xml:space="preserve"> </w:t>
      </w:r>
      <w:r>
        <w:rPr>
          <w:rStyle w:val="s1"/>
        </w:rPr>
        <w:t xml:space="preserve">Le implicazioni si vedono con chiarezza nel dibattito sulla ricerca sociale con </w:t>
      </w:r>
      <w:r w:rsidR="00C61A3A">
        <w:rPr>
          <w:rStyle w:val="s1"/>
        </w:rPr>
        <w:t>l’Intelligenza Artificiale</w:t>
      </w:r>
      <w:r w:rsidR="00E1576C">
        <w:rPr>
          <w:rStyle w:val="s1"/>
        </w:rPr>
        <w:t xml:space="preserve">. </w:t>
      </w:r>
      <w:r>
        <w:rPr>
          <w:rStyle w:val="s1"/>
        </w:rPr>
        <w:t xml:space="preserve">Friese, ad esempio, utilizza la lente di Kuhn per interrogare se l’uso di sistemi generativi nella codifica e nell’analisi dei testi stia aprendo una fase di “crisi” del paradigma consolidato della coding-based qualitative analysis (Friese, 2025, cap. 7, in Christou, 2025). L’autrice mostra come pratiche ormai standardizzate – segmentare i dati, attribuire codici, derivare temi – vengano messe in discussione dalla possibilità di lavorare attraverso </w:t>
      </w:r>
      <w:r>
        <w:rPr>
          <w:rStyle w:val="s2"/>
        </w:rPr>
        <w:t>interrogazioni iterative all</w:t>
      </w:r>
      <w:r w:rsidR="00810189">
        <w:rPr>
          <w:rStyle w:val="s2"/>
        </w:rPr>
        <w:t>a genAI (es. ChatGPT)</w:t>
      </w:r>
      <w:r>
        <w:rPr>
          <w:rStyle w:val="s1"/>
        </w:rPr>
        <w:t>, che scandagliano il corpus e restituiscono pattern, sintesi e citazioni in modo quasi conversazionale (Friese, 2025, pp. 71–75). Pur senza costituire ancora un “paradigma” nel senso forte di Kuhn, queste pratiche minano credenze epistemologiche radicate su cosa significhi conoscere qualitativamente: non più solo organizzare meticolosamente i dati, ma dialogare con un sistema in grado di attraversarli e ricombinarli.</w:t>
      </w:r>
      <w:r w:rsidR="00AB2092">
        <w:t xml:space="preserve"> </w:t>
      </w:r>
      <w:r>
        <w:rPr>
          <w:rStyle w:val="s1"/>
        </w:rPr>
        <w:t xml:space="preserve">In modo </w:t>
      </w:r>
      <w:r w:rsidR="00AB2092">
        <w:rPr>
          <w:rStyle w:val="s1"/>
        </w:rPr>
        <w:t>analogo</w:t>
      </w:r>
      <w:r>
        <w:rPr>
          <w:rStyle w:val="s1"/>
        </w:rPr>
        <w:t xml:space="preserve">, </w:t>
      </w:r>
      <w:r w:rsidR="00607D2D">
        <w:rPr>
          <w:rStyle w:val="s1"/>
        </w:rPr>
        <w:t xml:space="preserve">si </w:t>
      </w:r>
      <w:r w:rsidR="00AB2092">
        <w:rPr>
          <w:rStyle w:val="s1"/>
        </w:rPr>
        <w:t>pone la questione</w:t>
      </w:r>
      <w:r w:rsidR="00607D2D">
        <w:rPr>
          <w:rStyle w:val="s1"/>
        </w:rPr>
        <w:t xml:space="preserve"> del</w:t>
      </w:r>
      <w:r>
        <w:rPr>
          <w:rStyle w:val="s1"/>
        </w:rPr>
        <w:t xml:space="preserve">la </w:t>
      </w:r>
      <w:r>
        <w:rPr>
          <w:rStyle w:val="s2"/>
        </w:rPr>
        <w:t>compatibilità metodologica</w:t>
      </w:r>
      <w:r>
        <w:rPr>
          <w:rStyle w:val="s1"/>
        </w:rPr>
        <w:t xml:space="preserve"> tra </w:t>
      </w:r>
      <w:r w:rsidR="005E192F">
        <w:rPr>
          <w:rStyle w:val="s1"/>
        </w:rPr>
        <w:t>GenA</w:t>
      </w:r>
      <w:r w:rsidR="00647457">
        <w:rPr>
          <w:rStyle w:val="s1"/>
        </w:rPr>
        <w:t>I</w:t>
      </w:r>
      <w:r>
        <w:rPr>
          <w:rStyle w:val="s1"/>
        </w:rPr>
        <w:t xml:space="preserve"> e ricerca qualitativa, evidenziando come l’incontro fra un’epistemologia che assume la conoscenza come co-costruita e situata, e sistemi basati su logiche di calcolo probabilistico, ponga tensioni profonde sulla definizione di validità, significato e posizione del ricercatore (Hitch et al., 2025, cap. 6, in Christou, 2025). Altri </w:t>
      </w:r>
      <w:r w:rsidR="00647457">
        <w:rPr>
          <w:rStyle w:val="s1"/>
        </w:rPr>
        <w:t>ricercatori</w:t>
      </w:r>
      <w:r>
        <w:rPr>
          <w:rStyle w:val="s1"/>
        </w:rPr>
        <w:t xml:space="preserve"> insistono sui temi di rigore, bias e trasparenza: l’uso di strumenti AI obbliga a ripensare categorie come affidabilità, credibilità e validità, dato che i modelli incorporano e amplificano bias presenti nei dati di addestramento e nelle architetture stesse (Kouros et al., 2025; Christou, 2023a; Christou, 2025, cap. 11–12).</w:t>
      </w:r>
    </w:p>
    <w:p w14:paraId="497CFE6F" w14:textId="03F02D06" w:rsidR="005D742E" w:rsidRDefault="005D742E" w:rsidP="00B66E0F">
      <w:pPr>
        <w:pStyle w:val="p1"/>
        <w:jc w:val="both"/>
      </w:pPr>
      <w:r>
        <w:rPr>
          <w:rStyle w:val="s1"/>
        </w:rPr>
        <w:t xml:space="preserve">Ciò che emerge, in sintesi, è una </w:t>
      </w:r>
      <w:r>
        <w:rPr>
          <w:rStyle w:val="s2"/>
        </w:rPr>
        <w:t>crisi dei vecchi schemi</w:t>
      </w:r>
      <w:r>
        <w:rPr>
          <w:rStyle w:val="s1"/>
        </w:rPr>
        <w:t>: non soltanto quelli delle dicotomie paradigmatiche storiche</w:t>
      </w:r>
      <w:r w:rsidR="00AA1E06">
        <w:rPr>
          <w:rStyle w:val="s1"/>
        </w:rPr>
        <w:t xml:space="preserve"> </w:t>
      </w:r>
      <w:r>
        <w:rPr>
          <w:rStyle w:val="s1"/>
        </w:rPr>
        <w:t xml:space="preserve">(quantitativo/qualitativo, spiegazione/comprensione), ma anche quelli che separano nettamente metodi, dati e </w:t>
      </w:r>
      <w:r>
        <w:rPr>
          <w:rStyle w:val="s1"/>
        </w:rPr>
        <w:lastRenderedPageBreak/>
        <w:t>strumenti. Nel quadro delineato da Punziano, l’epistemologia adattiva prende forma proprio come risposta a questa crisi, proponendo di assumere l</w:t>
      </w:r>
      <w:r w:rsidR="00AA1E06">
        <w:rPr>
          <w:rStyle w:val="s1"/>
        </w:rPr>
        <w:t>’</w:t>
      </w:r>
      <w:r>
        <w:rPr>
          <w:rStyle w:val="s2"/>
        </w:rPr>
        <w:t>ibridità socio-tecnica</w:t>
      </w:r>
      <w:r>
        <w:rPr>
          <w:rStyle w:val="s1"/>
        </w:rPr>
        <w:t xml:space="preserve"> e la generatività </w:t>
      </w:r>
      <w:r w:rsidR="005A15A3">
        <w:rPr>
          <w:rStyle w:val="s1"/>
        </w:rPr>
        <w:t>dell’IA</w:t>
      </w:r>
      <w:r>
        <w:rPr>
          <w:rStyle w:val="s1"/>
        </w:rPr>
        <w:t xml:space="preserve"> come condizioni strutturali della ricerca e non come eccezioni da “contenere” metodologicamente (Punziano, 2025, pp. 11–15).</w:t>
      </w:r>
    </w:p>
    <w:p w14:paraId="5B39CAEE" w14:textId="75B1252F" w:rsidR="005D742E" w:rsidRDefault="005D742E" w:rsidP="00B66E0F">
      <w:pPr>
        <w:pStyle w:val="p1"/>
        <w:jc w:val="both"/>
        <w:rPr>
          <w:rStyle w:val="s1"/>
        </w:rPr>
      </w:pPr>
      <w:r>
        <w:rPr>
          <w:rStyle w:val="s1"/>
        </w:rPr>
        <w:t xml:space="preserve">Per una ricerca sull’uso della genAI sul posto di lavoro, questa problematizzazione non è un contorno teorico opzionale, ma il punto di partenza: i lavoratori che integrano sistemi generativi nei propri compiti non stanno soltanto cambiando strumenti, ma stanno partecipando a un </w:t>
      </w:r>
      <w:r>
        <w:rPr>
          <w:rStyle w:val="s2"/>
        </w:rPr>
        <w:t>riassetto delle condizioni epistemiche</w:t>
      </w:r>
      <w:r>
        <w:rPr>
          <w:rStyle w:val="s1"/>
        </w:rPr>
        <w:t xml:space="preserve"> del loro lavoro cognitivo. Comprendere tale riassetto implica interrogare come, in una condizione post-digitale, i tradizionali criteri di oggettività, competenza, autorialità e responsabilità vengano ridefiniti all’interno di assemblaggi in cui agenti umani e modelli generativi co-producono sapere, decisioni e prodotti simbolici. </w:t>
      </w:r>
    </w:p>
    <w:p w14:paraId="62304AB2" w14:textId="77777777" w:rsidR="00574C0C" w:rsidRDefault="00574C0C" w:rsidP="00263054">
      <w:pPr>
        <w:pStyle w:val="Heading2"/>
        <w:rPr>
          <w:rFonts w:ascii="Times New Roman" w:eastAsia="Times New Roman" w:hAnsi="Times New Roman" w:cs="Times New Roman"/>
        </w:rPr>
      </w:pPr>
    </w:p>
    <w:p w14:paraId="4FF9988A" w14:textId="5BBFA52B" w:rsidR="003E5F50" w:rsidRPr="00263054" w:rsidRDefault="003E5F50" w:rsidP="00263054">
      <w:pPr>
        <w:pStyle w:val="Heading2"/>
        <w:rPr>
          <w:rFonts w:ascii="Times New Roman" w:eastAsia="Times New Roman" w:hAnsi="Times New Roman" w:cs="Times New Roman"/>
        </w:rPr>
      </w:pPr>
      <w:bookmarkStart w:id="3" w:name="_Toc215663060"/>
      <w:r w:rsidRPr="00263054">
        <w:rPr>
          <w:rFonts w:ascii="Times New Roman" w:eastAsia="Times New Roman" w:hAnsi="Times New Roman" w:cs="Times New Roman"/>
        </w:rPr>
        <w:t>Epistemologia adattiva e GenAI</w:t>
      </w:r>
      <w:bookmarkEnd w:id="3"/>
    </w:p>
    <w:p w14:paraId="4519D6D9" w14:textId="47748283" w:rsidR="00E70005" w:rsidRPr="00E70005" w:rsidRDefault="00574C0C" w:rsidP="00E70005">
      <w:pPr>
        <w:pStyle w:val="p1"/>
        <w:jc w:val="both"/>
        <w:rPr>
          <w:rStyle w:val="s1"/>
        </w:rPr>
      </w:pPr>
      <w:r>
        <w:rPr>
          <w:rStyle w:val="s1"/>
        </w:rPr>
        <w:t>In questo</w:t>
      </w:r>
      <w:r w:rsidR="00E70005" w:rsidRPr="00E70005">
        <w:rPr>
          <w:rStyle w:val="s1"/>
        </w:rPr>
        <w:t xml:space="preserve"> quadro</w:t>
      </w:r>
      <w:r>
        <w:rPr>
          <w:rStyle w:val="s1"/>
        </w:rPr>
        <w:t xml:space="preserve">, </w:t>
      </w:r>
      <w:r w:rsidR="00E70005" w:rsidRPr="00E70005">
        <w:rPr>
          <w:rStyle w:val="s1"/>
        </w:rPr>
        <w:t>l’epistemologia adattiva può essere intesa come un tentativo di riformulare il modo in cui la ricerca sociale concepisce la produzione di conoscenza in contesti post-digitali. Punziano propone di spostare l’attenzione dai singoli metodi o dalle tradizionali dualità paradigmatiche alla dinamica dei processi conoscitivi che si sviluppano all’interno di ecologie socio-tecniche in continuo mutamento (Punziano, 2025). In questa prospettiva, l’accento non è posto solo su “quali strumenti” vengano utilizzati, ma su come domande, dati e interpretazioni si co-evolvono quando attori umani e sistemi generativi interagiscono in modo iterativo (Punziano, 2025, pp. 11–13).</w:t>
      </w:r>
    </w:p>
    <w:p w14:paraId="6D122215" w14:textId="45887C23" w:rsidR="00E70005" w:rsidRPr="00E70005" w:rsidRDefault="00E70005" w:rsidP="00E70005">
      <w:pPr>
        <w:pStyle w:val="p1"/>
        <w:jc w:val="both"/>
        <w:rPr>
          <w:rStyle w:val="s1"/>
        </w:rPr>
      </w:pPr>
      <w:r w:rsidRPr="00E70005">
        <w:rPr>
          <w:rStyle w:val="s1"/>
        </w:rPr>
        <w:t>Un primo elemento distintivo dell’epistemologia adattiva riguarda la centralità dell’adattività: la conoscenza non è intesa come un esito stabile di un percorso lineare, ma come il risultato provvisorio di un processo che si riorganizza in risposta ai feedback prodotti dagli stessi dispositivi di indagine. L’uso dell’IA generativa accentua questa dimensione: la formulazione di prompt, la valutazione degli output e la riformulazione delle richieste costituiscono una sequenza ciclica in cui il confine tra fase esplorativa, analitica e interpretativa tende a sfumare (Punziano, 2025, pp. 9–11). Invece di immaginare un ricercatore che controlla dall’esterno un apparato neutro, l’epistemologia adattiva assume che il ricercatore sia interno a un assemblaggio che comprende partecipanti, piattaforme, modelli generativi e infrastrutture digitali, e che debba quindi sviluppare pratiche di aggiustamento continuo rispetto a tale contesto.</w:t>
      </w:r>
      <w:r w:rsidR="0013718F">
        <w:rPr>
          <w:rStyle w:val="s1"/>
        </w:rPr>
        <w:t xml:space="preserve"> </w:t>
      </w:r>
      <w:r w:rsidRPr="00E70005">
        <w:rPr>
          <w:rStyle w:val="s1"/>
        </w:rPr>
        <w:t xml:space="preserve">Un secondo elemento riguarda la co-produzione della conoscenza. Come mostrato da Punziano, nell’era dell’IA generativa la produzione di significato non può più essere attribuita esclusivamente agli attori umani: i sistemi generativi partecipano alla selezione, organizzazione e sintesi delle informazioni, incidendo sul modo in cui i fenomeni sociali vengono resi intelligibili (Punziano, 2025, pp. 9–13). Questo non implica attribuire ai modelli una soggettività autonoma, ma riconoscere che le loro operazioni probabilistiche entrano a far parte degli “apparati epistemici” attraverso cui la realtà viene indagata. In linea con le riflessioni sulla conoscenza situata e sugli assemblaggi socio-tecnici, l’epistemologia adattiva invita quindi a considerare gli output dell’IA come elementi interni al processo conoscitivo, da trattare criticamente </w:t>
      </w:r>
      <w:r w:rsidRPr="00E70005">
        <w:rPr>
          <w:rStyle w:val="s1"/>
        </w:rPr>
        <w:lastRenderedPageBreak/>
        <w:t>ma non da espellere a priori (Punziano, 2025, pp. 2–3, 11–15).</w:t>
      </w:r>
      <w:r w:rsidR="009763B9">
        <w:rPr>
          <w:rStyle w:val="s1"/>
        </w:rPr>
        <w:t xml:space="preserve"> L</w:t>
      </w:r>
      <w:r w:rsidRPr="00E70005">
        <w:rPr>
          <w:rStyle w:val="s1"/>
        </w:rPr>
        <w:t>’impiego di modelli generativi nella lettura e nella riorganizzazione dei testi sollecit</w:t>
      </w:r>
      <w:r w:rsidR="009763B9">
        <w:rPr>
          <w:rStyle w:val="s1"/>
        </w:rPr>
        <w:t>a</w:t>
      </w:r>
      <w:r w:rsidRPr="00E70005">
        <w:rPr>
          <w:rStyle w:val="s1"/>
        </w:rPr>
        <w:t xml:space="preserve"> una riconfigurazione delle fasi canoniche della </w:t>
      </w:r>
      <w:r w:rsidRPr="00E70005">
        <w:rPr>
          <w:rStyle w:val="s1"/>
          <w:i/>
          <w:iCs/>
        </w:rPr>
        <w:t>qualitative data analysis</w:t>
      </w:r>
      <w:r w:rsidR="00FE0A76">
        <w:rPr>
          <w:rStyle w:val="s1"/>
        </w:rPr>
        <w:t xml:space="preserve"> - </w:t>
      </w:r>
      <w:r w:rsidRPr="00E70005">
        <w:rPr>
          <w:rStyle w:val="s1"/>
        </w:rPr>
        <w:t>codifica, individuazione di temi, costruzione di categorie concettuali</w:t>
      </w:r>
      <w:r w:rsidR="001D2098">
        <w:rPr>
          <w:rStyle w:val="s1"/>
        </w:rPr>
        <w:t xml:space="preserve"> </w:t>
      </w:r>
      <w:r w:rsidR="009B68EE">
        <w:rPr>
          <w:rStyle w:val="s1"/>
        </w:rPr>
        <w:t xml:space="preserve">– e </w:t>
      </w:r>
      <w:r w:rsidR="009B68EE" w:rsidRPr="00E70005">
        <w:rPr>
          <w:rStyle w:val="s1"/>
        </w:rPr>
        <w:t>un uso contestualizzato e riflessivo degli strumenti, capace di integrare</w:t>
      </w:r>
      <w:r w:rsidR="00E116D6">
        <w:rPr>
          <w:rStyle w:val="s1"/>
        </w:rPr>
        <w:t xml:space="preserve"> </w:t>
      </w:r>
      <w:r w:rsidR="00E116D6" w:rsidRPr="00E70005">
        <w:rPr>
          <w:rStyle w:val="s1"/>
        </w:rPr>
        <w:t>le potenzialità di esplorazione e sintesi dei modelli con il giudizio interpretativo del ricercatore (Hitch et al.,</w:t>
      </w:r>
      <w:r w:rsidR="00695FD3">
        <w:rPr>
          <w:rStyle w:val="s1"/>
        </w:rPr>
        <w:t xml:space="preserve"> </w:t>
      </w:r>
      <w:r w:rsidR="004602E2">
        <w:rPr>
          <w:rStyle w:val="s1"/>
        </w:rPr>
        <w:t xml:space="preserve">; </w:t>
      </w:r>
      <w:r w:rsidRPr="00E70005">
        <w:rPr>
          <w:rStyle w:val="s1"/>
        </w:rPr>
        <w:t xml:space="preserve">Friese, pp. 71–75, in Christou, 2025). </w:t>
      </w:r>
      <w:r w:rsidR="00A92E15">
        <w:rPr>
          <w:rStyle w:val="s1"/>
        </w:rPr>
        <w:t>L</w:t>
      </w:r>
      <w:r w:rsidRPr="00E70005">
        <w:rPr>
          <w:rStyle w:val="s1"/>
        </w:rPr>
        <w:t>a questione non è semplicemente se l’AI “funzioni” o meno, ma come ripensare il ruolo del ricercatore, lo statuto dei dati e i criteri di rigore in un ambiente in cui sistemi generativi partecipano attivamente alla costruzione dei risultati (Christou, 2025).</w:t>
      </w:r>
    </w:p>
    <w:p w14:paraId="399FA2F9" w14:textId="102FD1E2" w:rsidR="00E70005" w:rsidRPr="00E70005" w:rsidRDefault="00E70005" w:rsidP="00E70005">
      <w:pPr>
        <w:pStyle w:val="p1"/>
        <w:jc w:val="both"/>
        <w:rPr>
          <w:rStyle w:val="s1"/>
        </w:rPr>
      </w:pPr>
      <w:r w:rsidRPr="00E70005">
        <w:rPr>
          <w:rStyle w:val="s1"/>
        </w:rPr>
        <w:t>In questo contesto, l’epistemologia adattiva fornisce un quadro concettuale che permette di leggere tali trasformazioni non come anomalie locali, ma come segnali di un cambiamento più profondo nelle condizioni di produzione della conoscenza. Considerare la ricerca come un processo adattivo significa, da un lato, riconoscere la necessità di progettare dispositivi di indagine flessibili, in grado di integrare fonti e metodi diversi; dall’altro, assumere che la relazione con l</w:t>
      </w:r>
      <w:r w:rsidR="00AE5D85">
        <w:rPr>
          <w:rStyle w:val="s1"/>
        </w:rPr>
        <w:t>a GenAI</w:t>
      </w:r>
      <w:r w:rsidRPr="00E70005">
        <w:rPr>
          <w:rStyle w:val="s1"/>
        </w:rPr>
        <w:t xml:space="preserve"> non sia neutra, ma contribuisca a ridefinire oggetti, domande e forme di evidenza (Punziano, 2025, pp. 11–15).</w:t>
      </w:r>
    </w:p>
    <w:p w14:paraId="3C3BF277" w14:textId="2C087E84" w:rsidR="00E70005" w:rsidRDefault="00E70005" w:rsidP="00E70005">
      <w:pPr>
        <w:pStyle w:val="p1"/>
        <w:jc w:val="both"/>
        <w:rPr>
          <w:rStyle w:val="s1"/>
        </w:rPr>
      </w:pPr>
      <w:r w:rsidRPr="00E70005">
        <w:rPr>
          <w:rStyle w:val="s1"/>
        </w:rPr>
        <w:t xml:space="preserve">In questa tesi l’epistemologia adattiva viene adottata come cornice epistemologica di riferimento per interpretare la produzione di conoscenza in contesti post-digitali. Tale prospettiva orienta sia il disegno di ricerca, che integra metodi e fonti eterogenee, sia la lettura delle pratiche dei lavoratori che utilizzano sistemi di intelligenza artificiale generativa. L’obiettivo </w:t>
      </w:r>
      <w:r w:rsidR="00BC069A">
        <w:rPr>
          <w:rStyle w:val="s1"/>
        </w:rPr>
        <w:t xml:space="preserve">è </w:t>
      </w:r>
      <w:r w:rsidRPr="00E70005">
        <w:rPr>
          <w:rStyle w:val="s1"/>
        </w:rPr>
        <w:t>esplorare in che misura le loro pratiche di lavoro cognitivo, di co-produzione con la GenAI e di gestione dei dati presentino caratteristiche che possono essere descritte in termini adattivi o, al contrario, rivelino tensioni e resistenze rispetto a tale quadro. In questa ottica, l’epistemologia adattiva funziona come lente per progettare un disegno a metodi misti e per indagare empiricamente come l’intelligenza artificiale generativa contribuisca a riassetti epistemici nel lavoro contemporaneo.</w:t>
      </w:r>
    </w:p>
    <w:p w14:paraId="31D40EF4" w14:textId="77777777" w:rsidR="0093071D" w:rsidRPr="00E70005" w:rsidRDefault="0093071D" w:rsidP="00E70005">
      <w:pPr>
        <w:pStyle w:val="p1"/>
        <w:jc w:val="both"/>
        <w:rPr>
          <w:rStyle w:val="s1"/>
        </w:rPr>
      </w:pPr>
    </w:p>
    <w:p w14:paraId="2CA9245B" w14:textId="79312F76" w:rsidR="00E32F7C" w:rsidRPr="006B4CB4" w:rsidRDefault="006373ED" w:rsidP="006B4CB4">
      <w:pPr>
        <w:pStyle w:val="Heading2"/>
        <w:rPr>
          <w:rFonts w:ascii="Times New Roman" w:hAnsi="Times New Roman" w:cs="Times New Roman"/>
        </w:rPr>
      </w:pPr>
      <w:bookmarkStart w:id="4" w:name="_Toc215663061"/>
      <w:r>
        <w:rPr>
          <w:rFonts w:ascii="Times New Roman" w:hAnsi="Times New Roman" w:cs="Times New Roman"/>
        </w:rPr>
        <w:t xml:space="preserve">La </w:t>
      </w:r>
      <w:r w:rsidR="00246A9E">
        <w:rPr>
          <w:rFonts w:ascii="Times New Roman" w:hAnsi="Times New Roman" w:cs="Times New Roman"/>
        </w:rPr>
        <w:t>GenAI nel lavoro di consulenza</w:t>
      </w:r>
      <w:bookmarkEnd w:id="4"/>
    </w:p>
    <w:p w14:paraId="0BB038EA" w14:textId="21C6B17F" w:rsidR="00770D89" w:rsidRPr="00770D89" w:rsidRDefault="00770D89" w:rsidP="00770D89">
      <w:pPr>
        <w:pStyle w:val="p1"/>
        <w:jc w:val="both"/>
        <w:rPr>
          <w:rStyle w:val="s1"/>
        </w:rPr>
      </w:pPr>
      <w:r w:rsidRPr="00770D89">
        <w:rPr>
          <w:rStyle w:val="s1"/>
        </w:rPr>
        <w:t>All’interno del quadro delineato dall’epistemologia adattiva, il lavoro di consulenza rappresenta un caso empirico privilegiato per osservare come l’intelligenza artificiale generativa riconfiguri le pratiche di produzione di conoscenza. Punziano sottolinea come future ricerche possano operazionalizzare questo quadro attraverso studi empirici in grado di mostrare come le tecnologie generative stiano già trasformando le pratiche di inquiry, interpretazione e knowledge production in contesti reali (Punziano, 2025, pp. 13–15). In questo senso, i consulenti – figure professionali la cui attività quotidiana consiste nel raccogliere, selezionare e rielaborare informazioni per produrre analisi, raccomandazioni e scenari decisionali – costituiscono un osservatorio particolarmente significativo: la GenAI entra direttamente in molti dei passaggi in cui, tradizionalmente, si giocavano competenze, giudizio e capacità argomentativa.</w:t>
      </w:r>
    </w:p>
    <w:p w14:paraId="24B24B47" w14:textId="7A2307F1" w:rsidR="00770D89" w:rsidRPr="00770D89" w:rsidRDefault="00770D89" w:rsidP="00770D89">
      <w:pPr>
        <w:pStyle w:val="p1"/>
        <w:jc w:val="both"/>
        <w:rPr>
          <w:rStyle w:val="s1"/>
        </w:rPr>
      </w:pPr>
      <w:r w:rsidRPr="00770D89">
        <w:rPr>
          <w:rStyle w:val="s1"/>
        </w:rPr>
        <w:t xml:space="preserve">La presenza di sistemi generativi nel lavoro di consulenza mette subito in questione le dimensioni di autonomia e autorialità. Quando strumenti di GenAI contribuiscono a redigere documenti, sintetizzare materiali, costruire slide o proporre opzioni </w:t>
      </w:r>
      <w:r w:rsidRPr="00770D89">
        <w:rPr>
          <w:rStyle w:val="s1"/>
        </w:rPr>
        <w:lastRenderedPageBreak/>
        <w:t>strategiche, diventa necessario chiedersi in che misura i consulenti si percepiscano ancora come autori pienamente responsabili dei prodotti che consegnano al cliente, oppure come co-autori che supervisionano e rifiniscono contenuti generati da un attore non umano. L’epistemologia adattiva invita a leggere queste configurazioni non come una semplice perdita di centralità del soggetto umano, ma come l’emergere di forme di co-produzione nelle quali la GenAI agisce come attore epistemico situato, dotato di capacità generative che richiedono nuove pratiche di negoziazione dell’autorialità e della responsabilità (Punziano, 2025, pp. 9–13).</w:t>
      </w:r>
    </w:p>
    <w:p w14:paraId="51224EDE" w14:textId="7600F38C" w:rsidR="00770D89" w:rsidRPr="00770D89" w:rsidRDefault="00770D89" w:rsidP="00770D89">
      <w:pPr>
        <w:pStyle w:val="p1"/>
        <w:jc w:val="both"/>
        <w:rPr>
          <w:rStyle w:val="s1"/>
        </w:rPr>
      </w:pPr>
      <w:r w:rsidRPr="00770D89">
        <w:rPr>
          <w:rStyle w:val="s1"/>
        </w:rPr>
        <w:t>Le questioni di validità e affidabilità si intrecciano strettamente con questo scenario. Nel dibattito sull’uso dell’AI nella ricerca sociale, Christou richiama la necessità di ripensare i criteri di rigore quando strumenti algoritmici partecipano ai processi di analisi, sollecitando una riflessione su quali condizioni rendano epistemicamente accettabili risultati co-prodotti con l’AI (Christou, 2025, cap. 11–12). In modo analogo, Kouros e colleghi mostrano come bias e distorsioni possano derivare sia dai dati di addestramento sia dalle architetture dei modelli e dalle modalità concrete di interazione degli utenti con questi sistemi (Kouros et al., 2025, in Christou, 2025). Traslate nel contesto della consulenza, queste problematiche emergono nelle pratiche con cui i consulenti verificano, correggono o integrano gli output generativi: quali verifiche effettuano sulle informazioni prodotte dalla GenAI, quali margini di errore ritengono accettabili, quando considerano “sufficientemente affidabile” una proposta generata, e in quali casi invece mantengono una distanza critica più marcata.</w:t>
      </w:r>
    </w:p>
    <w:p w14:paraId="2C3883C6" w14:textId="786AE08B" w:rsidR="00770D89" w:rsidRPr="00770D89" w:rsidRDefault="00770D89" w:rsidP="00770D89">
      <w:pPr>
        <w:pStyle w:val="p1"/>
        <w:jc w:val="both"/>
        <w:rPr>
          <w:rStyle w:val="s1"/>
        </w:rPr>
      </w:pPr>
      <w:r w:rsidRPr="00770D89">
        <w:rPr>
          <w:rStyle w:val="s1"/>
        </w:rPr>
        <w:t xml:space="preserve">L’attenzione alle posizioni che i consulenti assumono rispetto a autonomia, autorialità, validità e affidabilità della GenAI consente di osservare in modo situato come vengano ridefiniti i criteri di ciò che conta come conoscenza “buona” o “presentabile” in contesti organizzativi specifici. L’epistemologia adattiva offre il lessico per interpretare tali posizionamenti come espressioni di una più ampia rinegoziazione delle condizioni epistemiche del lavoro cognitivo: a seconda di come i consulenti descrivono il proprio rapporto con la GenAI – come supporto delegabile, come interlocutore da controllare, come co-autore da cui prendere le distanze – emergono configurazioni diverse di agency, responsabilità e fiducia nei prodotti generati (Punziano, 2025, pp. 11–15). Studiare l’uso della GenAI nel lavoro di consulenza non significa quindi soltanto rilevare livelli di adozione, ma indagare come questi professionisti interpretano e regolano la propria partecipazione a ecologie socio-tecniche ibride, mettendo alla prova, caso per caso, la proposta dell’epistemologia adattiva. </w:t>
      </w:r>
    </w:p>
    <w:p w14:paraId="7C8D1C1F" w14:textId="77777777" w:rsidR="006A44AD" w:rsidRDefault="006A44AD" w:rsidP="00B66E0F">
      <w:pPr>
        <w:pStyle w:val="p1"/>
        <w:jc w:val="both"/>
        <w:rPr>
          <w:rStyle w:val="s1"/>
        </w:rPr>
      </w:pPr>
    </w:p>
    <w:p w14:paraId="74429EBF" w14:textId="755FD981" w:rsidR="007C14FF" w:rsidRPr="007C14FF" w:rsidRDefault="008E57E6" w:rsidP="008E57E6">
      <w:pPr>
        <w:pStyle w:val="Heading2"/>
        <w:rPr>
          <w:rStyle w:val="s1"/>
          <w:rFonts w:ascii="Times New Roman" w:hAnsi="Times New Roman" w:cs="Times New Roman"/>
        </w:rPr>
      </w:pPr>
      <w:bookmarkStart w:id="5" w:name="_Toc215663062"/>
      <w:r w:rsidRPr="008E57E6">
        <w:rPr>
          <w:rStyle w:val="s1"/>
          <w:rFonts w:ascii="Times New Roman" w:hAnsi="Times New Roman" w:cs="Times New Roman"/>
        </w:rPr>
        <w:t>Disegno di ricerca e metodi misti</w:t>
      </w:r>
      <w:bookmarkEnd w:id="5"/>
    </w:p>
    <w:p w14:paraId="3AD0FB79" w14:textId="77777777" w:rsidR="007C14FF" w:rsidRPr="007C14FF" w:rsidRDefault="007C14FF" w:rsidP="007C14FF">
      <w:pPr>
        <w:pStyle w:val="p1"/>
        <w:jc w:val="both"/>
        <w:rPr>
          <w:rStyle w:val="s1"/>
        </w:rPr>
      </w:pPr>
      <w:r w:rsidRPr="007C14FF">
        <w:rPr>
          <w:rStyle w:val="s1"/>
        </w:rPr>
        <w:t xml:space="preserve">Il disegno di ricerca adottato è di tipo sequenziale a metodi misti, articolato in due fasi integrate: una prima fase esplorativa basata sull’analisi di discussioni online relative all’uso della GenAI nel lavoro, e una seconda fase qualitativa centrata su interviste semi-strutturate a consulenti IT/Analytics di diverso grado (junior, senior, manager). In linea con la prospettiva dell’epistemologia adattiva, tale scelta non mira semplicemente a combinare tecniche diverse, ma a mettere in relazione livelli differenti di produzione di conoscenza: un orizzonte discorsivo più ampio, generato all’interno di piattaforme </w:t>
      </w:r>
      <w:r w:rsidRPr="007C14FF">
        <w:rPr>
          <w:rStyle w:val="s1"/>
        </w:rPr>
        <w:lastRenderedPageBreak/>
        <w:t>digitali, e un caso situato che riguarda pratiche e posizionamenti di specifici attori professionali (Punziano, 2025, pp. 11–15).</w:t>
      </w:r>
    </w:p>
    <w:p w14:paraId="7E4C34FC" w14:textId="77777777" w:rsidR="007C14FF" w:rsidRPr="007C14FF" w:rsidRDefault="007C14FF" w:rsidP="007C14FF">
      <w:pPr>
        <w:pStyle w:val="p1"/>
        <w:jc w:val="both"/>
        <w:rPr>
          <w:rStyle w:val="s1"/>
        </w:rPr>
      </w:pPr>
    </w:p>
    <w:p w14:paraId="46ADBD6E" w14:textId="01859979" w:rsidR="007C14FF" w:rsidRPr="007C14FF" w:rsidRDefault="007C14FF" w:rsidP="007C14FF">
      <w:pPr>
        <w:pStyle w:val="p1"/>
        <w:jc w:val="both"/>
        <w:rPr>
          <w:rStyle w:val="s1"/>
        </w:rPr>
      </w:pPr>
      <w:r w:rsidRPr="007C14FF">
        <w:rPr>
          <w:rStyle w:val="s1"/>
        </w:rPr>
        <w:t>La prima fase ha un carattere esplorativo e si propone di mappare i principali discorsi che emergono su alcuni subreddit dedicati o correlati all’uso della GenAI nel lavoro, con particolare attenzione, quando possibile, ai contesti di consulenza. I subreddit verranno selezionati sulla base di criteri tematici (rilevanza per GenAI e lavoro), di attività (presenza di discussioni recenti) e di densità di contenuti pertinenti. Per ciascun subreddit selezionato sarà attivata una procedura di raccolta automatizzata dei dati, che prevede l’estrazione giornaliera, per un periodo di almeno un mese, dei post più recenti e dei relativi commenti; i dati così raccolti costituiranno un corpus di discussioni da sottoporre a una successiva fase di scrematura, mantenendo solo i contenuti che affrontano in modo esplicito l’uso della GenAI nel lavoro (o nel lavoro di consulenza). Questo tipo di workflow, che integra scraping automatizzato, costruzione progressiva del corpus e attività di filtraggio concettuale, è coerente con gli esempi di uso di AI e automazione per la raccolta e la pre-elaborazione di dati da web e social media discussi nel volume di Christou, in particolare nel capitolo sugli AI agents per la ricerca quantitativa e nel capitolo dedicato ai metodi di raccolta dati nell’era dell’intelligenza artificiale (Christodoulou, 2025; Strayhorn &amp; Johnson, 2025, in Christou, 2025).</w:t>
      </w:r>
      <w:r w:rsidR="008E57E6">
        <w:rPr>
          <w:rStyle w:val="s1"/>
        </w:rPr>
        <w:t xml:space="preserve"> </w:t>
      </w:r>
      <w:r w:rsidRPr="007C14FF">
        <w:rPr>
          <w:rStyle w:val="s1"/>
        </w:rPr>
        <w:t>Il corpus risultante verrà analizzato principalmente attraverso analisi qualitativa tematica o discorsiva, orientata a individuare come gli utenti rappresentano l’uso della GenAI a lavoro e se emergono già riflessioni esplicite o implicite su autonomia, autorialità, responsabilità, validità e affidabilità degli output generativi. Tale fase consentirà di identificare repertori discorsivi, tensioni e configurazioni ricorrenti, fornendo al tempo stesso indicazioni utili per la costruzione della guida d’intervista della fase successiva. In questo senso, la prima fase non viene trattata come un semplice pre-studio, ma come un livello analitico specifico, che permette di osservare le forme in cui la co-produzione umano–GenAI viene tematizzata in contesti comunicativi digitali.</w:t>
      </w:r>
    </w:p>
    <w:p w14:paraId="1248EF25" w14:textId="77777777" w:rsidR="007C14FF" w:rsidRPr="007C14FF" w:rsidRDefault="007C14FF" w:rsidP="007C14FF">
      <w:pPr>
        <w:pStyle w:val="p1"/>
        <w:jc w:val="both"/>
        <w:rPr>
          <w:rStyle w:val="s1"/>
        </w:rPr>
      </w:pPr>
      <w:r w:rsidRPr="007C14FF">
        <w:rPr>
          <w:rStyle w:val="s1"/>
        </w:rPr>
        <w:t xml:space="preserve">La seconda fase consiste in interviste semi-strutturate 1:1 a circa dieci consulenti che operano in ambito IT e Analytics, con differenti livelli di seniority (junior, senior, manager). Le interviste mirano a raccogliere narrazioni situate sull’uso della GenAI nel lavoro di consulenza, concentrandosi in particolare su quattro dimensioni: (1) autonomia nell’esecuzione dei compiti e nel processo decisionale; (2) percezione della propria autorialità rispetto ai prodotti generati in collaborazione con la GenAI; (3) criteri impiegati per valutare la validità e l’affidabilità degli output generativi; (4) descrizione di pratiche concrete e casi d’uso (episodi, esempi di successo, problemi o incidenti critici). Questa fase si configura come uno studio di caso qualitativo che approfondisce, in un contesto organizzativo specifico, le stesse dimensioni che nella prima fase compaiono in forma più diffusa e generalizzata (Strayhorn &amp; Johnson, 2025, in Christou, 2025). </w:t>
      </w:r>
    </w:p>
    <w:p w14:paraId="130B0B2D" w14:textId="77777777" w:rsidR="007C14FF" w:rsidRPr="007C14FF" w:rsidRDefault="007C14FF" w:rsidP="007C14FF">
      <w:pPr>
        <w:pStyle w:val="p1"/>
        <w:jc w:val="both"/>
        <w:rPr>
          <w:rStyle w:val="s1"/>
        </w:rPr>
      </w:pPr>
    </w:p>
    <w:p w14:paraId="047E3050" w14:textId="6B5987D8" w:rsidR="00A6230B" w:rsidRDefault="007C14FF" w:rsidP="00CC29CD">
      <w:pPr>
        <w:pStyle w:val="p1"/>
        <w:jc w:val="both"/>
        <w:rPr>
          <w:rStyle w:val="s1"/>
        </w:rPr>
      </w:pPr>
      <w:r w:rsidRPr="007C14FF">
        <w:rPr>
          <w:rStyle w:val="s1"/>
        </w:rPr>
        <w:t xml:space="preserve">L’integrazione tra le due fasi avverrà in sede di analisi e discussione dei risultati. Le discussioni raccolte nei subreddit verranno considerate come un orizzonte discorsivo generalizzato sulle modalità con cui la GenAI viene problematizzata nel lavoro, mentre le interviste ai consulenti costituiranno un caso situato che permette di osservare come </w:t>
      </w:r>
      <w:r w:rsidRPr="007C14FF">
        <w:rPr>
          <w:rStyle w:val="s1"/>
        </w:rPr>
        <w:lastRenderedPageBreak/>
        <w:t>tali temi vengano tradotti, confermati, rielaborati o contestati all’interno di pratiche professionali specifiche. In questa prospettiva, il disegno sequenziale a metodi misti è in linea con l’epistemologia adattiva, nella misura in cui consente di articolare diversi livelli di analisi e di adattare progressivamente domande e strumenti alla luce delle evidenze emergenti, mantenendo al centro l’attenzione per le configurazioni socio-tecniche in cui la conoscenza viene co-prodotta (Punziano, 2025, pp. 11–15; Christou, 2025).</w:t>
      </w:r>
    </w:p>
    <w:p w14:paraId="73E48EBF" w14:textId="77777777" w:rsidR="009F66A6" w:rsidRDefault="009F66A6" w:rsidP="00910293">
      <w:pPr>
        <w:pStyle w:val="Heading1"/>
        <w:rPr>
          <w:rStyle w:val="s1"/>
          <w:rFonts w:ascii="Times New Roman" w:hAnsi="Times New Roman" w:cs="Times New Roman"/>
          <w:lang w:val="it-IT"/>
        </w:rPr>
      </w:pPr>
    </w:p>
    <w:p w14:paraId="0BCADBA9" w14:textId="77777777" w:rsidR="009F66A6" w:rsidRDefault="009F66A6" w:rsidP="009F66A6">
      <w:pPr>
        <w:rPr>
          <w:lang w:val="it-IT"/>
        </w:rPr>
      </w:pPr>
    </w:p>
    <w:p w14:paraId="088995AB" w14:textId="77777777" w:rsidR="009F66A6" w:rsidRDefault="009F66A6" w:rsidP="009F66A6">
      <w:pPr>
        <w:rPr>
          <w:lang w:val="it-IT"/>
        </w:rPr>
      </w:pPr>
    </w:p>
    <w:p w14:paraId="1C4BDBE8" w14:textId="77777777" w:rsidR="009F66A6" w:rsidRDefault="009F66A6" w:rsidP="009F66A6">
      <w:pPr>
        <w:rPr>
          <w:lang w:val="it-IT"/>
        </w:rPr>
      </w:pPr>
    </w:p>
    <w:p w14:paraId="26B8A669" w14:textId="77777777" w:rsidR="009F66A6" w:rsidRDefault="009F66A6" w:rsidP="009F66A6">
      <w:pPr>
        <w:rPr>
          <w:lang w:val="it-IT"/>
        </w:rPr>
      </w:pPr>
    </w:p>
    <w:p w14:paraId="430C20E2" w14:textId="77777777" w:rsidR="009F66A6" w:rsidRDefault="009F66A6" w:rsidP="009F66A6">
      <w:pPr>
        <w:rPr>
          <w:lang w:val="it-IT"/>
        </w:rPr>
      </w:pPr>
    </w:p>
    <w:p w14:paraId="6223BE00" w14:textId="77777777" w:rsidR="009F66A6" w:rsidRDefault="009F66A6" w:rsidP="009F66A6">
      <w:pPr>
        <w:rPr>
          <w:lang w:val="it-IT"/>
        </w:rPr>
      </w:pPr>
    </w:p>
    <w:p w14:paraId="0AC5C862" w14:textId="77777777" w:rsidR="009F66A6" w:rsidRDefault="009F66A6" w:rsidP="009F66A6">
      <w:pPr>
        <w:rPr>
          <w:lang w:val="it-IT"/>
        </w:rPr>
      </w:pPr>
    </w:p>
    <w:p w14:paraId="389539B2" w14:textId="77777777" w:rsidR="009F66A6" w:rsidRDefault="009F66A6" w:rsidP="009F66A6">
      <w:pPr>
        <w:rPr>
          <w:lang w:val="it-IT"/>
        </w:rPr>
      </w:pPr>
    </w:p>
    <w:p w14:paraId="72CFF5DD" w14:textId="77777777" w:rsidR="009F66A6" w:rsidRDefault="009F66A6" w:rsidP="009F66A6">
      <w:pPr>
        <w:rPr>
          <w:lang w:val="it-IT"/>
        </w:rPr>
      </w:pPr>
    </w:p>
    <w:p w14:paraId="4A96DA81" w14:textId="77777777" w:rsidR="009F66A6" w:rsidRDefault="009F66A6" w:rsidP="009F66A6">
      <w:pPr>
        <w:rPr>
          <w:lang w:val="it-IT"/>
        </w:rPr>
      </w:pPr>
    </w:p>
    <w:p w14:paraId="50B3DAB6" w14:textId="77777777" w:rsidR="009F66A6" w:rsidRDefault="009F66A6" w:rsidP="009F66A6">
      <w:pPr>
        <w:rPr>
          <w:lang w:val="it-IT"/>
        </w:rPr>
      </w:pPr>
    </w:p>
    <w:p w14:paraId="3872D695" w14:textId="77777777" w:rsidR="009F66A6" w:rsidRDefault="009F66A6" w:rsidP="009F66A6">
      <w:pPr>
        <w:rPr>
          <w:lang w:val="it-IT"/>
        </w:rPr>
      </w:pPr>
    </w:p>
    <w:p w14:paraId="72510BF7" w14:textId="77777777" w:rsidR="009F66A6" w:rsidRDefault="009F66A6" w:rsidP="009F66A6">
      <w:pPr>
        <w:rPr>
          <w:lang w:val="it-IT"/>
        </w:rPr>
      </w:pPr>
    </w:p>
    <w:p w14:paraId="3063EC7A" w14:textId="77777777" w:rsidR="009F66A6" w:rsidRDefault="009F66A6" w:rsidP="009F66A6">
      <w:pPr>
        <w:rPr>
          <w:lang w:val="it-IT"/>
        </w:rPr>
      </w:pPr>
    </w:p>
    <w:p w14:paraId="6B35C70A" w14:textId="77777777" w:rsidR="009F66A6" w:rsidRDefault="009F66A6" w:rsidP="009F66A6">
      <w:pPr>
        <w:rPr>
          <w:lang w:val="it-IT"/>
        </w:rPr>
      </w:pPr>
    </w:p>
    <w:p w14:paraId="6EA639F9" w14:textId="77777777" w:rsidR="009F66A6" w:rsidRDefault="009F66A6" w:rsidP="009F66A6">
      <w:pPr>
        <w:rPr>
          <w:lang w:val="it-IT"/>
        </w:rPr>
      </w:pPr>
    </w:p>
    <w:p w14:paraId="144991B1" w14:textId="77777777" w:rsidR="009F66A6" w:rsidRDefault="009F66A6" w:rsidP="009F66A6">
      <w:pPr>
        <w:rPr>
          <w:lang w:val="it-IT"/>
        </w:rPr>
      </w:pPr>
    </w:p>
    <w:p w14:paraId="3B1A0AA6" w14:textId="77777777" w:rsidR="009F66A6" w:rsidRDefault="009F66A6" w:rsidP="009F66A6">
      <w:pPr>
        <w:rPr>
          <w:lang w:val="it-IT"/>
        </w:rPr>
      </w:pPr>
    </w:p>
    <w:p w14:paraId="2A1F7321" w14:textId="77777777" w:rsidR="009F66A6" w:rsidRDefault="009F66A6" w:rsidP="009F66A6">
      <w:pPr>
        <w:rPr>
          <w:lang w:val="it-IT"/>
        </w:rPr>
      </w:pPr>
    </w:p>
    <w:p w14:paraId="2ACB32CB" w14:textId="77777777" w:rsidR="009F66A6" w:rsidRDefault="009F66A6" w:rsidP="009F66A6">
      <w:pPr>
        <w:rPr>
          <w:lang w:val="it-IT"/>
        </w:rPr>
      </w:pPr>
    </w:p>
    <w:p w14:paraId="51B5DD5A" w14:textId="77777777" w:rsidR="009F66A6" w:rsidRPr="009F66A6" w:rsidRDefault="009F66A6" w:rsidP="009F66A6">
      <w:pPr>
        <w:rPr>
          <w:lang w:val="it-IT"/>
        </w:rPr>
      </w:pPr>
    </w:p>
    <w:p w14:paraId="44027659" w14:textId="2781D7BC" w:rsidR="006945E1" w:rsidRPr="00F547F7" w:rsidRDefault="00E30672" w:rsidP="00910293">
      <w:pPr>
        <w:pStyle w:val="Heading1"/>
        <w:rPr>
          <w:rStyle w:val="s1"/>
          <w:rFonts w:ascii="Times New Roman" w:hAnsi="Times New Roman" w:cs="Times New Roman"/>
          <w:b/>
          <w:bCs/>
          <w:color w:val="EE0000"/>
          <w:lang w:val="it-IT"/>
        </w:rPr>
      </w:pPr>
      <w:bookmarkStart w:id="6" w:name="_Toc215663063"/>
      <w:r w:rsidRPr="00F547F7">
        <w:rPr>
          <w:rFonts w:ascii="Times New Roman" w:hAnsi="Times New Roman" w:cs="Times New Roman"/>
          <w:b/>
          <w:bCs/>
          <w:color w:val="EE0000"/>
          <w:lang w:val="it-IT"/>
        </w:rPr>
        <w:lastRenderedPageBreak/>
        <w:t>(capitolo in fase di sviluppo)</w:t>
      </w:r>
      <w:r w:rsidR="00F547F7">
        <w:rPr>
          <w:rStyle w:val="s1"/>
          <w:rFonts w:ascii="Times New Roman" w:hAnsi="Times New Roman" w:cs="Times New Roman"/>
          <w:b/>
          <w:bCs/>
          <w:color w:val="EE0000"/>
          <w:lang w:val="it-IT"/>
        </w:rPr>
        <w:t xml:space="preserve"> </w:t>
      </w:r>
      <w:r w:rsidR="00910293" w:rsidRPr="00910293">
        <w:rPr>
          <w:rStyle w:val="s1"/>
          <w:rFonts w:ascii="Times New Roman" w:hAnsi="Times New Roman" w:cs="Times New Roman"/>
        </w:rPr>
        <w:t>Il metodo</w:t>
      </w:r>
      <w:bookmarkEnd w:id="6"/>
      <w:r w:rsidR="00967AFE">
        <w:rPr>
          <w:rStyle w:val="s1"/>
          <w:rFonts w:ascii="Times New Roman" w:hAnsi="Times New Roman" w:cs="Times New Roman"/>
          <w:lang w:val="it-IT"/>
        </w:rPr>
        <w:t xml:space="preserve"> </w:t>
      </w:r>
    </w:p>
    <w:p w14:paraId="683F3F87" w14:textId="3842FF06" w:rsidR="00366FBB" w:rsidRDefault="00366FBB" w:rsidP="00051F78">
      <w:pPr>
        <w:pStyle w:val="p1"/>
        <w:jc w:val="both"/>
      </w:pPr>
      <w:r>
        <w:rPr>
          <w:rStyle w:val="s1"/>
        </w:rPr>
        <w:t>Il presente capitolo illustra nel dettaglio il percorso metodologico adottato, sviluppando la cornice concettuale già delineata nell’Introduzione. Dopo aver discusso le ragioni epistemologiche che motivano il ricorso a un approccio misto nello studio delle pratiche legate alla GenAI nel lavoro di consulenza, qui l’attenzione si concentra sulle procedure operative di raccolta, analisi e integrazione dei dati.</w:t>
      </w:r>
      <w:r>
        <w:t xml:space="preserve"> </w:t>
      </w:r>
      <w:r>
        <w:rPr>
          <w:rStyle w:val="s1"/>
        </w:rPr>
        <w:t>La struttura metodologica si basa sull’</w:t>
      </w:r>
      <w:r>
        <w:rPr>
          <w:rStyle w:val="s2"/>
        </w:rPr>
        <w:t>Exploratory Sequential Mixed Methods Design</w:t>
      </w:r>
      <w:r>
        <w:rPr>
          <w:rStyle w:val="s1"/>
        </w:rPr>
        <w:t xml:space="preserve"> formulato da Creswell e Plano Clark (Creswell &amp; Plano Clark, 2018), un modello che prevede l’avvio della ricerca attraverso una fase qualitativa finalizzata a generare concetti preliminari, categorie e temi utili alla costruzione della fase successiva. In questa ricerca tale logica si traduce in una prima fase dedicata all’analisi dei discorsi presenti su Reddit e in una seconda fase di interviste semi-strutturate, sviluppate sulla base dei risultati ottenuti dalla prima.</w:t>
      </w:r>
      <w:r>
        <w:t xml:space="preserve"> </w:t>
      </w:r>
      <w:r>
        <w:rPr>
          <w:rStyle w:val="s1"/>
        </w:rPr>
        <w:t>L’impianto epistemologico in cui il disegno metodologico si colloca è quello dell’</w:t>
      </w:r>
      <w:r>
        <w:rPr>
          <w:rStyle w:val="s3"/>
        </w:rPr>
        <w:t>epistemologia adattiva</w:t>
      </w:r>
      <w:r>
        <w:rPr>
          <w:rStyle w:val="s1"/>
        </w:rPr>
        <w:t xml:space="preserve"> proposta da Punziano (Punziano, 2025), secondo cui la conoscenza è un processo emergente, situato e co-prodotto all’interno di configurazioni socio-tecniche che includono attori umani e non umani. Questa prospettiva interpreta la ricerca come un’attività iterativa e riflessiva, sensibile alla natura dinamica dei contesti digitali e alle forme di agency distribuita che li caratterizzano, fornendo un quadro metodologico capace di rispondere alla complessità delle pratiche digitali contemporanee.</w:t>
      </w:r>
      <w:r>
        <w:t xml:space="preserve"> </w:t>
      </w:r>
      <w:r>
        <w:rPr>
          <w:rStyle w:val="s1"/>
        </w:rPr>
        <w:t>La definizione del ruolo dell’intelligenza artificiale all’interno del workflow di ricerca si basa sui contributi recenti raccolti nel volume curato da Christou (Christou, 2025), che evidenziano l’importanza della trasparenza, della documentazione delle procedure, della riflessività e dell’attenzione ai rischi legati a bias, opacità e automazione nei processi interpretativi. Ulteriori indicazioni sui criteri di rigore qualitativo e quantitativo sono tratte dalla letteratura che discute l’integrazione di strumenti di AI nei processi di ricerca, in particolare il capitolo di Armstrong e Gale (Armstrong &amp; Gale, 2025), che enfatizza credibilità, trasferibilità, dipendenza, confermabilità, affidabilità e validità come elementi essenziali per garantire solidità metodologica in studi che impiegano tecnologie di AI.</w:t>
      </w:r>
      <w:r>
        <w:t xml:space="preserve"> </w:t>
      </w:r>
      <w:r>
        <w:rPr>
          <w:rStyle w:val="s1"/>
        </w:rPr>
        <w:t>In continuità con tali riferimenti, il capitolo presenta le procedure adottate nella fase qualitativa, i criteri di campionamento e le tecniche di analisi delle interviste, le modalità di integrazione tra le due fasi del disegno, il ruolo operativo degli strumenti di intelligenza artificiale e le principali considerazioni etiche, fornendo una descrizione trasparente e replicabile dell’intero processo di ricerca.</w:t>
      </w:r>
    </w:p>
    <w:p w14:paraId="3A933EC4" w14:textId="77777777" w:rsidR="001F7072" w:rsidRDefault="001F7072" w:rsidP="001F7072">
      <w:pPr>
        <w:pStyle w:val="Heading2"/>
        <w:rPr>
          <w:rFonts w:ascii="Times New Roman" w:eastAsiaTheme="minorEastAsia" w:hAnsi="Times New Roman" w:cs="Times New Roman"/>
        </w:rPr>
      </w:pPr>
    </w:p>
    <w:p w14:paraId="31C6FFF9" w14:textId="77777777" w:rsidR="001F7072" w:rsidRDefault="001F7072" w:rsidP="001F7072">
      <w:pPr>
        <w:pStyle w:val="Heading2"/>
        <w:rPr>
          <w:rFonts w:ascii="Times New Roman" w:eastAsiaTheme="minorEastAsia" w:hAnsi="Times New Roman" w:cs="Times New Roman"/>
        </w:rPr>
      </w:pPr>
    </w:p>
    <w:p w14:paraId="1A8E8073" w14:textId="69B6358C" w:rsidR="00446020" w:rsidRDefault="00446020" w:rsidP="001F7072">
      <w:pPr>
        <w:pStyle w:val="Heading2"/>
        <w:rPr>
          <w:rFonts w:ascii="Times New Roman" w:eastAsiaTheme="minorEastAsia" w:hAnsi="Times New Roman" w:cs="Times New Roman"/>
        </w:rPr>
      </w:pPr>
      <w:bookmarkStart w:id="7" w:name="_Toc215663064"/>
      <w:r w:rsidRPr="001F7072">
        <w:rPr>
          <w:rFonts w:ascii="Times New Roman" w:eastAsiaTheme="minorEastAsia" w:hAnsi="Times New Roman" w:cs="Times New Roman"/>
        </w:rPr>
        <w:t>Posizionamento metodologico operativo</w:t>
      </w:r>
      <w:bookmarkEnd w:id="7"/>
    </w:p>
    <w:p w14:paraId="0FE5D9FE" w14:textId="77777777" w:rsidR="001F7072" w:rsidRPr="00446020" w:rsidRDefault="001F7072" w:rsidP="001F7072"/>
    <w:p w14:paraId="781FFC43" w14:textId="1193F863" w:rsidR="00446020" w:rsidRPr="00446020" w:rsidRDefault="00446020" w:rsidP="00936A0B">
      <w:pPr>
        <w:jc w:val="both"/>
        <w:rPr>
          <w:rFonts w:ascii="Times New Roman" w:hAnsi="Times New Roman" w:cs="Times New Roman"/>
        </w:rPr>
      </w:pPr>
      <w:r w:rsidRPr="00446020">
        <w:rPr>
          <w:rFonts w:ascii="Times New Roman" w:hAnsi="Times New Roman" w:cs="Times New Roman"/>
        </w:rPr>
        <w:t xml:space="preserve">L’impianto metodologico adottato in questa ricerca è guidato da una prospettiva operativa che traduce l’epistemologia adattiva in un insieme di pratiche concrete orientate alla produzione di conoscenza empirica nei contesti digitali. In questa prospettiva, la conoscenza non è considerata il risultato di un processo lineare o esclusivamente interpretativo, ma una costruzione emergente e situata che prende forma </w:t>
      </w:r>
      <w:r w:rsidRPr="00446020">
        <w:rPr>
          <w:rFonts w:ascii="Times New Roman" w:hAnsi="Times New Roman" w:cs="Times New Roman"/>
        </w:rPr>
        <w:lastRenderedPageBreak/>
        <w:t>all’interno di assemblaggi socio-tecnici composti da attori umani, piattaforme e sistemi computazionali. L’approccio delineato da Punziano (2025) invita a concepire il processo di ricerca come un’attività iterativa, riflessiva e aperta, capace di integrare in modo coerente l’eterogeneità delle fonti e dei mediatori coinvolti nelle pratiche di indagine. Tale impostazione incide direttamente sulle scelte operative del presente studio, orientando la strutturazione del disegno, le procedure analitiche e il ruolo attribuito agli strumenti di intelligenza artificiale.</w:t>
      </w:r>
    </w:p>
    <w:p w14:paraId="4CBB4B8F" w14:textId="068E7DF3" w:rsidR="00446020" w:rsidRPr="00446020" w:rsidRDefault="00446020" w:rsidP="00936A0B">
      <w:pPr>
        <w:jc w:val="both"/>
        <w:rPr>
          <w:rFonts w:ascii="Times New Roman" w:hAnsi="Times New Roman" w:cs="Times New Roman"/>
        </w:rPr>
      </w:pPr>
      <w:r w:rsidRPr="00446020">
        <w:rPr>
          <w:rFonts w:ascii="Times New Roman" w:hAnsi="Times New Roman" w:cs="Times New Roman"/>
        </w:rPr>
        <w:t>Nel quadro dell’Exploratory Sequential Mixed Methods Design proposto da Creswell e Plano Clark (2018), questa ricerca adotta una configurazione interamente qualitativa del disegno sequenziale. In tale configurazione, la seconda fase non ha la funzione di quantificare o verificare statisticamente i risultati della prima, ma di approfondirli, contestualizzarli e valutarne la tenuta interpretativa attraverso un’analisi situata condotta tramite interviste. Sebbene entrambe le fasi siano qualitative, esse presentano caratteristiche metodologiche nettamente differenti: la prima si concentra sull’analisi di un corpus esteso di contenuti generati dagli utenti su Reddit, ottenuto tramite scraping e caratterizzato da un’elevata eterogeneità, da un ampio volume di dati e da un livello di astrazione tipico delle analisi dei discorsi digitali; la seconda, invece, si fonda su interviste semi-strutturate a consulenti e si configura come un’indagine qualitativa situata, orientata alla ricostruzione delle pratiche, delle percezioni e delle esperienze professionali. Questa articolazione eterogenea consente di integrare una prospettiva macro-discorsiva con una prospettiva micro-situata, rafforzando la capacità del disegno di cogliere sia le dinamiche diffuse nelle narrazioni online sia le configurazioni specifiche che emergono nelle interazioni con professionisti del settore.</w:t>
      </w:r>
    </w:p>
    <w:p w14:paraId="0698D070" w14:textId="09264863" w:rsidR="00446020" w:rsidRPr="00446020" w:rsidRDefault="00446020" w:rsidP="00936A0B">
      <w:pPr>
        <w:jc w:val="both"/>
        <w:rPr>
          <w:rFonts w:ascii="Times New Roman" w:hAnsi="Times New Roman" w:cs="Times New Roman"/>
        </w:rPr>
      </w:pPr>
      <w:r w:rsidRPr="00446020">
        <w:rPr>
          <w:rFonts w:ascii="Times New Roman" w:hAnsi="Times New Roman" w:cs="Times New Roman"/>
        </w:rPr>
        <w:t>L’iterazione tra i risultati preliminari della prima fase e lo sviluppo degli strumenti della seconda non è concepita come un passaggio meccanico, bensì come un processo dinamico di affinamento, nel quale le decisioni metodologiche vengono continuamente rivalutate alla luce delle evidenze emergenti. Ciò richiede che il ricercatore assuma un ruolo attivo nella negoziazione tra ciò che i dati suggeriscono e ciò che le domande di ricerca richiedono, mantenendo una postura riflessiva e aperta a ricalibrature successive.</w:t>
      </w:r>
    </w:p>
    <w:p w14:paraId="07461BB5" w14:textId="2933332D" w:rsidR="00446020" w:rsidRPr="00446020" w:rsidRDefault="00446020" w:rsidP="00936A0B">
      <w:pPr>
        <w:jc w:val="both"/>
        <w:rPr>
          <w:rFonts w:ascii="Times New Roman" w:hAnsi="Times New Roman" w:cs="Times New Roman"/>
        </w:rPr>
      </w:pPr>
      <w:r w:rsidRPr="00446020">
        <w:rPr>
          <w:rFonts w:ascii="Times New Roman" w:hAnsi="Times New Roman" w:cs="Times New Roman"/>
        </w:rPr>
        <w:t>Il posizionamento metodologico implica anche una definizione chiara del ruolo del ricercatore, inteso come mediatore tra le componenti del disegno. Da un lato, il ricercatore è responsabile delle scelte teoriche, analitiche e interpretative; dall’altro, deve monitorare e rendere trasparente l’interazione con le tecnologie digitali utilizzate per la raccolta e l’analisi dei dati. Tale ruolo richiede impegno nella documentazione dei passaggi metodologici, nella valutazione continua delle decisioni prese e nella consapevolezza delle implicazioni che tali scelte producono sui risultati.</w:t>
      </w:r>
    </w:p>
    <w:p w14:paraId="7D30163E" w14:textId="4574E264" w:rsidR="00446020" w:rsidRPr="00446020" w:rsidRDefault="00446020" w:rsidP="00936A0B">
      <w:pPr>
        <w:jc w:val="both"/>
        <w:rPr>
          <w:rFonts w:ascii="Times New Roman" w:hAnsi="Times New Roman" w:cs="Times New Roman"/>
        </w:rPr>
      </w:pPr>
      <w:r w:rsidRPr="00446020">
        <w:rPr>
          <w:rFonts w:ascii="Times New Roman" w:hAnsi="Times New Roman" w:cs="Times New Roman"/>
        </w:rPr>
        <w:t xml:space="preserve">Un ulteriore elemento centrale riguarda l’integrazione degli strumenti di intelligenza artificiale nel workflow metodologico. Seguendo le indicazioni di Christou (2025), l’AI viene impiegata come supporto tecnico nelle fasi di gestione del materiale empirico, nella pre-analisi dei testi e nella sistematizzazione preliminare dei contenuti, senza che </w:t>
      </w:r>
      <w:r w:rsidRPr="00446020">
        <w:rPr>
          <w:rFonts w:ascii="Times New Roman" w:hAnsi="Times New Roman" w:cs="Times New Roman"/>
        </w:rPr>
        <w:lastRenderedPageBreak/>
        <w:t>ciò comporti una delega delle decisioni interpretative o teoriche. L’impiego di modelli linguistici generativi è accompagnato da pratiche di verifica, controllo umano e documentazione sistematica, in accordo con i principi di trasparenza, tracciabilità e accountability che guidano l’utilizzo responsabile di tali strumenti.</w:t>
      </w:r>
    </w:p>
    <w:p w14:paraId="38D24461" w14:textId="77777777" w:rsidR="00446020" w:rsidRPr="00446020" w:rsidRDefault="00446020" w:rsidP="00936A0B">
      <w:pPr>
        <w:jc w:val="both"/>
        <w:rPr>
          <w:rFonts w:ascii="Times New Roman" w:hAnsi="Times New Roman" w:cs="Times New Roman"/>
        </w:rPr>
      </w:pPr>
      <w:r w:rsidRPr="00446020">
        <w:rPr>
          <w:rFonts w:ascii="Times New Roman" w:hAnsi="Times New Roman" w:cs="Times New Roman"/>
        </w:rPr>
        <w:t>Infine, il posizionamento metodologico incorpora i criteri di rigore delineati da Armstrong e Gale (2025), che richiedono una costante attenzione alla credibilità, alla dipendenza, alla confermabilità e alla validità delle procedure. Questi criteri fungono da principi guida nella progettazione delle fasi analitiche e nelle modalità di integrazione tra i risultati qualitativi, contribuendo a garantire la solidità del processo conoscitivo e la coerenza interna del disegno adottato.</w:t>
      </w:r>
    </w:p>
    <w:p w14:paraId="2D7FC830" w14:textId="77777777" w:rsidR="00366FBB" w:rsidRPr="00366FBB" w:rsidRDefault="00366FBB" w:rsidP="00366FBB"/>
    <w:p w14:paraId="767D1784" w14:textId="77777777" w:rsidR="00B94DBA" w:rsidRDefault="00B94DBA" w:rsidP="00B66E0F">
      <w:pPr>
        <w:pStyle w:val="p1"/>
        <w:jc w:val="both"/>
        <w:rPr>
          <w:rStyle w:val="s1"/>
        </w:rPr>
      </w:pPr>
    </w:p>
    <w:p w14:paraId="5FDA7BE5" w14:textId="77777777" w:rsidR="00B94DBA" w:rsidRDefault="00B94DBA" w:rsidP="00B66E0F">
      <w:pPr>
        <w:pStyle w:val="p1"/>
        <w:jc w:val="both"/>
      </w:pPr>
    </w:p>
    <w:p w14:paraId="5F4AE8A4" w14:textId="77777777" w:rsidR="00827D71" w:rsidRDefault="00827D71" w:rsidP="00F572B4">
      <w:pPr>
        <w:spacing w:before="100" w:beforeAutospacing="1" w:after="100" w:afterAutospacing="1" w:line="240" w:lineRule="auto"/>
        <w:jc w:val="both"/>
        <w:rPr>
          <w:rFonts w:ascii="Times New Roman" w:hAnsi="Times New Roman" w:cs="Times New Roman"/>
          <w:kern w:val="0"/>
          <w14:ligatures w14:val="none"/>
        </w:rPr>
      </w:pPr>
    </w:p>
    <w:p w14:paraId="403A562B" w14:textId="4150370D" w:rsidR="00827D71" w:rsidRPr="00D06437" w:rsidRDefault="00827D71" w:rsidP="005F574A">
      <w:pPr>
        <w:pStyle w:val="Heading1"/>
        <w:rPr>
          <w:rFonts w:ascii="Times New Roman" w:hAnsi="Times New Roman" w:cs="Times New Roman"/>
        </w:rPr>
      </w:pPr>
      <w:bookmarkStart w:id="8" w:name="_Toc215663065"/>
      <w:r w:rsidRPr="00D06437">
        <w:rPr>
          <w:rFonts w:ascii="Times New Roman" w:hAnsi="Times New Roman" w:cs="Times New Roman"/>
        </w:rPr>
        <w:t>Bibliogr</w:t>
      </w:r>
      <w:r w:rsidR="005F574A" w:rsidRPr="00D06437">
        <w:rPr>
          <w:rFonts w:ascii="Times New Roman" w:hAnsi="Times New Roman" w:cs="Times New Roman"/>
        </w:rPr>
        <w:t>afia</w:t>
      </w:r>
      <w:bookmarkEnd w:id="8"/>
    </w:p>
    <w:p w14:paraId="6DD1F104" w14:textId="77777777" w:rsidR="00B64824" w:rsidRDefault="00B64824" w:rsidP="002C58BB">
      <w:pPr>
        <w:pStyle w:val="p1"/>
        <w:rPr>
          <w:rStyle w:val="s1"/>
        </w:rPr>
      </w:pPr>
    </w:p>
    <w:p w14:paraId="77C71848" w14:textId="0CFBA043" w:rsidR="00B64824" w:rsidRDefault="00B64824" w:rsidP="00B64824">
      <w:pPr>
        <w:spacing w:before="100" w:beforeAutospacing="1" w:after="100" w:afterAutospacing="1" w:line="240" w:lineRule="auto"/>
        <w:rPr>
          <w:rStyle w:val="s1"/>
          <w:rFonts w:ascii="Times New Roman" w:hAnsi="Times New Roman" w:cs="Times New Roman"/>
          <w:kern w:val="0"/>
          <w14:ligatures w14:val="none"/>
        </w:rPr>
      </w:pPr>
      <w:r w:rsidRPr="00B64824">
        <w:rPr>
          <w:rStyle w:val="s1"/>
          <w:rFonts w:ascii="Times New Roman" w:hAnsi="Times New Roman" w:cs="Times New Roman"/>
          <w:kern w:val="0"/>
          <w14:ligatures w14:val="none"/>
        </w:rPr>
        <w:t xml:space="preserve">Amaturo, E., &amp; Aragona, B. (2022). Epistemology of the digital. In G. Punziano &amp; A. Delli Paoli (Eds.), Handbook of research on advanced research methodologies for a digital society (pp. 1–10). IGI Global. </w:t>
      </w:r>
    </w:p>
    <w:p w14:paraId="0C74E8D2" w14:textId="1933DD2A" w:rsidR="00FC3BC0" w:rsidRDefault="00FC3BC0" w:rsidP="00FC3BC0">
      <w:pPr>
        <w:pStyle w:val="p1"/>
      </w:pPr>
      <w:r>
        <w:rPr>
          <w:rStyle w:val="s1"/>
        </w:rPr>
        <w:t xml:space="preserve">Bailey, J. R., &amp; Eastman, W. N. (1994). Positivism and the promise of the social sciences. </w:t>
      </w:r>
      <w:r>
        <w:rPr>
          <w:rStyle w:val="s2"/>
        </w:rPr>
        <w:t>Theory &amp; Psychology, 4</w:t>
      </w:r>
      <w:r>
        <w:rPr>
          <w:rStyle w:val="s1"/>
        </w:rPr>
        <w:t xml:space="preserve">(4), 505–524. </w:t>
      </w:r>
    </w:p>
    <w:p w14:paraId="3750DBE3" w14:textId="0ED53849" w:rsidR="00FC3BC0" w:rsidRDefault="00FC3BC0" w:rsidP="00FC3BC0">
      <w:pPr>
        <w:pStyle w:val="p1"/>
      </w:pPr>
      <w:r>
        <w:rPr>
          <w:rStyle w:val="s1"/>
        </w:rPr>
        <w:t xml:space="preserve">Barad, K. (2008). </w:t>
      </w:r>
      <w:r>
        <w:rPr>
          <w:rStyle w:val="s2"/>
        </w:rPr>
        <w:t>Meeting the universe halfway: Quantum physics and the entanglement of matter and meaning</w:t>
      </w:r>
      <w:r>
        <w:rPr>
          <w:rStyle w:val="s1"/>
        </w:rPr>
        <w:t xml:space="preserve">. Duke University Press. </w:t>
      </w:r>
    </w:p>
    <w:p w14:paraId="7155C803" w14:textId="574BD398" w:rsidR="00FC3BC0" w:rsidRDefault="00FC3BC0" w:rsidP="00FC3BC0">
      <w:pPr>
        <w:pStyle w:val="p1"/>
      </w:pPr>
      <w:r>
        <w:rPr>
          <w:rStyle w:val="s1"/>
        </w:rPr>
        <w:t xml:space="preserve">Bhaskar, R. (1975). </w:t>
      </w:r>
      <w:r>
        <w:rPr>
          <w:rStyle w:val="s2"/>
        </w:rPr>
        <w:t>A realist theory of science</w:t>
      </w:r>
      <w:r>
        <w:rPr>
          <w:rStyle w:val="s1"/>
        </w:rPr>
        <w:t xml:space="preserve">. Leeds Books. </w:t>
      </w:r>
    </w:p>
    <w:p w14:paraId="737147A2" w14:textId="54F9B0A2" w:rsidR="00FC3BC0" w:rsidRDefault="00FC3BC0" w:rsidP="00FC3BC0">
      <w:pPr>
        <w:pStyle w:val="p1"/>
      </w:pPr>
      <w:r>
        <w:rPr>
          <w:rStyle w:val="s1"/>
        </w:rPr>
        <w:t xml:space="preserve">Bhaskar, R. (1979). </w:t>
      </w:r>
      <w:r>
        <w:rPr>
          <w:rStyle w:val="s2"/>
        </w:rPr>
        <w:t>The possibility of naturalism: A philosophical critique of the contemporary human sciences</w:t>
      </w:r>
      <w:r>
        <w:rPr>
          <w:rStyle w:val="s1"/>
        </w:rPr>
        <w:t xml:space="preserve">. Routledge. </w:t>
      </w:r>
    </w:p>
    <w:p w14:paraId="5BD608D7" w14:textId="77777777" w:rsidR="00FC3BC0" w:rsidRDefault="00FC3BC0" w:rsidP="002E2AFB">
      <w:pPr>
        <w:pStyle w:val="p1"/>
        <w:rPr>
          <w:rStyle w:val="s1"/>
        </w:rPr>
      </w:pPr>
      <w:r>
        <w:rPr>
          <w:rStyle w:val="s1"/>
        </w:rPr>
        <w:t xml:space="preserve">Biesta, G. (2010). Pragmatism and the philosophical foundations of mixed methods research. In A. Tashakkori &amp; C. Teddlie (Eds.), </w:t>
      </w:r>
      <w:r>
        <w:rPr>
          <w:rStyle w:val="s2"/>
        </w:rPr>
        <w:t>SAGE handbook of mixed methods in social and behavioral research</w:t>
      </w:r>
      <w:r>
        <w:rPr>
          <w:rStyle w:val="s1"/>
        </w:rPr>
        <w:t xml:space="preserve"> (pp. 95–118). SAGE. </w:t>
      </w:r>
    </w:p>
    <w:p w14:paraId="2F3A0D9C" w14:textId="4FBCE069" w:rsidR="00391830" w:rsidRPr="00391830" w:rsidRDefault="00391830" w:rsidP="00391830">
      <w:pPr>
        <w:spacing w:before="100" w:beforeAutospacing="1" w:after="100" w:afterAutospacing="1" w:line="240" w:lineRule="auto"/>
        <w:rPr>
          <w:rFonts w:ascii="Times New Roman" w:hAnsi="Times New Roman" w:cs="Times New Roman"/>
          <w:kern w:val="0"/>
          <w14:ligatures w14:val="none"/>
        </w:rPr>
      </w:pPr>
      <w:r w:rsidRPr="00391830">
        <w:rPr>
          <w:rFonts w:ascii="Times New Roman" w:hAnsi="Times New Roman" w:cs="Times New Roman"/>
          <w:kern w:val="0"/>
          <w14:ligatures w14:val="none"/>
        </w:rPr>
        <w:t>Christodoulou, C. (2025). Using AI agents in quantitative social research. In P. A. Christou (Ed.), Artificial intelligence (AI) in social research (pp. 48–53). CABI.</w:t>
      </w:r>
    </w:p>
    <w:p w14:paraId="1B7A0EB9" w14:textId="2A180D68" w:rsidR="00C80842" w:rsidRDefault="00C80842" w:rsidP="002C58BB">
      <w:pPr>
        <w:pStyle w:val="p1"/>
        <w:rPr>
          <w:rStyle w:val="apple-converted-space"/>
        </w:rPr>
      </w:pPr>
      <w:r>
        <w:rPr>
          <w:rStyle w:val="s1"/>
        </w:rPr>
        <w:t xml:space="preserve">Christou, P. A. (Ed.). (2025). </w:t>
      </w:r>
      <w:r>
        <w:rPr>
          <w:rStyle w:val="s2"/>
        </w:rPr>
        <w:t>Artificial intelligence (AI) in social research</w:t>
      </w:r>
      <w:r>
        <w:rPr>
          <w:rStyle w:val="s1"/>
        </w:rPr>
        <w:t>. CABI.</w:t>
      </w:r>
      <w:r>
        <w:rPr>
          <w:rStyle w:val="apple-converted-space"/>
        </w:rPr>
        <w:t> </w:t>
      </w:r>
    </w:p>
    <w:p w14:paraId="445FF091" w14:textId="6B290D55" w:rsidR="00507C50" w:rsidRDefault="00507C50" w:rsidP="00507C50">
      <w:pPr>
        <w:spacing w:before="100" w:beforeAutospacing="1" w:after="100" w:afterAutospacing="1" w:line="240" w:lineRule="auto"/>
        <w:rPr>
          <w:rStyle w:val="apple-converted-space"/>
          <w:rFonts w:ascii="Times New Roman" w:hAnsi="Times New Roman" w:cs="Times New Roman"/>
          <w:kern w:val="0"/>
          <w:lang w:val="en-GB"/>
          <w14:ligatures w14:val="none"/>
        </w:rPr>
      </w:pPr>
      <w:r w:rsidRPr="00507C50">
        <w:rPr>
          <w:rStyle w:val="apple-converted-space"/>
          <w:rFonts w:ascii="Times New Roman" w:hAnsi="Times New Roman" w:cs="Times New Roman"/>
          <w:kern w:val="0"/>
          <w:lang w:val="en-GB"/>
          <w14:ligatures w14:val="none"/>
        </w:rPr>
        <w:lastRenderedPageBreak/>
        <w:t>Christou, P. A. (2025). AI and rigour in social research. In P. A. Christou (Ed.), Artificial intelligence (AI) in social research (chap. 12). CABI.</w:t>
      </w:r>
    </w:p>
    <w:p w14:paraId="4743B14F" w14:textId="5D66233C" w:rsidR="00537871" w:rsidRPr="00507C50" w:rsidRDefault="00537871" w:rsidP="00507C50">
      <w:pPr>
        <w:spacing w:before="100" w:beforeAutospacing="1" w:after="100" w:afterAutospacing="1" w:line="240" w:lineRule="auto"/>
        <w:rPr>
          <w:rStyle w:val="apple-converted-space"/>
          <w:rFonts w:ascii="Times New Roman" w:hAnsi="Times New Roman" w:cs="Times New Roman"/>
          <w:kern w:val="0"/>
          <w:lang w:val="en-GB"/>
          <w14:ligatures w14:val="none"/>
        </w:rPr>
      </w:pPr>
      <w:r w:rsidRPr="00537871">
        <w:rPr>
          <w:rStyle w:val="apple-converted-space"/>
          <w:rFonts w:ascii="Times New Roman" w:hAnsi="Times New Roman" w:cs="Times New Roman"/>
          <w:kern w:val="0"/>
          <w:lang w:val="en-GB"/>
          <w14:ligatures w14:val="none"/>
        </w:rPr>
        <w:t>Creswell, J. W., &amp; Plano Clark, V. L. (2018). Designing and conducting mixed methods research (3rd ed.). SAGE Publications.</w:t>
      </w:r>
    </w:p>
    <w:p w14:paraId="2E7337FA" w14:textId="2384070F" w:rsidR="00DB2F94" w:rsidRDefault="00DB2F94" w:rsidP="002C58BB">
      <w:pPr>
        <w:pStyle w:val="p1"/>
        <w:rPr>
          <w:rStyle w:val="s1"/>
        </w:rPr>
      </w:pPr>
      <w:r>
        <w:rPr>
          <w:rStyle w:val="s1"/>
        </w:rPr>
        <w:t xml:space="preserve">Comte, A. (1853). </w:t>
      </w:r>
      <w:r>
        <w:rPr>
          <w:rStyle w:val="s2"/>
        </w:rPr>
        <w:t>The positive philosophy</w:t>
      </w:r>
      <w:r>
        <w:rPr>
          <w:rStyle w:val="s1"/>
        </w:rPr>
        <w:t>. Calvin Blanchard.</w:t>
      </w:r>
    </w:p>
    <w:p w14:paraId="00E8AD09" w14:textId="2464348C" w:rsidR="00DB2F94" w:rsidRDefault="00044B26" w:rsidP="002C58BB">
      <w:pPr>
        <w:pStyle w:val="p1"/>
        <w:rPr>
          <w:rStyle w:val="s1"/>
        </w:rPr>
      </w:pPr>
      <w:r>
        <w:rPr>
          <w:rStyle w:val="s1"/>
        </w:rPr>
        <w:t xml:space="preserve">Denzin, N. K. (1989). </w:t>
      </w:r>
      <w:r>
        <w:rPr>
          <w:rStyle w:val="s2"/>
        </w:rPr>
        <w:t>Interpretive biography</w:t>
      </w:r>
      <w:r>
        <w:rPr>
          <w:rStyle w:val="s1"/>
        </w:rPr>
        <w:t>. SAGE.</w:t>
      </w:r>
    </w:p>
    <w:p w14:paraId="1E855E28" w14:textId="28C9E74B" w:rsidR="00044B26" w:rsidRDefault="00044B26" w:rsidP="002C58BB">
      <w:pPr>
        <w:pStyle w:val="p1"/>
        <w:rPr>
          <w:rStyle w:val="s1"/>
        </w:rPr>
      </w:pPr>
      <w:r>
        <w:rPr>
          <w:rStyle w:val="s1"/>
        </w:rPr>
        <w:t xml:space="preserve">Friese, S. (2025). Generative AI: A catalyst for paradigmatic change in qualitative data analysis. In P. A. Christou (Ed.), </w:t>
      </w:r>
      <w:r>
        <w:rPr>
          <w:rStyle w:val="s2"/>
        </w:rPr>
        <w:t>Artificial intelligence (AI) in social research</w:t>
      </w:r>
      <w:r>
        <w:rPr>
          <w:rStyle w:val="s1"/>
        </w:rPr>
        <w:t xml:space="preserve"> (pp. 71–84). CABI.</w:t>
      </w:r>
    </w:p>
    <w:p w14:paraId="3BED9E63" w14:textId="159EA47B" w:rsidR="00044B26" w:rsidRDefault="00044B26" w:rsidP="002C58BB">
      <w:pPr>
        <w:pStyle w:val="p1"/>
        <w:rPr>
          <w:rStyle w:val="s1"/>
        </w:rPr>
      </w:pPr>
      <w:r>
        <w:rPr>
          <w:rStyle w:val="s1"/>
        </w:rPr>
        <w:t xml:space="preserve">Guba, E. G., &amp; Lincoln, Y. S. (1994). Competing paradigms in qualitative research. In N. K. Denzin &amp; Y. S. Lincoln (Eds.), </w:t>
      </w:r>
      <w:r>
        <w:rPr>
          <w:rStyle w:val="s2"/>
        </w:rPr>
        <w:t>Handbook of qualitative research</w:t>
      </w:r>
      <w:r>
        <w:rPr>
          <w:rStyle w:val="s1"/>
        </w:rPr>
        <w:t xml:space="preserve"> (Vol. 1, pp. 105–117). SAGE.</w:t>
      </w:r>
    </w:p>
    <w:p w14:paraId="596B693D" w14:textId="0BCFB18E" w:rsidR="000561CD" w:rsidRDefault="000561CD" w:rsidP="000561CD">
      <w:pPr>
        <w:pStyle w:val="p1"/>
      </w:pPr>
      <w:r>
        <w:rPr>
          <w:rStyle w:val="s1"/>
        </w:rPr>
        <w:t xml:space="preserve">Haraway, D. (1988). Situated knowledges: The science question in feminism and the privilege of partial perspective. </w:t>
      </w:r>
      <w:r>
        <w:rPr>
          <w:rStyle w:val="s2"/>
        </w:rPr>
        <w:t>Feminist Studies, 14</w:t>
      </w:r>
      <w:r>
        <w:rPr>
          <w:rStyle w:val="s1"/>
        </w:rPr>
        <w:t xml:space="preserve">, 575–599. </w:t>
      </w:r>
    </w:p>
    <w:p w14:paraId="120B00F9" w14:textId="29EE8710" w:rsidR="000561CD" w:rsidRDefault="000561CD" w:rsidP="000561CD">
      <w:pPr>
        <w:pStyle w:val="p1"/>
      </w:pPr>
      <w:r>
        <w:rPr>
          <w:rStyle w:val="s1"/>
        </w:rPr>
        <w:t xml:space="preserve">Hitch, D., et al. (2025). AI augmented qualitative analysis: Is it the right choice for your study? In P. A. Christou (Ed.), </w:t>
      </w:r>
      <w:r>
        <w:rPr>
          <w:rStyle w:val="s2"/>
        </w:rPr>
        <w:t>Artificial intelligence (AI) in social research</w:t>
      </w:r>
      <w:r>
        <w:rPr>
          <w:rStyle w:val="s1"/>
        </w:rPr>
        <w:t xml:space="preserve"> (pp. 60–71). CABI. </w:t>
      </w:r>
    </w:p>
    <w:p w14:paraId="758F2F55" w14:textId="2085C57E" w:rsidR="000561CD" w:rsidRDefault="000561CD" w:rsidP="002C58BB">
      <w:pPr>
        <w:pStyle w:val="p1"/>
        <w:rPr>
          <w:rStyle w:val="s1"/>
        </w:rPr>
      </w:pPr>
      <w:r>
        <w:rPr>
          <w:rStyle w:val="s1"/>
        </w:rPr>
        <w:t xml:space="preserve">Kouros, T., Theodosiou, Z., &amp; Themistocleous, C. (2025). Machine learning bias: Genealogy, expression and prevention. In P. A. Christou (Ed.), </w:t>
      </w:r>
      <w:r>
        <w:rPr>
          <w:rStyle w:val="s2"/>
        </w:rPr>
        <w:t>Artificial intelligence (AI) in social research</w:t>
      </w:r>
      <w:r>
        <w:rPr>
          <w:rStyle w:val="s1"/>
        </w:rPr>
        <w:t xml:space="preserve"> (pp. 113–131). CABI.</w:t>
      </w:r>
    </w:p>
    <w:p w14:paraId="528B4C6E" w14:textId="77777777" w:rsidR="001926AF" w:rsidRDefault="002C58BB" w:rsidP="002C58BB">
      <w:pPr>
        <w:pStyle w:val="p1"/>
        <w:rPr>
          <w:rStyle w:val="s1"/>
        </w:rPr>
      </w:pPr>
      <w:r>
        <w:rPr>
          <w:rStyle w:val="s1"/>
        </w:rPr>
        <w:t>McKinsey &amp; Company</w:t>
      </w:r>
      <w:r w:rsidR="006E1C49">
        <w:rPr>
          <w:rStyle w:val="s1"/>
        </w:rPr>
        <w:t xml:space="preserve"> (202</w:t>
      </w:r>
      <w:r w:rsidR="00C80842">
        <w:rPr>
          <w:rStyle w:val="s1"/>
        </w:rPr>
        <w:t>3</w:t>
      </w:r>
      <w:r w:rsidR="006E1C49">
        <w:rPr>
          <w:rStyle w:val="s1"/>
        </w:rPr>
        <w:t>)</w:t>
      </w:r>
      <w:r>
        <w:rPr>
          <w:rStyle w:val="s1"/>
        </w:rPr>
        <w:t>.</w:t>
      </w:r>
      <w:r w:rsidR="006E1C49">
        <w:rPr>
          <w:rStyle w:val="s1"/>
        </w:rPr>
        <w:t xml:space="preserve"> </w:t>
      </w:r>
      <w:r w:rsidR="006E1C49">
        <w:rPr>
          <w:rStyle w:val="s2"/>
        </w:rPr>
        <w:t>The state of AI in 2023: Generative AI’s breakout year</w:t>
      </w:r>
      <w:r w:rsidR="006E1C49">
        <w:rPr>
          <w:rStyle w:val="s1"/>
        </w:rPr>
        <w:t>.</w:t>
      </w:r>
      <w:r>
        <w:rPr>
          <w:rStyle w:val="s1"/>
        </w:rPr>
        <w:t xml:space="preserve"> </w:t>
      </w:r>
      <w:hyperlink r:id="rId7" w:history="1">
        <w:r w:rsidR="001926AF" w:rsidRPr="00E5572B">
          <w:rPr>
            <w:rStyle w:val="Hyperlink"/>
          </w:rPr>
          <w:t>https://www.mckinsey.com/capabilities/quantumblack/our-insights/the-state-of-ai-in-2023-generative-ais-breakout-year</w:t>
        </w:r>
      </w:hyperlink>
    </w:p>
    <w:p w14:paraId="0A04E407" w14:textId="5CC37C7A" w:rsidR="002C58BB" w:rsidRDefault="002C58BB" w:rsidP="002C58BB">
      <w:pPr>
        <w:pStyle w:val="p1"/>
        <w:rPr>
          <w:rStyle w:val="s1"/>
        </w:rPr>
      </w:pPr>
      <w:r>
        <w:rPr>
          <w:rStyle w:val="s1"/>
        </w:rPr>
        <w:t xml:space="preserve">McKinsey &amp; Company. (2024). </w:t>
      </w:r>
      <w:r>
        <w:rPr>
          <w:rStyle w:val="s2"/>
        </w:rPr>
        <w:t>The state of AI in 2024: Gen AI adoption spikes and starts to generate value</w:t>
      </w:r>
      <w:r>
        <w:rPr>
          <w:rStyle w:val="s1"/>
        </w:rPr>
        <w:t>. McKinsey &amp; Company.</w:t>
      </w:r>
      <w:r w:rsidR="00CE7814">
        <w:rPr>
          <w:rStyle w:val="s1"/>
        </w:rPr>
        <w:t xml:space="preserve"> </w:t>
      </w:r>
      <w:hyperlink r:id="rId8" w:history="1">
        <w:r w:rsidR="00FB2E34" w:rsidRPr="00E5572B">
          <w:rPr>
            <w:rStyle w:val="Hyperlink"/>
          </w:rPr>
          <w:t>https://www.mckinsey.com/capabilities/quantumblack/our-insights/the-state-of-ai-2024</w:t>
        </w:r>
      </w:hyperlink>
    </w:p>
    <w:p w14:paraId="1B7A29E1" w14:textId="5142919C" w:rsidR="00FB2E34" w:rsidRDefault="00194822" w:rsidP="00194822">
      <w:pPr>
        <w:spacing w:after="0" w:line="240" w:lineRule="auto"/>
        <w:rPr>
          <w:rFonts w:ascii="Times New Roman" w:hAnsi="Times New Roman" w:cs="Times New Roman"/>
          <w:kern w:val="0"/>
          <w14:ligatures w14:val="none"/>
        </w:rPr>
      </w:pPr>
      <w:r w:rsidRPr="00194822">
        <w:rPr>
          <w:rFonts w:ascii="Times New Roman" w:hAnsi="Times New Roman" w:cs="Times New Roman"/>
          <w:kern w:val="0"/>
          <w14:ligatures w14:val="none"/>
        </w:rPr>
        <w:t xml:space="preserve">McKinsey &amp; Company. (2025). The state of AI: How organizations are rewiring to capture value. McKinsey &amp; Company. </w:t>
      </w:r>
      <w:hyperlink r:id="rId9" w:history="1">
        <w:r w:rsidR="00FB2E34" w:rsidRPr="00E5572B">
          <w:rPr>
            <w:rStyle w:val="Hyperlink"/>
            <w:rFonts w:ascii="Times New Roman" w:hAnsi="Times New Roman" w:cs="Times New Roman"/>
            <w:kern w:val="0"/>
            <w14:ligatures w14:val="none"/>
          </w:rPr>
          <w:t>https://www.mckinsey.com/capabilities/quantumblack/our-insights/the-state-of-ai-how-organizations-are-rewiring-to-capture-value</w:t>
        </w:r>
      </w:hyperlink>
    </w:p>
    <w:p w14:paraId="3E69851C" w14:textId="77777777" w:rsidR="00FB2E34" w:rsidRDefault="00194822" w:rsidP="00FB2E34">
      <w:pPr>
        <w:spacing w:after="0" w:line="240" w:lineRule="auto"/>
        <w:rPr>
          <w:rFonts w:ascii="Times New Roman" w:hAnsi="Times New Roman" w:cs="Times New Roman"/>
          <w:kern w:val="0"/>
          <w14:ligatures w14:val="none"/>
        </w:rPr>
      </w:pPr>
      <w:r w:rsidRPr="00194822">
        <w:rPr>
          <w:rFonts w:ascii="Times New Roman" w:hAnsi="Times New Roman" w:cs="Times New Roman"/>
          <w:kern w:val="0"/>
          <w14:ligatures w14:val="none"/>
        </w:rPr>
        <w:t> </w:t>
      </w:r>
    </w:p>
    <w:p w14:paraId="560F1EBA" w14:textId="6F5C5A5B" w:rsidR="004D2054" w:rsidRDefault="002C58BB" w:rsidP="00FB2E34">
      <w:pPr>
        <w:spacing w:after="0" w:line="240" w:lineRule="auto"/>
        <w:rPr>
          <w:rStyle w:val="s1"/>
        </w:rPr>
      </w:pPr>
      <w:r>
        <w:rPr>
          <w:rStyle w:val="s1"/>
        </w:rPr>
        <w:t xml:space="preserve">Microsoft, &amp; LinkedIn. (2024). </w:t>
      </w:r>
      <w:r>
        <w:rPr>
          <w:rStyle w:val="s2"/>
        </w:rPr>
        <w:t>2024 Work Trend Index annual report: AI at work is here. Now comes the hard part</w:t>
      </w:r>
      <w:r>
        <w:rPr>
          <w:rStyle w:val="s1"/>
        </w:rPr>
        <w:t xml:space="preserve">. Microsoft. </w:t>
      </w:r>
      <w:hyperlink r:id="rId10" w:history="1">
        <w:r w:rsidR="009C5FD3" w:rsidRPr="00E5572B">
          <w:rPr>
            <w:rStyle w:val="Hyperlink"/>
          </w:rPr>
          <w:t>https://assets-c4akfrf5b4d3f4b7.z01.azurefd.net/assets/2024/05/2024_Work_Trend_Index_Annual_Report_Executive_Summary_663b2135860a9.pdf</w:t>
        </w:r>
      </w:hyperlink>
    </w:p>
    <w:p w14:paraId="2408B24C" w14:textId="5B38FC03" w:rsidR="004D2054" w:rsidRPr="00FB2E34" w:rsidRDefault="004D2054" w:rsidP="004D2054">
      <w:pPr>
        <w:pStyle w:val="p1"/>
        <w:rPr>
          <w:rStyle w:val="s1"/>
        </w:rPr>
      </w:pPr>
      <w:r>
        <w:rPr>
          <w:rStyle w:val="s1"/>
        </w:rPr>
        <w:lastRenderedPageBreak/>
        <w:t xml:space="preserve">Morgan, D. L. (2007). Paradigms lost and pragmatism regained: Methodological implications of combining qualitative and quantitative methods. </w:t>
      </w:r>
      <w:r>
        <w:rPr>
          <w:rStyle w:val="s2"/>
        </w:rPr>
        <w:t>Journal of Mixed Methods Research, 1</w:t>
      </w:r>
      <w:r>
        <w:rPr>
          <w:rStyle w:val="s1"/>
        </w:rPr>
        <w:t xml:space="preserve">(1), 48–76. </w:t>
      </w:r>
    </w:p>
    <w:p w14:paraId="7539F228" w14:textId="64B39EBA" w:rsidR="00FB2E34" w:rsidRDefault="002C58BB" w:rsidP="002C58BB">
      <w:pPr>
        <w:pStyle w:val="p1"/>
        <w:rPr>
          <w:rStyle w:val="s1"/>
        </w:rPr>
      </w:pPr>
      <w:r>
        <w:rPr>
          <w:rStyle w:val="s1"/>
        </w:rPr>
        <w:t xml:space="preserve">OECD. (2023). </w:t>
      </w:r>
      <w:r>
        <w:rPr>
          <w:rStyle w:val="s2"/>
        </w:rPr>
        <w:t>OECD employment outlook 2023: Artificial intelligence and the labour market</w:t>
      </w:r>
      <w:r>
        <w:rPr>
          <w:rStyle w:val="s1"/>
        </w:rPr>
        <w:t xml:space="preserve">. OECD Publishing. </w:t>
      </w:r>
      <w:hyperlink r:id="rId11" w:history="1">
        <w:r w:rsidR="00FB2E34" w:rsidRPr="00E5572B">
          <w:rPr>
            <w:rStyle w:val="Hyperlink"/>
          </w:rPr>
          <w:t>https://doi.org/10.1787/08785bba-en</w:t>
        </w:r>
      </w:hyperlink>
    </w:p>
    <w:p w14:paraId="78F9986F" w14:textId="136BBA1B" w:rsidR="001926AF" w:rsidRDefault="002C58BB" w:rsidP="004D2054">
      <w:pPr>
        <w:pStyle w:val="p1"/>
      </w:pPr>
      <w:r>
        <w:rPr>
          <w:rStyle w:val="s1"/>
        </w:rPr>
        <w:t xml:space="preserve">Punziano, G. (2025). Adaptive epistemology: Embracing generative AI as a paradigm shift in social science. </w:t>
      </w:r>
      <w:r>
        <w:rPr>
          <w:rStyle w:val="s2"/>
        </w:rPr>
        <w:t>Societies, 15</w:t>
      </w:r>
      <w:r>
        <w:rPr>
          <w:rStyle w:val="s1"/>
        </w:rPr>
        <w:t xml:space="preserve">(7), 205. </w:t>
      </w:r>
      <w:hyperlink r:id="rId12" w:history="1">
        <w:r w:rsidR="009C5FD3" w:rsidRPr="00E5572B">
          <w:rPr>
            <w:rStyle w:val="Hyperlink"/>
          </w:rPr>
          <w:t>https://doi.org/10.3390/soc15070205</w:t>
        </w:r>
      </w:hyperlink>
    </w:p>
    <w:p w14:paraId="1A59C0C1" w14:textId="77777777" w:rsidR="001926AF" w:rsidRDefault="001926AF">
      <w:pPr>
        <w:pStyle w:val="p1"/>
      </w:pPr>
      <w:r>
        <w:rPr>
          <w:rStyle w:val="s1"/>
        </w:rPr>
        <w:t xml:space="preserve">Schwandt, T. A. (1994). Constructivist, interpretivist approaches to human inquiry. In N. K. Denzin &amp; Y. S. Lincoln (Eds.), </w:t>
      </w:r>
      <w:r>
        <w:rPr>
          <w:rStyle w:val="s2"/>
        </w:rPr>
        <w:t>Handbook of qualitative research</w:t>
      </w:r>
      <w:r>
        <w:rPr>
          <w:rStyle w:val="s1"/>
        </w:rPr>
        <w:t xml:space="preserve"> (Vol. 1, pp. 118–137). SAGE. </w:t>
      </w:r>
    </w:p>
    <w:p w14:paraId="00446B48" w14:textId="5DEB8C6A" w:rsidR="001926AF" w:rsidRPr="00313DC3" w:rsidRDefault="00313DC3" w:rsidP="00313DC3">
      <w:pPr>
        <w:spacing w:before="100" w:beforeAutospacing="1" w:after="100" w:afterAutospacing="1" w:line="240" w:lineRule="auto"/>
        <w:rPr>
          <w:rFonts w:ascii="Times New Roman" w:hAnsi="Times New Roman" w:cs="Times New Roman"/>
          <w:kern w:val="0"/>
          <w14:ligatures w14:val="none"/>
        </w:rPr>
      </w:pPr>
      <w:r w:rsidRPr="00313DC3">
        <w:rPr>
          <w:rFonts w:ascii="Times New Roman" w:hAnsi="Times New Roman" w:cs="Times New Roman"/>
          <w:kern w:val="0"/>
          <w14:ligatures w14:val="none"/>
        </w:rPr>
        <w:t>Strayhorn, T. L., &amp; Johnson, J. (2025). Data collection methods in the age of artificial intelligence: Insights from a survey-based study on college students’ perceptions and use of AI. In P. A. Christou (Ed.), Artificial intelligence (AI) in social research (chap. 16). CABI. </w:t>
      </w:r>
    </w:p>
    <w:p w14:paraId="5BD4615A" w14:textId="77777777" w:rsidR="001926AF" w:rsidRDefault="001926AF">
      <w:pPr>
        <w:pStyle w:val="p1"/>
      </w:pPr>
      <w:r>
        <w:rPr>
          <w:rStyle w:val="s1"/>
        </w:rPr>
        <w:t xml:space="preserve">Weber, M. (1949). </w:t>
      </w:r>
      <w:r>
        <w:rPr>
          <w:rStyle w:val="s2"/>
        </w:rPr>
        <w:t>The methodology of the social sciences</w:t>
      </w:r>
      <w:r>
        <w:rPr>
          <w:rStyle w:val="s1"/>
        </w:rPr>
        <w:t xml:space="preserve">. Free Press. </w:t>
      </w:r>
    </w:p>
    <w:p w14:paraId="2AE62BE5" w14:textId="77777777" w:rsidR="001926AF" w:rsidRDefault="001926AF">
      <w:pPr>
        <w:pStyle w:val="p1"/>
        <w:rPr>
          <w:rStyle w:val="s1"/>
        </w:rPr>
      </w:pPr>
    </w:p>
    <w:p w14:paraId="3B278833" w14:textId="7B6C5EB0" w:rsidR="002C58BB" w:rsidRDefault="002C58BB">
      <w:pPr>
        <w:pStyle w:val="p1"/>
      </w:pPr>
      <w:r>
        <w:rPr>
          <w:rStyle w:val="apple-converted-space"/>
        </w:rPr>
        <w:t xml:space="preserve">  </w:t>
      </w:r>
    </w:p>
    <w:p w14:paraId="76A0CDB6" w14:textId="77777777" w:rsidR="002C58BB" w:rsidRDefault="002C58BB">
      <w:pPr>
        <w:pStyle w:val="p2"/>
      </w:pPr>
    </w:p>
    <w:p w14:paraId="183C12E5" w14:textId="77777777" w:rsidR="002660C1" w:rsidRDefault="002660C1" w:rsidP="00F572B4">
      <w:pPr>
        <w:jc w:val="both"/>
      </w:pPr>
    </w:p>
    <w:sectPr w:rsidR="002660C1" w:rsidSect="00577A21">
      <w:footerReference w:type="even" r:id="rId13"/>
      <w:footerReference w:type="default" r:id="rId14"/>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1864D" w14:textId="77777777" w:rsidR="007A229F" w:rsidRDefault="007A229F" w:rsidP="00BE4F47">
      <w:pPr>
        <w:spacing w:after="0" w:line="240" w:lineRule="auto"/>
      </w:pPr>
      <w:r>
        <w:separator/>
      </w:r>
    </w:p>
  </w:endnote>
  <w:endnote w:type="continuationSeparator" w:id="0">
    <w:p w14:paraId="4BA12333" w14:textId="77777777" w:rsidR="007A229F" w:rsidRDefault="007A229F" w:rsidP="00BE4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0619120"/>
      <w:docPartObj>
        <w:docPartGallery w:val="Page Numbers (Bottom of Page)"/>
        <w:docPartUnique/>
      </w:docPartObj>
    </w:sdtPr>
    <w:sdtContent>
      <w:p w14:paraId="3E96242E" w14:textId="36B08BA3" w:rsidR="00BE4F47" w:rsidRDefault="00BE4F47" w:rsidP="00FF2E09">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E67919" w14:textId="77777777" w:rsidR="00BE4F47" w:rsidRDefault="00BE4F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6671165"/>
      <w:docPartObj>
        <w:docPartGallery w:val="Page Numbers (Bottom of Page)"/>
        <w:docPartUnique/>
      </w:docPartObj>
    </w:sdtPr>
    <w:sdtContent>
      <w:p w14:paraId="350D06BF" w14:textId="4DFC1DE0" w:rsidR="00BE4F47" w:rsidRDefault="00BE4F47" w:rsidP="00FF2E09">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E59C4F" w14:textId="77777777" w:rsidR="00BE4F47" w:rsidRDefault="00BE4F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A96ED" w14:textId="77777777" w:rsidR="007A229F" w:rsidRDefault="007A229F" w:rsidP="00BE4F47">
      <w:pPr>
        <w:spacing w:after="0" w:line="240" w:lineRule="auto"/>
      </w:pPr>
      <w:r>
        <w:separator/>
      </w:r>
    </w:p>
  </w:footnote>
  <w:footnote w:type="continuationSeparator" w:id="0">
    <w:p w14:paraId="34BF760D" w14:textId="77777777" w:rsidR="007A229F" w:rsidRDefault="007A229F" w:rsidP="00BE4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C4B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31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C1"/>
    <w:rsid w:val="00002209"/>
    <w:rsid w:val="00034637"/>
    <w:rsid w:val="00044B26"/>
    <w:rsid w:val="00051F78"/>
    <w:rsid w:val="000561CD"/>
    <w:rsid w:val="00076F5D"/>
    <w:rsid w:val="000E3683"/>
    <w:rsid w:val="0013718F"/>
    <w:rsid w:val="00140C1E"/>
    <w:rsid w:val="001518CE"/>
    <w:rsid w:val="0015442A"/>
    <w:rsid w:val="00191DAA"/>
    <w:rsid w:val="001926AF"/>
    <w:rsid w:val="00194822"/>
    <w:rsid w:val="001D2098"/>
    <w:rsid w:val="001D337D"/>
    <w:rsid w:val="001F7072"/>
    <w:rsid w:val="002217A7"/>
    <w:rsid w:val="0024296D"/>
    <w:rsid w:val="002453A6"/>
    <w:rsid w:val="00246A9E"/>
    <w:rsid w:val="002515A2"/>
    <w:rsid w:val="00263054"/>
    <w:rsid w:val="002660C1"/>
    <w:rsid w:val="002A3C78"/>
    <w:rsid w:val="002C06AE"/>
    <w:rsid w:val="002C553C"/>
    <w:rsid w:val="002C58BB"/>
    <w:rsid w:val="002C7E4E"/>
    <w:rsid w:val="002D1087"/>
    <w:rsid w:val="00302495"/>
    <w:rsid w:val="00313DC3"/>
    <w:rsid w:val="00366FBB"/>
    <w:rsid w:val="00390AC3"/>
    <w:rsid w:val="00391830"/>
    <w:rsid w:val="003937BB"/>
    <w:rsid w:val="003A49D2"/>
    <w:rsid w:val="003B7693"/>
    <w:rsid w:val="003E5F50"/>
    <w:rsid w:val="00403EC3"/>
    <w:rsid w:val="00416043"/>
    <w:rsid w:val="0042036D"/>
    <w:rsid w:val="00446020"/>
    <w:rsid w:val="00453091"/>
    <w:rsid w:val="004602E2"/>
    <w:rsid w:val="00463403"/>
    <w:rsid w:val="00463C3B"/>
    <w:rsid w:val="0046406E"/>
    <w:rsid w:val="00475A4B"/>
    <w:rsid w:val="004934E3"/>
    <w:rsid w:val="004C56C7"/>
    <w:rsid w:val="004D2054"/>
    <w:rsid w:val="004E53A4"/>
    <w:rsid w:val="004E5B27"/>
    <w:rsid w:val="004E7D5E"/>
    <w:rsid w:val="00507C50"/>
    <w:rsid w:val="005134D6"/>
    <w:rsid w:val="00533498"/>
    <w:rsid w:val="00537871"/>
    <w:rsid w:val="0055410B"/>
    <w:rsid w:val="00570B19"/>
    <w:rsid w:val="00574C0C"/>
    <w:rsid w:val="005761FB"/>
    <w:rsid w:val="00577A21"/>
    <w:rsid w:val="005A15A3"/>
    <w:rsid w:val="005D742E"/>
    <w:rsid w:val="005E192F"/>
    <w:rsid w:val="005F574A"/>
    <w:rsid w:val="00607D2D"/>
    <w:rsid w:val="00610627"/>
    <w:rsid w:val="00613E37"/>
    <w:rsid w:val="00633D0D"/>
    <w:rsid w:val="006373ED"/>
    <w:rsid w:val="006466AA"/>
    <w:rsid w:val="00647457"/>
    <w:rsid w:val="0067058D"/>
    <w:rsid w:val="00677716"/>
    <w:rsid w:val="006945E1"/>
    <w:rsid w:val="00695FD3"/>
    <w:rsid w:val="006A44AD"/>
    <w:rsid w:val="006A5CD1"/>
    <w:rsid w:val="006B4CB4"/>
    <w:rsid w:val="006D7DB1"/>
    <w:rsid w:val="006E1C49"/>
    <w:rsid w:val="006E5404"/>
    <w:rsid w:val="006F7254"/>
    <w:rsid w:val="00707028"/>
    <w:rsid w:val="00707595"/>
    <w:rsid w:val="00724E3A"/>
    <w:rsid w:val="00752734"/>
    <w:rsid w:val="00770D89"/>
    <w:rsid w:val="0079747D"/>
    <w:rsid w:val="007A229F"/>
    <w:rsid w:val="007C14FF"/>
    <w:rsid w:val="007D3A37"/>
    <w:rsid w:val="007D61EC"/>
    <w:rsid w:val="007F2E61"/>
    <w:rsid w:val="00801D14"/>
    <w:rsid w:val="008079CC"/>
    <w:rsid w:val="00810189"/>
    <w:rsid w:val="00827D71"/>
    <w:rsid w:val="00832847"/>
    <w:rsid w:val="0084563B"/>
    <w:rsid w:val="008A4D4B"/>
    <w:rsid w:val="008B2892"/>
    <w:rsid w:val="008B70A2"/>
    <w:rsid w:val="008D237D"/>
    <w:rsid w:val="008E57E6"/>
    <w:rsid w:val="00903ADD"/>
    <w:rsid w:val="00910293"/>
    <w:rsid w:val="0093071D"/>
    <w:rsid w:val="00936A0B"/>
    <w:rsid w:val="0094546E"/>
    <w:rsid w:val="00967AFE"/>
    <w:rsid w:val="009763B9"/>
    <w:rsid w:val="00987690"/>
    <w:rsid w:val="009B68EE"/>
    <w:rsid w:val="009B7426"/>
    <w:rsid w:val="009C5FD3"/>
    <w:rsid w:val="009E5341"/>
    <w:rsid w:val="009F66A6"/>
    <w:rsid w:val="00A45F19"/>
    <w:rsid w:val="00A52670"/>
    <w:rsid w:val="00A6230B"/>
    <w:rsid w:val="00A856A7"/>
    <w:rsid w:val="00A92E15"/>
    <w:rsid w:val="00AA1E06"/>
    <w:rsid w:val="00AB2092"/>
    <w:rsid w:val="00AC0BCC"/>
    <w:rsid w:val="00AD2317"/>
    <w:rsid w:val="00AE1488"/>
    <w:rsid w:val="00AE5D85"/>
    <w:rsid w:val="00B52DB1"/>
    <w:rsid w:val="00B64824"/>
    <w:rsid w:val="00B66E0F"/>
    <w:rsid w:val="00B94DBA"/>
    <w:rsid w:val="00BA5781"/>
    <w:rsid w:val="00BC069A"/>
    <w:rsid w:val="00BD49D9"/>
    <w:rsid w:val="00BD79CC"/>
    <w:rsid w:val="00BE4F47"/>
    <w:rsid w:val="00BE6BD1"/>
    <w:rsid w:val="00C542FE"/>
    <w:rsid w:val="00C61A3A"/>
    <w:rsid w:val="00C6482C"/>
    <w:rsid w:val="00C80842"/>
    <w:rsid w:val="00CC0468"/>
    <w:rsid w:val="00CC29CD"/>
    <w:rsid w:val="00CE0AE0"/>
    <w:rsid w:val="00CE0E97"/>
    <w:rsid w:val="00CE2523"/>
    <w:rsid w:val="00CE7814"/>
    <w:rsid w:val="00D06437"/>
    <w:rsid w:val="00D40671"/>
    <w:rsid w:val="00D45526"/>
    <w:rsid w:val="00D47B15"/>
    <w:rsid w:val="00DB2F94"/>
    <w:rsid w:val="00E116D6"/>
    <w:rsid w:val="00E1576C"/>
    <w:rsid w:val="00E30672"/>
    <w:rsid w:val="00E32F7C"/>
    <w:rsid w:val="00E55E9B"/>
    <w:rsid w:val="00E571E8"/>
    <w:rsid w:val="00E70005"/>
    <w:rsid w:val="00E93CA3"/>
    <w:rsid w:val="00ED5BED"/>
    <w:rsid w:val="00EE2641"/>
    <w:rsid w:val="00EF0B11"/>
    <w:rsid w:val="00F144CC"/>
    <w:rsid w:val="00F5027F"/>
    <w:rsid w:val="00F52462"/>
    <w:rsid w:val="00F547F7"/>
    <w:rsid w:val="00F572B4"/>
    <w:rsid w:val="00F71B0F"/>
    <w:rsid w:val="00F94272"/>
    <w:rsid w:val="00F97CE6"/>
    <w:rsid w:val="00FB2E34"/>
    <w:rsid w:val="00FC3BC0"/>
    <w:rsid w:val="00FC68CD"/>
    <w:rsid w:val="00FE0A76"/>
    <w:rsid w:val="00FE3C55"/>
    <w:rsid w:val="00FE57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9BC5"/>
  <w15:chartTrackingRefBased/>
  <w15:docId w15:val="{C9B5888A-8A10-064A-9536-32CEBC67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6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6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6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6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66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C1"/>
    <w:rPr>
      <w:rFonts w:eastAsiaTheme="majorEastAsia" w:cstheme="majorBidi"/>
      <w:color w:val="272727" w:themeColor="text1" w:themeTint="D8"/>
    </w:rPr>
  </w:style>
  <w:style w:type="paragraph" w:styleId="Title">
    <w:name w:val="Title"/>
    <w:basedOn w:val="Normal"/>
    <w:next w:val="Normal"/>
    <w:link w:val="TitleChar"/>
    <w:uiPriority w:val="10"/>
    <w:qFormat/>
    <w:rsid w:val="00266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C1"/>
    <w:pPr>
      <w:spacing w:before="160"/>
      <w:jc w:val="center"/>
    </w:pPr>
    <w:rPr>
      <w:i/>
      <w:iCs/>
      <w:color w:val="404040" w:themeColor="text1" w:themeTint="BF"/>
    </w:rPr>
  </w:style>
  <w:style w:type="character" w:customStyle="1" w:styleId="QuoteChar">
    <w:name w:val="Quote Char"/>
    <w:basedOn w:val="DefaultParagraphFont"/>
    <w:link w:val="Quote"/>
    <w:uiPriority w:val="29"/>
    <w:rsid w:val="002660C1"/>
    <w:rPr>
      <w:i/>
      <w:iCs/>
      <w:color w:val="404040" w:themeColor="text1" w:themeTint="BF"/>
    </w:rPr>
  </w:style>
  <w:style w:type="paragraph" w:styleId="ListParagraph">
    <w:name w:val="List Paragraph"/>
    <w:basedOn w:val="Normal"/>
    <w:uiPriority w:val="34"/>
    <w:qFormat/>
    <w:rsid w:val="002660C1"/>
    <w:pPr>
      <w:ind w:left="720"/>
      <w:contextualSpacing/>
    </w:pPr>
  </w:style>
  <w:style w:type="character" w:styleId="IntenseEmphasis">
    <w:name w:val="Intense Emphasis"/>
    <w:basedOn w:val="DefaultParagraphFont"/>
    <w:uiPriority w:val="21"/>
    <w:qFormat/>
    <w:rsid w:val="002660C1"/>
    <w:rPr>
      <w:i/>
      <w:iCs/>
      <w:color w:val="2F5496" w:themeColor="accent1" w:themeShade="BF"/>
    </w:rPr>
  </w:style>
  <w:style w:type="paragraph" w:styleId="IntenseQuote">
    <w:name w:val="Intense Quote"/>
    <w:basedOn w:val="Normal"/>
    <w:next w:val="Normal"/>
    <w:link w:val="IntenseQuoteChar"/>
    <w:uiPriority w:val="30"/>
    <w:qFormat/>
    <w:rsid w:val="00266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0C1"/>
    <w:rPr>
      <w:i/>
      <w:iCs/>
      <w:color w:val="2F5496" w:themeColor="accent1" w:themeShade="BF"/>
    </w:rPr>
  </w:style>
  <w:style w:type="character" w:styleId="IntenseReference">
    <w:name w:val="Intense Reference"/>
    <w:basedOn w:val="DefaultParagraphFont"/>
    <w:uiPriority w:val="32"/>
    <w:qFormat/>
    <w:rsid w:val="002660C1"/>
    <w:rPr>
      <w:b/>
      <w:bCs/>
      <w:smallCaps/>
      <w:color w:val="2F5496" w:themeColor="accent1" w:themeShade="BF"/>
      <w:spacing w:val="5"/>
    </w:rPr>
  </w:style>
  <w:style w:type="character" w:customStyle="1" w:styleId="s1">
    <w:name w:val="s1"/>
    <w:basedOn w:val="DefaultParagraphFont"/>
    <w:rsid w:val="002660C1"/>
  </w:style>
  <w:style w:type="paragraph" w:customStyle="1" w:styleId="p2">
    <w:name w:val="p2"/>
    <w:basedOn w:val="Normal"/>
    <w:rsid w:val="002660C1"/>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2660C1"/>
  </w:style>
  <w:style w:type="paragraph" w:customStyle="1" w:styleId="p3">
    <w:name w:val="p3"/>
    <w:basedOn w:val="Normal"/>
    <w:rsid w:val="002660C1"/>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BE4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F47"/>
  </w:style>
  <w:style w:type="paragraph" w:styleId="Footer">
    <w:name w:val="footer"/>
    <w:basedOn w:val="Normal"/>
    <w:link w:val="FooterChar"/>
    <w:uiPriority w:val="99"/>
    <w:unhideWhenUsed/>
    <w:rsid w:val="00BE4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F47"/>
  </w:style>
  <w:style w:type="character" w:styleId="PageNumber">
    <w:name w:val="page number"/>
    <w:basedOn w:val="DefaultParagraphFont"/>
    <w:uiPriority w:val="99"/>
    <w:semiHidden/>
    <w:unhideWhenUsed/>
    <w:rsid w:val="00BE4F47"/>
  </w:style>
  <w:style w:type="paragraph" w:styleId="EndnoteText">
    <w:name w:val="endnote text"/>
    <w:basedOn w:val="Normal"/>
    <w:link w:val="EndnoteTextChar"/>
    <w:uiPriority w:val="99"/>
    <w:semiHidden/>
    <w:unhideWhenUsed/>
    <w:rsid w:val="000346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4637"/>
    <w:rPr>
      <w:sz w:val="20"/>
      <w:szCs w:val="20"/>
    </w:rPr>
  </w:style>
  <w:style w:type="character" w:styleId="EndnoteReference">
    <w:name w:val="endnote reference"/>
    <w:basedOn w:val="DefaultParagraphFont"/>
    <w:uiPriority w:val="99"/>
    <w:semiHidden/>
    <w:unhideWhenUsed/>
    <w:rsid w:val="00034637"/>
    <w:rPr>
      <w:vertAlign w:val="superscript"/>
    </w:rPr>
  </w:style>
  <w:style w:type="paragraph" w:styleId="TOCHeading">
    <w:name w:val="TOC Heading"/>
    <w:basedOn w:val="Heading1"/>
    <w:next w:val="Normal"/>
    <w:uiPriority w:val="39"/>
    <w:unhideWhenUsed/>
    <w:qFormat/>
    <w:rsid w:val="00034637"/>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CE2523"/>
    <w:pPr>
      <w:spacing w:after="100"/>
    </w:pPr>
  </w:style>
  <w:style w:type="character" w:styleId="Hyperlink">
    <w:name w:val="Hyperlink"/>
    <w:basedOn w:val="DefaultParagraphFont"/>
    <w:uiPriority w:val="99"/>
    <w:unhideWhenUsed/>
    <w:rsid w:val="00CE2523"/>
    <w:rPr>
      <w:color w:val="0563C1" w:themeColor="hyperlink"/>
      <w:u w:val="single"/>
    </w:rPr>
  </w:style>
  <w:style w:type="paragraph" w:styleId="TOC2">
    <w:name w:val="toc 2"/>
    <w:basedOn w:val="Normal"/>
    <w:next w:val="Normal"/>
    <w:autoRedefine/>
    <w:uiPriority w:val="39"/>
    <w:unhideWhenUsed/>
    <w:rsid w:val="00CE2523"/>
    <w:pPr>
      <w:spacing w:after="100"/>
      <w:ind w:left="240"/>
    </w:pPr>
  </w:style>
  <w:style w:type="paragraph" w:customStyle="1" w:styleId="p1">
    <w:name w:val="p1"/>
    <w:basedOn w:val="Normal"/>
    <w:rsid w:val="002C58BB"/>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2C58BB"/>
  </w:style>
  <w:style w:type="character" w:styleId="UnresolvedMention">
    <w:name w:val="Unresolved Mention"/>
    <w:basedOn w:val="DefaultParagraphFont"/>
    <w:uiPriority w:val="99"/>
    <w:semiHidden/>
    <w:unhideWhenUsed/>
    <w:rsid w:val="009C5FD3"/>
    <w:rPr>
      <w:color w:val="605E5C"/>
      <w:shd w:val="clear" w:color="auto" w:fill="E1DFDD"/>
    </w:rPr>
  </w:style>
  <w:style w:type="character" w:customStyle="1" w:styleId="s3">
    <w:name w:val="s3"/>
    <w:basedOn w:val="DefaultParagraphFont"/>
    <w:rsid w:val="005D7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quantumblack/our-insights/the-state-of-ai-2024"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mckinsey.com/capabilities/quantumblack/our-insights/the-state-of-ai-in-2023-generative-ais-breakout-year" TargetMode="External"/><Relationship Id="rId12" Type="http://schemas.openxmlformats.org/officeDocument/2006/relationships/hyperlink" Target="https://doi.org/10.3390/soc1507020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787/08785bba-e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ssets-c4akfrf5b4d3f4b7.z01.azurefd.net/assets/2024/05/2024_Work_Trend_Index_Annual_Report_Executive_Summary_663b2135860a9.pdf" TargetMode="External"/><Relationship Id="rId4" Type="http://schemas.openxmlformats.org/officeDocument/2006/relationships/webSettings" Target="webSettings.xml"/><Relationship Id="rId9" Type="http://schemas.openxmlformats.org/officeDocument/2006/relationships/hyperlink" Target="https://www.mckinsey.com/capabilities/quantumblack/our-insights/the-state-of-ai-how-organizations-are-rewiring-to-capture-value" TargetMode="External"/><Relationship Id="rId14"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6044</Words>
  <Characters>34452</Characters>
  <Application>Microsoft Office Word</Application>
  <DocSecurity>0</DocSecurity>
  <Lines>287</Lines>
  <Paragraphs>80</Paragraphs>
  <ScaleCrop>false</ScaleCrop>
  <Company/>
  <LinksUpToDate>false</LinksUpToDate>
  <CharactersWithSpaces>40416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Nicolò Raucci</dc:creator>
  <cp:keywords/>
  <dc:description/>
  <cp:lastModifiedBy>NICOLO' RAUCCI</cp:lastModifiedBy>
  <cp:revision>171</cp:revision>
  <dcterms:created xsi:type="dcterms:W3CDTF">2025-11-21T10:58:00Z</dcterms:created>
  <dcterms:modified xsi:type="dcterms:W3CDTF">2025-12-03T13:04:00Z</dcterms:modified>
</cp:coreProperties>
</file>