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F84599" w:rsidP="00F84599">
      <w:pPr>
        <w:jc w:val="center"/>
        <w:rPr>
          <w:sz w:val="36"/>
          <w:szCs w:val="36"/>
        </w:rPr>
      </w:pPr>
      <w:r>
        <w:rPr>
          <w:sz w:val="36"/>
          <w:szCs w:val="36"/>
        </w:rPr>
        <w:t>Assignment #5 Tableau U.S. Agriculture by Joshua Troup</w:t>
      </w:r>
    </w:p>
    <w:p w:rsidR="00F84599" w:rsidRDefault="00F84599" w:rsidP="00F84599">
      <w:pPr>
        <w:rPr>
          <w:sz w:val="24"/>
          <w:szCs w:val="24"/>
        </w:rPr>
      </w:pPr>
      <w:r w:rsidRPr="00F84599">
        <w:rPr>
          <w:sz w:val="24"/>
          <w:szCs w:val="24"/>
        </w:rPr>
        <w:t>Identify the county where there is a high ratio of fast food restaurants</w:t>
      </w:r>
    </w:p>
    <w:p w:rsidR="00F84599" w:rsidRDefault="00F84599" w:rsidP="00F84599">
      <w:pPr>
        <w:rPr>
          <w:sz w:val="24"/>
          <w:szCs w:val="24"/>
        </w:rPr>
      </w:pPr>
      <w:r>
        <w:rPr>
          <w:noProof/>
          <w:sz w:val="24"/>
          <w:szCs w:val="24"/>
        </w:rPr>
        <w:drawing>
          <wp:inline distT="0" distB="0" distL="0" distR="0">
            <wp:extent cx="2448267" cy="666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PNG"/>
                    <pic:cNvPicPr/>
                  </pic:nvPicPr>
                  <pic:blipFill>
                    <a:blip r:embed="rId5">
                      <a:extLst>
                        <a:ext uri="{28A0092B-C50C-407E-A947-70E740481C1C}">
                          <a14:useLocalDpi xmlns:a14="http://schemas.microsoft.com/office/drawing/2010/main" val="0"/>
                        </a:ext>
                      </a:extLst>
                    </a:blip>
                    <a:stretch>
                      <a:fillRect/>
                    </a:stretch>
                  </pic:blipFill>
                  <pic:spPr>
                    <a:xfrm>
                      <a:off x="0" y="0"/>
                      <a:ext cx="2448267" cy="666843"/>
                    </a:xfrm>
                    <a:prstGeom prst="rect">
                      <a:avLst/>
                    </a:prstGeom>
                  </pic:spPr>
                </pic:pic>
              </a:graphicData>
            </a:graphic>
          </wp:inline>
        </w:drawing>
      </w:r>
    </w:p>
    <w:p w:rsidR="00F84599" w:rsidRDefault="00F84599" w:rsidP="00F84599">
      <w:pPr>
        <w:rPr>
          <w:b/>
          <w:sz w:val="24"/>
          <w:szCs w:val="24"/>
        </w:rPr>
      </w:pPr>
      <w:r w:rsidRPr="00F84599">
        <w:rPr>
          <w:b/>
          <w:sz w:val="24"/>
          <w:szCs w:val="24"/>
        </w:rPr>
        <w:t>San Juan Colorado --- 5.780</w:t>
      </w:r>
    </w:p>
    <w:p w:rsidR="00F84599" w:rsidRDefault="008572E0" w:rsidP="00F84599">
      <w:pPr>
        <w:rPr>
          <w:sz w:val="24"/>
          <w:szCs w:val="24"/>
        </w:rPr>
      </w:pPr>
      <w:proofErr w:type="gramStart"/>
      <w:r>
        <w:rPr>
          <w:sz w:val="24"/>
          <w:szCs w:val="24"/>
        </w:rPr>
        <w:t>County with highest ratio in Pennsylvania?</w:t>
      </w:r>
      <w:proofErr w:type="gramEnd"/>
    </w:p>
    <w:p w:rsidR="008572E0" w:rsidRPr="00F84599" w:rsidRDefault="008572E0" w:rsidP="00F84599">
      <w:pPr>
        <w:rPr>
          <w:sz w:val="24"/>
          <w:szCs w:val="24"/>
        </w:rPr>
      </w:pPr>
      <w:r>
        <w:rPr>
          <w:noProof/>
          <w:sz w:val="24"/>
          <w:szCs w:val="24"/>
        </w:rPr>
        <w:drawing>
          <wp:inline distT="0" distB="0" distL="0" distR="0">
            <wp:extent cx="594360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F84599" w:rsidRDefault="008572E0" w:rsidP="00F84599">
      <w:pPr>
        <w:rPr>
          <w:b/>
          <w:sz w:val="24"/>
          <w:szCs w:val="24"/>
        </w:rPr>
      </w:pPr>
      <w:r w:rsidRPr="008572E0">
        <w:rPr>
          <w:b/>
          <w:sz w:val="24"/>
          <w:szCs w:val="24"/>
        </w:rPr>
        <w:t>Philadelphia---.8513</w:t>
      </w:r>
    </w:p>
    <w:p w:rsidR="008572E0" w:rsidRDefault="008572E0" w:rsidP="00F84599">
      <w:pPr>
        <w:rPr>
          <w:sz w:val="24"/>
          <w:szCs w:val="24"/>
        </w:rPr>
      </w:pPr>
      <w:r w:rsidRPr="008572E0">
        <w:rPr>
          <w:sz w:val="24"/>
          <w:szCs w:val="24"/>
        </w:rPr>
        <w:t xml:space="preserve">Is this visually appealing and easier to comprehend than the textual? </w:t>
      </w:r>
      <w:proofErr w:type="gramStart"/>
      <w:r w:rsidRPr="008572E0">
        <w:rPr>
          <w:sz w:val="24"/>
          <w:szCs w:val="24"/>
        </w:rPr>
        <w:t>Comment.</w:t>
      </w:r>
      <w:proofErr w:type="gramEnd"/>
    </w:p>
    <w:p w:rsidR="008572E0" w:rsidRDefault="008572E0" w:rsidP="00F84599">
      <w:pPr>
        <w:rPr>
          <w:b/>
          <w:sz w:val="24"/>
          <w:szCs w:val="24"/>
        </w:rPr>
      </w:pPr>
      <w:r>
        <w:rPr>
          <w:b/>
          <w:sz w:val="24"/>
          <w:szCs w:val="24"/>
        </w:rPr>
        <w:t xml:space="preserve">Yes the graph above is much more appealing and better to gain quick insight on which counties have the highest or lowest ratios. Bar graph may be better suited to pick out the top contenders immediately but the geographic display gives the viewer </w:t>
      </w:r>
      <w:proofErr w:type="gramStart"/>
      <w:r>
        <w:rPr>
          <w:b/>
          <w:sz w:val="24"/>
          <w:szCs w:val="24"/>
        </w:rPr>
        <w:t>a</w:t>
      </w:r>
      <w:proofErr w:type="gramEnd"/>
      <w:r>
        <w:rPr>
          <w:b/>
          <w:sz w:val="24"/>
          <w:szCs w:val="24"/>
        </w:rPr>
        <w:t xml:space="preserve"> understanding of the entire state by county. </w:t>
      </w:r>
    </w:p>
    <w:p w:rsidR="008572E0" w:rsidRDefault="00136FA4" w:rsidP="00F84599">
      <w:pPr>
        <w:rPr>
          <w:sz w:val="24"/>
          <w:szCs w:val="24"/>
        </w:rPr>
      </w:pPr>
      <w:r>
        <w:rPr>
          <w:sz w:val="24"/>
          <w:szCs w:val="24"/>
        </w:rPr>
        <w:t>T</w:t>
      </w:r>
      <w:r w:rsidRPr="00136FA4">
        <w:rPr>
          <w:sz w:val="24"/>
          <w:szCs w:val="24"/>
        </w:rPr>
        <w:t>he average number of fast food restaurants per population in each state</w:t>
      </w:r>
      <w:r>
        <w:rPr>
          <w:sz w:val="24"/>
          <w:szCs w:val="24"/>
        </w:rPr>
        <w:t>?</w:t>
      </w:r>
    </w:p>
    <w:p w:rsidR="00136FA4" w:rsidRDefault="00136FA4" w:rsidP="00F84599">
      <w:pPr>
        <w:rPr>
          <w:sz w:val="24"/>
          <w:szCs w:val="24"/>
        </w:rPr>
      </w:pPr>
      <w:r>
        <w:rPr>
          <w:noProof/>
          <w:sz w:val="24"/>
          <w:szCs w:val="24"/>
        </w:rPr>
        <w:lastRenderedPageBreak/>
        <w:drawing>
          <wp:inline distT="0" distB="0" distL="0" distR="0">
            <wp:extent cx="5943600" cy="3080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rsidR="00136FA4" w:rsidRPr="008F5E6D" w:rsidRDefault="00136FA4" w:rsidP="00F84599">
      <w:pPr>
        <w:rPr>
          <w:b/>
          <w:sz w:val="24"/>
          <w:szCs w:val="24"/>
        </w:rPr>
      </w:pPr>
      <w:r w:rsidRPr="008F5E6D">
        <w:rPr>
          <w:b/>
          <w:sz w:val="24"/>
          <w:szCs w:val="24"/>
        </w:rPr>
        <w:t>Highest = DC---1.2476</w:t>
      </w:r>
    </w:p>
    <w:p w:rsidR="00136FA4" w:rsidRDefault="008F5E6D" w:rsidP="00F84599">
      <w:pPr>
        <w:rPr>
          <w:sz w:val="24"/>
          <w:szCs w:val="24"/>
        </w:rPr>
      </w:pPr>
      <w:r>
        <w:rPr>
          <w:sz w:val="24"/>
          <w:szCs w:val="24"/>
        </w:rPr>
        <w:t>Is there</w:t>
      </w:r>
      <w:r w:rsidRPr="008F5E6D">
        <w:rPr>
          <w:sz w:val="24"/>
          <w:szCs w:val="24"/>
        </w:rPr>
        <w:t xml:space="preserve"> a relationship between D</w:t>
      </w:r>
      <w:r>
        <w:rPr>
          <w:sz w:val="24"/>
          <w:szCs w:val="24"/>
        </w:rPr>
        <w:t>iabetes rates and Obesity rates?</w:t>
      </w:r>
    </w:p>
    <w:p w:rsidR="00184231" w:rsidRDefault="00184231" w:rsidP="00F84599">
      <w:pPr>
        <w:rPr>
          <w:sz w:val="24"/>
          <w:szCs w:val="24"/>
        </w:rPr>
      </w:pPr>
      <w:r w:rsidRPr="00184231">
        <w:rPr>
          <w:sz w:val="24"/>
          <w:szCs w:val="24"/>
        </w:rPr>
        <w:t xml:space="preserve">Is there a relationship between obesity and diabetes? </w:t>
      </w:r>
      <w:proofErr w:type="gramStart"/>
      <w:r w:rsidRPr="00184231">
        <w:rPr>
          <w:sz w:val="24"/>
          <w:szCs w:val="24"/>
        </w:rPr>
        <w:t>Positive or negative?</w:t>
      </w:r>
      <w:proofErr w:type="gramEnd"/>
    </w:p>
    <w:p w:rsidR="008F5E6D" w:rsidRDefault="008F5E6D" w:rsidP="00F84599">
      <w:pPr>
        <w:rPr>
          <w:sz w:val="24"/>
          <w:szCs w:val="24"/>
        </w:rPr>
      </w:pPr>
      <w:r>
        <w:rPr>
          <w:noProof/>
          <w:sz w:val="24"/>
          <w:szCs w:val="24"/>
        </w:rPr>
        <w:drawing>
          <wp:inline distT="0" distB="0" distL="0" distR="0">
            <wp:extent cx="4495800" cy="359279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3.PNG"/>
                    <pic:cNvPicPr/>
                  </pic:nvPicPr>
                  <pic:blipFill>
                    <a:blip r:embed="rId8">
                      <a:extLst>
                        <a:ext uri="{28A0092B-C50C-407E-A947-70E740481C1C}">
                          <a14:useLocalDpi xmlns:a14="http://schemas.microsoft.com/office/drawing/2010/main" val="0"/>
                        </a:ext>
                      </a:extLst>
                    </a:blip>
                    <a:stretch>
                      <a:fillRect/>
                    </a:stretch>
                  </pic:blipFill>
                  <pic:spPr>
                    <a:xfrm>
                      <a:off x="0" y="0"/>
                      <a:ext cx="4495800" cy="3592797"/>
                    </a:xfrm>
                    <a:prstGeom prst="rect">
                      <a:avLst/>
                    </a:prstGeom>
                  </pic:spPr>
                </pic:pic>
              </a:graphicData>
            </a:graphic>
          </wp:inline>
        </w:drawing>
      </w:r>
    </w:p>
    <w:p w:rsidR="008F5E6D" w:rsidRDefault="00184231" w:rsidP="00F84599">
      <w:pPr>
        <w:rPr>
          <w:b/>
          <w:sz w:val="24"/>
          <w:szCs w:val="24"/>
        </w:rPr>
      </w:pPr>
      <w:r>
        <w:rPr>
          <w:b/>
          <w:sz w:val="24"/>
          <w:szCs w:val="24"/>
        </w:rPr>
        <w:t>Yes the scatter plot above displays a positive relationship between obesity and diabetes.</w:t>
      </w:r>
    </w:p>
    <w:p w:rsidR="00184231" w:rsidRDefault="00FD1FA8" w:rsidP="00F84599">
      <w:pPr>
        <w:rPr>
          <w:sz w:val="24"/>
          <w:szCs w:val="24"/>
        </w:rPr>
      </w:pPr>
      <w:r>
        <w:rPr>
          <w:sz w:val="24"/>
          <w:szCs w:val="24"/>
        </w:rPr>
        <w:lastRenderedPageBreak/>
        <w:t>Do fast food restaurants have a relationship with obesity rates?</w:t>
      </w:r>
    </w:p>
    <w:p w:rsidR="00FD1FA8" w:rsidRDefault="00FD1FA8" w:rsidP="00F84599">
      <w:pPr>
        <w:rPr>
          <w:sz w:val="24"/>
          <w:szCs w:val="24"/>
        </w:rPr>
      </w:pPr>
      <w:r>
        <w:rPr>
          <w:noProof/>
          <w:sz w:val="24"/>
          <w:szCs w:val="24"/>
        </w:rPr>
        <w:drawing>
          <wp:inline distT="0" distB="0" distL="0" distR="0">
            <wp:extent cx="5943600" cy="4851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00FD1FA8" w:rsidRDefault="00FD1FA8" w:rsidP="00F84599">
      <w:pPr>
        <w:rPr>
          <w:b/>
          <w:sz w:val="24"/>
          <w:szCs w:val="24"/>
        </w:rPr>
      </w:pPr>
      <w:proofErr w:type="gramStart"/>
      <w:r>
        <w:rPr>
          <w:b/>
          <w:sz w:val="24"/>
          <w:szCs w:val="24"/>
        </w:rPr>
        <w:t>Density of fast food restaurants seem</w:t>
      </w:r>
      <w:proofErr w:type="gramEnd"/>
      <w:r>
        <w:rPr>
          <w:b/>
          <w:sz w:val="24"/>
          <w:szCs w:val="24"/>
        </w:rPr>
        <w:t xml:space="preserve"> to have no relationship with obesity rates.</w:t>
      </w:r>
    </w:p>
    <w:p w:rsidR="002A3108" w:rsidRDefault="002A3108" w:rsidP="00F84599">
      <w:pPr>
        <w:rPr>
          <w:sz w:val="24"/>
          <w:szCs w:val="24"/>
        </w:rPr>
      </w:pPr>
      <w:r w:rsidRPr="002A3108">
        <w:rPr>
          <w:sz w:val="24"/>
          <w:szCs w:val="24"/>
        </w:rPr>
        <w:t xml:space="preserve">Now sort the 2 columns to show the highest county on top and comment on your analysis insights. Which county tops the list in each </w:t>
      </w:r>
      <w:proofErr w:type="gramStart"/>
      <w:r w:rsidRPr="002A3108">
        <w:rPr>
          <w:sz w:val="24"/>
          <w:szCs w:val="24"/>
        </w:rPr>
        <w:t>column</w:t>
      </w:r>
      <w:proofErr w:type="gramEnd"/>
    </w:p>
    <w:p w:rsidR="002A3108" w:rsidRDefault="002A3108" w:rsidP="00F84599">
      <w:pPr>
        <w:rPr>
          <w:sz w:val="24"/>
          <w:szCs w:val="24"/>
        </w:rPr>
      </w:pPr>
      <w:r>
        <w:rPr>
          <w:noProof/>
          <w:sz w:val="24"/>
          <w:szCs w:val="24"/>
        </w:rPr>
        <w:lastRenderedPageBreak/>
        <w:drawing>
          <wp:inline distT="0" distB="0" distL="0" distR="0">
            <wp:extent cx="3711446" cy="3933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PNG"/>
                    <pic:cNvPicPr/>
                  </pic:nvPicPr>
                  <pic:blipFill>
                    <a:blip r:embed="rId10">
                      <a:extLst>
                        <a:ext uri="{28A0092B-C50C-407E-A947-70E740481C1C}">
                          <a14:useLocalDpi xmlns:a14="http://schemas.microsoft.com/office/drawing/2010/main" val="0"/>
                        </a:ext>
                      </a:extLst>
                    </a:blip>
                    <a:stretch>
                      <a:fillRect/>
                    </a:stretch>
                  </pic:blipFill>
                  <pic:spPr>
                    <a:xfrm>
                      <a:off x="0" y="0"/>
                      <a:ext cx="3711964" cy="3934375"/>
                    </a:xfrm>
                    <a:prstGeom prst="rect">
                      <a:avLst/>
                    </a:prstGeom>
                  </pic:spPr>
                </pic:pic>
              </a:graphicData>
            </a:graphic>
          </wp:inline>
        </w:drawing>
      </w:r>
    </w:p>
    <w:p w:rsidR="002A3108" w:rsidRPr="002A3108" w:rsidRDefault="002A3108" w:rsidP="00F84599">
      <w:pPr>
        <w:rPr>
          <w:b/>
          <w:sz w:val="24"/>
          <w:szCs w:val="24"/>
        </w:rPr>
      </w:pPr>
      <w:r>
        <w:rPr>
          <w:b/>
          <w:sz w:val="24"/>
          <w:szCs w:val="24"/>
        </w:rPr>
        <w:t xml:space="preserve">Union county in New Jersey has the highest percentage of fast food restaurants per 1000 people and percentage of full service restaurants per 1000 people. Warren </w:t>
      </w:r>
      <w:proofErr w:type="gramStart"/>
      <w:r>
        <w:rPr>
          <w:b/>
          <w:sz w:val="24"/>
          <w:szCs w:val="24"/>
        </w:rPr>
        <w:t>county</w:t>
      </w:r>
      <w:proofErr w:type="gramEnd"/>
      <w:r>
        <w:rPr>
          <w:b/>
          <w:sz w:val="24"/>
          <w:szCs w:val="24"/>
        </w:rPr>
        <w:t xml:space="preserve"> is relatively close to Union county based off of percentages. The remaining counties fall drastically. </w:t>
      </w:r>
      <w:bookmarkStart w:id="0" w:name="_GoBack"/>
      <w:bookmarkEnd w:id="0"/>
    </w:p>
    <w:sectPr w:rsidR="002A3108" w:rsidRPr="002A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99"/>
    <w:rsid w:val="000008F0"/>
    <w:rsid w:val="00007E5D"/>
    <w:rsid w:val="000105EE"/>
    <w:rsid w:val="00011490"/>
    <w:rsid w:val="000154DE"/>
    <w:rsid w:val="000162A2"/>
    <w:rsid w:val="0002046A"/>
    <w:rsid w:val="00027496"/>
    <w:rsid w:val="000369E8"/>
    <w:rsid w:val="00050E99"/>
    <w:rsid w:val="00052756"/>
    <w:rsid w:val="00056533"/>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B4F08"/>
    <w:rsid w:val="000C0F84"/>
    <w:rsid w:val="000C5159"/>
    <w:rsid w:val="000C5738"/>
    <w:rsid w:val="000C74DE"/>
    <w:rsid w:val="000D0229"/>
    <w:rsid w:val="000D5116"/>
    <w:rsid w:val="000D5428"/>
    <w:rsid w:val="000E2A60"/>
    <w:rsid w:val="000E7374"/>
    <w:rsid w:val="000F4AB3"/>
    <w:rsid w:val="000F7419"/>
    <w:rsid w:val="00104433"/>
    <w:rsid w:val="001117B5"/>
    <w:rsid w:val="00112678"/>
    <w:rsid w:val="001141A2"/>
    <w:rsid w:val="001167F7"/>
    <w:rsid w:val="00117E3E"/>
    <w:rsid w:val="00121313"/>
    <w:rsid w:val="001236C7"/>
    <w:rsid w:val="00127DAB"/>
    <w:rsid w:val="00130D06"/>
    <w:rsid w:val="00136FA4"/>
    <w:rsid w:val="00137EBB"/>
    <w:rsid w:val="00146326"/>
    <w:rsid w:val="00147782"/>
    <w:rsid w:val="00152AB1"/>
    <w:rsid w:val="00156C31"/>
    <w:rsid w:val="001745F5"/>
    <w:rsid w:val="001771F1"/>
    <w:rsid w:val="00184231"/>
    <w:rsid w:val="00185777"/>
    <w:rsid w:val="00191463"/>
    <w:rsid w:val="001916B7"/>
    <w:rsid w:val="00193A55"/>
    <w:rsid w:val="001970EC"/>
    <w:rsid w:val="001A0630"/>
    <w:rsid w:val="001A10B4"/>
    <w:rsid w:val="001B1043"/>
    <w:rsid w:val="001B2A24"/>
    <w:rsid w:val="001B4379"/>
    <w:rsid w:val="001B59F7"/>
    <w:rsid w:val="001B6B49"/>
    <w:rsid w:val="001C175D"/>
    <w:rsid w:val="001C27DA"/>
    <w:rsid w:val="001D22B8"/>
    <w:rsid w:val="001D2F20"/>
    <w:rsid w:val="001D5902"/>
    <w:rsid w:val="001E0BC5"/>
    <w:rsid w:val="001F005B"/>
    <w:rsid w:val="001F0DFD"/>
    <w:rsid w:val="002012E4"/>
    <w:rsid w:val="002025EC"/>
    <w:rsid w:val="00205B0E"/>
    <w:rsid w:val="00212ED1"/>
    <w:rsid w:val="0021300F"/>
    <w:rsid w:val="0021611D"/>
    <w:rsid w:val="00217A1C"/>
    <w:rsid w:val="002201CE"/>
    <w:rsid w:val="00224021"/>
    <w:rsid w:val="00240830"/>
    <w:rsid w:val="0024551A"/>
    <w:rsid w:val="00246678"/>
    <w:rsid w:val="00246AE3"/>
    <w:rsid w:val="00246FB7"/>
    <w:rsid w:val="002519DA"/>
    <w:rsid w:val="002522A7"/>
    <w:rsid w:val="00261AB3"/>
    <w:rsid w:val="00262723"/>
    <w:rsid w:val="00272AA8"/>
    <w:rsid w:val="002743EC"/>
    <w:rsid w:val="00274593"/>
    <w:rsid w:val="00274865"/>
    <w:rsid w:val="00274A58"/>
    <w:rsid w:val="0027517D"/>
    <w:rsid w:val="00281648"/>
    <w:rsid w:val="00281760"/>
    <w:rsid w:val="00282996"/>
    <w:rsid w:val="00285C96"/>
    <w:rsid w:val="002877D0"/>
    <w:rsid w:val="0029026E"/>
    <w:rsid w:val="0029468F"/>
    <w:rsid w:val="00297BCD"/>
    <w:rsid w:val="002A3108"/>
    <w:rsid w:val="002A54F5"/>
    <w:rsid w:val="002A6C19"/>
    <w:rsid w:val="002B2B6A"/>
    <w:rsid w:val="002B4703"/>
    <w:rsid w:val="002C4D56"/>
    <w:rsid w:val="002D4A36"/>
    <w:rsid w:val="002D65F9"/>
    <w:rsid w:val="002D69D1"/>
    <w:rsid w:val="002E29AB"/>
    <w:rsid w:val="002E4B9F"/>
    <w:rsid w:val="002F0454"/>
    <w:rsid w:val="002F1FF5"/>
    <w:rsid w:val="002F359B"/>
    <w:rsid w:val="002F36F9"/>
    <w:rsid w:val="002F5F59"/>
    <w:rsid w:val="00301E1E"/>
    <w:rsid w:val="00310969"/>
    <w:rsid w:val="003111E3"/>
    <w:rsid w:val="00311C90"/>
    <w:rsid w:val="00315A5A"/>
    <w:rsid w:val="00320FC5"/>
    <w:rsid w:val="00322C2E"/>
    <w:rsid w:val="00326B6C"/>
    <w:rsid w:val="00326ED6"/>
    <w:rsid w:val="003331B1"/>
    <w:rsid w:val="0033583B"/>
    <w:rsid w:val="003516FC"/>
    <w:rsid w:val="00352B74"/>
    <w:rsid w:val="00354900"/>
    <w:rsid w:val="00355227"/>
    <w:rsid w:val="00365615"/>
    <w:rsid w:val="003672A6"/>
    <w:rsid w:val="0037287D"/>
    <w:rsid w:val="003757FB"/>
    <w:rsid w:val="00390DC2"/>
    <w:rsid w:val="003B06BB"/>
    <w:rsid w:val="003B16DF"/>
    <w:rsid w:val="003B19E9"/>
    <w:rsid w:val="003B1E90"/>
    <w:rsid w:val="003B3703"/>
    <w:rsid w:val="003B6427"/>
    <w:rsid w:val="003C0037"/>
    <w:rsid w:val="003C31E8"/>
    <w:rsid w:val="003C6BD6"/>
    <w:rsid w:val="003D19C5"/>
    <w:rsid w:val="003D4C73"/>
    <w:rsid w:val="003F08B7"/>
    <w:rsid w:val="003F39B8"/>
    <w:rsid w:val="003F44EF"/>
    <w:rsid w:val="003F7CAA"/>
    <w:rsid w:val="004035A7"/>
    <w:rsid w:val="0040479D"/>
    <w:rsid w:val="00406247"/>
    <w:rsid w:val="00406AEE"/>
    <w:rsid w:val="004107E8"/>
    <w:rsid w:val="004130C2"/>
    <w:rsid w:val="00423037"/>
    <w:rsid w:val="0043309C"/>
    <w:rsid w:val="004364F7"/>
    <w:rsid w:val="00441933"/>
    <w:rsid w:val="0044222B"/>
    <w:rsid w:val="004426D6"/>
    <w:rsid w:val="00446173"/>
    <w:rsid w:val="0044794A"/>
    <w:rsid w:val="004511F7"/>
    <w:rsid w:val="0045319F"/>
    <w:rsid w:val="004558AC"/>
    <w:rsid w:val="00456021"/>
    <w:rsid w:val="00462940"/>
    <w:rsid w:val="0046775F"/>
    <w:rsid w:val="0047618D"/>
    <w:rsid w:val="0048742D"/>
    <w:rsid w:val="00490E0E"/>
    <w:rsid w:val="004A1C75"/>
    <w:rsid w:val="004A1FCB"/>
    <w:rsid w:val="004A6E52"/>
    <w:rsid w:val="004B159B"/>
    <w:rsid w:val="004B74EE"/>
    <w:rsid w:val="004D5422"/>
    <w:rsid w:val="004F49F5"/>
    <w:rsid w:val="004F6BF7"/>
    <w:rsid w:val="00501381"/>
    <w:rsid w:val="0050170C"/>
    <w:rsid w:val="00506869"/>
    <w:rsid w:val="00514728"/>
    <w:rsid w:val="00514ECF"/>
    <w:rsid w:val="00527FC0"/>
    <w:rsid w:val="00545DB2"/>
    <w:rsid w:val="00551A98"/>
    <w:rsid w:val="00552F03"/>
    <w:rsid w:val="00561D46"/>
    <w:rsid w:val="005635B6"/>
    <w:rsid w:val="00564D7F"/>
    <w:rsid w:val="00570E4D"/>
    <w:rsid w:val="00572D43"/>
    <w:rsid w:val="00574BFC"/>
    <w:rsid w:val="00575B61"/>
    <w:rsid w:val="005765B5"/>
    <w:rsid w:val="00583FE6"/>
    <w:rsid w:val="00586C73"/>
    <w:rsid w:val="0058732E"/>
    <w:rsid w:val="0059048E"/>
    <w:rsid w:val="00592285"/>
    <w:rsid w:val="005959F4"/>
    <w:rsid w:val="005B7719"/>
    <w:rsid w:val="005C64AA"/>
    <w:rsid w:val="005D26E5"/>
    <w:rsid w:val="005D4F1D"/>
    <w:rsid w:val="005D6863"/>
    <w:rsid w:val="005F0255"/>
    <w:rsid w:val="005F5D88"/>
    <w:rsid w:val="00601C82"/>
    <w:rsid w:val="00603A56"/>
    <w:rsid w:val="00603EFC"/>
    <w:rsid w:val="00606579"/>
    <w:rsid w:val="0061423F"/>
    <w:rsid w:val="00614478"/>
    <w:rsid w:val="006179D0"/>
    <w:rsid w:val="00620692"/>
    <w:rsid w:val="00627E9F"/>
    <w:rsid w:val="00633822"/>
    <w:rsid w:val="0063508B"/>
    <w:rsid w:val="00641083"/>
    <w:rsid w:val="00655830"/>
    <w:rsid w:val="006563DE"/>
    <w:rsid w:val="00656C7C"/>
    <w:rsid w:val="00657A32"/>
    <w:rsid w:val="0067471C"/>
    <w:rsid w:val="00676B37"/>
    <w:rsid w:val="00684038"/>
    <w:rsid w:val="00692A79"/>
    <w:rsid w:val="006A03E3"/>
    <w:rsid w:val="006A1845"/>
    <w:rsid w:val="006A1EED"/>
    <w:rsid w:val="006A1F30"/>
    <w:rsid w:val="006A255B"/>
    <w:rsid w:val="006A30AF"/>
    <w:rsid w:val="006B4CC1"/>
    <w:rsid w:val="006B5BDE"/>
    <w:rsid w:val="006C2F66"/>
    <w:rsid w:val="006D433D"/>
    <w:rsid w:val="006E3E4F"/>
    <w:rsid w:val="006F126A"/>
    <w:rsid w:val="006F4F0B"/>
    <w:rsid w:val="006F5258"/>
    <w:rsid w:val="006F6877"/>
    <w:rsid w:val="006F6E1D"/>
    <w:rsid w:val="006F6EFD"/>
    <w:rsid w:val="006F6F50"/>
    <w:rsid w:val="006F7630"/>
    <w:rsid w:val="00710A73"/>
    <w:rsid w:val="007137FB"/>
    <w:rsid w:val="007148F3"/>
    <w:rsid w:val="00721E60"/>
    <w:rsid w:val="00730DE7"/>
    <w:rsid w:val="00750B51"/>
    <w:rsid w:val="007719B9"/>
    <w:rsid w:val="007729E4"/>
    <w:rsid w:val="007828AE"/>
    <w:rsid w:val="007828D2"/>
    <w:rsid w:val="007915B9"/>
    <w:rsid w:val="0079214B"/>
    <w:rsid w:val="00797062"/>
    <w:rsid w:val="007B6290"/>
    <w:rsid w:val="007B7ABF"/>
    <w:rsid w:val="007C1343"/>
    <w:rsid w:val="007C28F9"/>
    <w:rsid w:val="007D1122"/>
    <w:rsid w:val="007D75BC"/>
    <w:rsid w:val="007E29B8"/>
    <w:rsid w:val="007E2E6B"/>
    <w:rsid w:val="007F52C1"/>
    <w:rsid w:val="008178D4"/>
    <w:rsid w:val="00822CFF"/>
    <w:rsid w:val="008238F6"/>
    <w:rsid w:val="0084106D"/>
    <w:rsid w:val="00846952"/>
    <w:rsid w:val="00846A3D"/>
    <w:rsid w:val="00846E93"/>
    <w:rsid w:val="00852C58"/>
    <w:rsid w:val="008572E0"/>
    <w:rsid w:val="00860CB8"/>
    <w:rsid w:val="00860DCF"/>
    <w:rsid w:val="008759F6"/>
    <w:rsid w:val="00883F5E"/>
    <w:rsid w:val="00884C04"/>
    <w:rsid w:val="008867D1"/>
    <w:rsid w:val="00886F82"/>
    <w:rsid w:val="008877BD"/>
    <w:rsid w:val="00887BA2"/>
    <w:rsid w:val="0089145C"/>
    <w:rsid w:val="00891916"/>
    <w:rsid w:val="00894DCF"/>
    <w:rsid w:val="008960BB"/>
    <w:rsid w:val="00897064"/>
    <w:rsid w:val="008A2FAA"/>
    <w:rsid w:val="008A3934"/>
    <w:rsid w:val="008A3AA9"/>
    <w:rsid w:val="008A40CD"/>
    <w:rsid w:val="008A4610"/>
    <w:rsid w:val="008B2639"/>
    <w:rsid w:val="008B3741"/>
    <w:rsid w:val="008B7C86"/>
    <w:rsid w:val="008C25DF"/>
    <w:rsid w:val="008E62B6"/>
    <w:rsid w:val="008F5E6D"/>
    <w:rsid w:val="008F7893"/>
    <w:rsid w:val="009039CD"/>
    <w:rsid w:val="0091001B"/>
    <w:rsid w:val="009138EC"/>
    <w:rsid w:val="00921131"/>
    <w:rsid w:val="009243FA"/>
    <w:rsid w:val="009251EC"/>
    <w:rsid w:val="00933A73"/>
    <w:rsid w:val="0093537F"/>
    <w:rsid w:val="00945277"/>
    <w:rsid w:val="00947053"/>
    <w:rsid w:val="00950E51"/>
    <w:rsid w:val="00955F3C"/>
    <w:rsid w:val="00961F12"/>
    <w:rsid w:val="00966181"/>
    <w:rsid w:val="00967DBB"/>
    <w:rsid w:val="009707EC"/>
    <w:rsid w:val="0097553E"/>
    <w:rsid w:val="00980929"/>
    <w:rsid w:val="00982870"/>
    <w:rsid w:val="00990A56"/>
    <w:rsid w:val="0099140B"/>
    <w:rsid w:val="00996EB3"/>
    <w:rsid w:val="009A25BC"/>
    <w:rsid w:val="009A5BDF"/>
    <w:rsid w:val="009A61B9"/>
    <w:rsid w:val="009B6FCE"/>
    <w:rsid w:val="009B73AC"/>
    <w:rsid w:val="009D62A8"/>
    <w:rsid w:val="009F5B7B"/>
    <w:rsid w:val="009F73EE"/>
    <w:rsid w:val="00A00AA9"/>
    <w:rsid w:val="00A11D14"/>
    <w:rsid w:val="00A17FA1"/>
    <w:rsid w:val="00A279C2"/>
    <w:rsid w:val="00A27C5E"/>
    <w:rsid w:val="00A312F3"/>
    <w:rsid w:val="00A342B1"/>
    <w:rsid w:val="00A37491"/>
    <w:rsid w:val="00A437E9"/>
    <w:rsid w:val="00A47F06"/>
    <w:rsid w:val="00A60B4B"/>
    <w:rsid w:val="00A679E3"/>
    <w:rsid w:val="00A70922"/>
    <w:rsid w:val="00A71AEF"/>
    <w:rsid w:val="00A73FDA"/>
    <w:rsid w:val="00A762C5"/>
    <w:rsid w:val="00A81D83"/>
    <w:rsid w:val="00A85C4B"/>
    <w:rsid w:val="00A86073"/>
    <w:rsid w:val="00A87C1C"/>
    <w:rsid w:val="00A928B8"/>
    <w:rsid w:val="00AA04BC"/>
    <w:rsid w:val="00AA35C4"/>
    <w:rsid w:val="00AA4153"/>
    <w:rsid w:val="00AB3E28"/>
    <w:rsid w:val="00AB4587"/>
    <w:rsid w:val="00AB776D"/>
    <w:rsid w:val="00AC508D"/>
    <w:rsid w:val="00AC544A"/>
    <w:rsid w:val="00AC5622"/>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351E5"/>
    <w:rsid w:val="00B376D9"/>
    <w:rsid w:val="00B3777F"/>
    <w:rsid w:val="00B445C1"/>
    <w:rsid w:val="00B45889"/>
    <w:rsid w:val="00B52887"/>
    <w:rsid w:val="00B637DD"/>
    <w:rsid w:val="00B71B0B"/>
    <w:rsid w:val="00B81574"/>
    <w:rsid w:val="00B82D9F"/>
    <w:rsid w:val="00B832A1"/>
    <w:rsid w:val="00B84B3D"/>
    <w:rsid w:val="00B94F4F"/>
    <w:rsid w:val="00BA0395"/>
    <w:rsid w:val="00BA0C2A"/>
    <w:rsid w:val="00BA3FB0"/>
    <w:rsid w:val="00BA5B9C"/>
    <w:rsid w:val="00BA726A"/>
    <w:rsid w:val="00BC19DC"/>
    <w:rsid w:val="00BC20C1"/>
    <w:rsid w:val="00BC2F84"/>
    <w:rsid w:val="00BC7726"/>
    <w:rsid w:val="00BC7C6E"/>
    <w:rsid w:val="00BD139E"/>
    <w:rsid w:val="00BD1DCE"/>
    <w:rsid w:val="00BD7D4F"/>
    <w:rsid w:val="00BE3F33"/>
    <w:rsid w:val="00BF698D"/>
    <w:rsid w:val="00C04A84"/>
    <w:rsid w:val="00C10814"/>
    <w:rsid w:val="00C1215F"/>
    <w:rsid w:val="00C144A5"/>
    <w:rsid w:val="00C26108"/>
    <w:rsid w:val="00C359DE"/>
    <w:rsid w:val="00C37FE8"/>
    <w:rsid w:val="00C4354D"/>
    <w:rsid w:val="00C43675"/>
    <w:rsid w:val="00C507EA"/>
    <w:rsid w:val="00C53A4C"/>
    <w:rsid w:val="00C53F67"/>
    <w:rsid w:val="00C739E1"/>
    <w:rsid w:val="00C7517D"/>
    <w:rsid w:val="00C802BF"/>
    <w:rsid w:val="00C80B0E"/>
    <w:rsid w:val="00C822DF"/>
    <w:rsid w:val="00C82E9D"/>
    <w:rsid w:val="00C84381"/>
    <w:rsid w:val="00CA0C1C"/>
    <w:rsid w:val="00CB5F03"/>
    <w:rsid w:val="00CB7B77"/>
    <w:rsid w:val="00CB7FDF"/>
    <w:rsid w:val="00CC152E"/>
    <w:rsid w:val="00CC280C"/>
    <w:rsid w:val="00CD2436"/>
    <w:rsid w:val="00CD504D"/>
    <w:rsid w:val="00CE22FA"/>
    <w:rsid w:val="00CE6F30"/>
    <w:rsid w:val="00CE7141"/>
    <w:rsid w:val="00CF08B1"/>
    <w:rsid w:val="00CF1738"/>
    <w:rsid w:val="00CF2AB3"/>
    <w:rsid w:val="00D01F83"/>
    <w:rsid w:val="00D039CC"/>
    <w:rsid w:val="00D06156"/>
    <w:rsid w:val="00D14148"/>
    <w:rsid w:val="00D201F8"/>
    <w:rsid w:val="00D24890"/>
    <w:rsid w:val="00D268F8"/>
    <w:rsid w:val="00D27689"/>
    <w:rsid w:val="00D557B1"/>
    <w:rsid w:val="00D573B3"/>
    <w:rsid w:val="00D6051C"/>
    <w:rsid w:val="00D6183D"/>
    <w:rsid w:val="00D76943"/>
    <w:rsid w:val="00D779EB"/>
    <w:rsid w:val="00D8467B"/>
    <w:rsid w:val="00D937CC"/>
    <w:rsid w:val="00D9382A"/>
    <w:rsid w:val="00D97A06"/>
    <w:rsid w:val="00D97FD9"/>
    <w:rsid w:val="00DA38D0"/>
    <w:rsid w:val="00DA69B3"/>
    <w:rsid w:val="00DB5C2B"/>
    <w:rsid w:val="00DC02E0"/>
    <w:rsid w:val="00DC557C"/>
    <w:rsid w:val="00DD3E54"/>
    <w:rsid w:val="00DD5D89"/>
    <w:rsid w:val="00DE6490"/>
    <w:rsid w:val="00DE7EA8"/>
    <w:rsid w:val="00DF3EA1"/>
    <w:rsid w:val="00DF46D0"/>
    <w:rsid w:val="00DF5428"/>
    <w:rsid w:val="00E03AA2"/>
    <w:rsid w:val="00E0531D"/>
    <w:rsid w:val="00E05507"/>
    <w:rsid w:val="00E07B7A"/>
    <w:rsid w:val="00E1117F"/>
    <w:rsid w:val="00E166EA"/>
    <w:rsid w:val="00E22CC0"/>
    <w:rsid w:val="00E2323F"/>
    <w:rsid w:val="00E26D44"/>
    <w:rsid w:val="00E332F1"/>
    <w:rsid w:val="00E40690"/>
    <w:rsid w:val="00E43F9B"/>
    <w:rsid w:val="00E5580E"/>
    <w:rsid w:val="00E57409"/>
    <w:rsid w:val="00E6097F"/>
    <w:rsid w:val="00E64164"/>
    <w:rsid w:val="00E6778D"/>
    <w:rsid w:val="00E67ED4"/>
    <w:rsid w:val="00E7062D"/>
    <w:rsid w:val="00E81222"/>
    <w:rsid w:val="00E940DE"/>
    <w:rsid w:val="00EA2B2B"/>
    <w:rsid w:val="00EB213E"/>
    <w:rsid w:val="00EB24D6"/>
    <w:rsid w:val="00EB3C9A"/>
    <w:rsid w:val="00EB7786"/>
    <w:rsid w:val="00EC760D"/>
    <w:rsid w:val="00ED0225"/>
    <w:rsid w:val="00ED195E"/>
    <w:rsid w:val="00ED23E5"/>
    <w:rsid w:val="00ED713B"/>
    <w:rsid w:val="00EE27A9"/>
    <w:rsid w:val="00EE28EE"/>
    <w:rsid w:val="00EF234A"/>
    <w:rsid w:val="00EF70BA"/>
    <w:rsid w:val="00F02120"/>
    <w:rsid w:val="00F06278"/>
    <w:rsid w:val="00F07413"/>
    <w:rsid w:val="00F10712"/>
    <w:rsid w:val="00F13A57"/>
    <w:rsid w:val="00F17603"/>
    <w:rsid w:val="00F17DD6"/>
    <w:rsid w:val="00F2115F"/>
    <w:rsid w:val="00F26345"/>
    <w:rsid w:val="00F31A87"/>
    <w:rsid w:val="00F336E0"/>
    <w:rsid w:val="00F34A6B"/>
    <w:rsid w:val="00F411DD"/>
    <w:rsid w:val="00F43AFB"/>
    <w:rsid w:val="00F441F7"/>
    <w:rsid w:val="00F54AE7"/>
    <w:rsid w:val="00F65A1B"/>
    <w:rsid w:val="00F6651F"/>
    <w:rsid w:val="00F70D6B"/>
    <w:rsid w:val="00F77C35"/>
    <w:rsid w:val="00F8327D"/>
    <w:rsid w:val="00F84599"/>
    <w:rsid w:val="00F849DD"/>
    <w:rsid w:val="00F97E8F"/>
    <w:rsid w:val="00FA3EE6"/>
    <w:rsid w:val="00FA7670"/>
    <w:rsid w:val="00FB13B3"/>
    <w:rsid w:val="00FB3123"/>
    <w:rsid w:val="00FB47CE"/>
    <w:rsid w:val="00FB67B1"/>
    <w:rsid w:val="00FB7754"/>
    <w:rsid w:val="00FC1CE9"/>
    <w:rsid w:val="00FC5F99"/>
    <w:rsid w:val="00FD1FA8"/>
    <w:rsid w:val="00FD2F6A"/>
    <w:rsid w:val="00FD3B0F"/>
    <w:rsid w:val="00FD48B3"/>
    <w:rsid w:val="00FD5E5C"/>
    <w:rsid w:val="00FE2073"/>
    <w:rsid w:val="00FF175E"/>
    <w:rsid w:val="00FF6127"/>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5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5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2017-06-02T17:21:00Z</dcterms:created>
  <dcterms:modified xsi:type="dcterms:W3CDTF">2017-06-02T18:44:00Z</dcterms:modified>
</cp:coreProperties>
</file>