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4"/>
          <w:szCs w:val="44"/>
        </w:rPr>
        <w:t xml:space="preserve">Color Palette Generator</w:t>
      </w:r>
    </w:p>
    <w:p>
      <w:pPr>
        <w:spacing w:after="400"/>
      </w:pPr>
      <w:r>
        <w:rPr>
          <w:color w:val="555555"/>
          <w:sz w:val="28"/>
          <w:szCs w:val="28"/>
        </w:rPr>
        <w:t xml:space="preserve">Requirements Document</w:t>
      </w:r>
    </w:p>
    <w:p>
      <w:pPr>
        <w:pStyle w:val="Heading1"/>
        <w:spacing w:after="150" w:before="300"/>
      </w:pPr>
      <w:r>
        <w:t xml:space="preserve">1. Overview</w:t>
      </w:r>
    </w:p>
    <w:p>
      <w:pPr>
        <w:spacing w:after="120"/>
      </w:pPr>
      <w:r>
        <w:t xml:space="preserve">A browser-based tool that generates a palette of random hex colors, displays each color's hex and RGB values, and lets the user copy any color code to their clipboard with one click.</w:t>
      </w:r>
    </w:p>
    <w:p>
      <w:pPr>
        <w:pStyle w:val="Heading1"/>
        <w:spacing w:after="150" w:before="300"/>
      </w:pPr>
      <w:r>
        <w:t xml:space="preserve">2. Goals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Practice DOM manipulation, event handling, and array/string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Produce a small, complete, working project (HTML + CSS + JS) rather than an isolated exercise.</w:t>
      </w:r>
    </w:p>
    <w:p>
      <w:pPr>
        <w:pStyle w:val="Heading1"/>
        <w:spacing w:after="150" w:before="300"/>
      </w:pPr>
      <w:r>
        <w:t xml:space="preserve">3. Functional Requirements</w:t>
      </w:r>
    </w:p>
    <w:p>
      <w:pPr>
        <w:pStyle w:val="Heading2"/>
        <w:spacing w:after="120" w:before="250"/>
      </w:pPr>
      <w:r>
        <w:t xml:space="preserve">3.1 Palette Generation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00"/>
      </w:tblGrid>
      <w:tr>
        <w:trPr>
          <w:tblHeader/>
        </w:trPr>
        <w:tc>
          <w:tcPr>
            <w:tcW w:type="dxa" w:w="1200"/>
            <w:shd w:fill="D9E2F3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500"/>
            <w:shd w:fill="D9E2F3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FR-1</w:t>
            </w:r>
          </w:p>
        </w:tc>
        <w:tc>
          <w:tcPr>
            <w:tcW w:type="dxa" w:w="7500"/>
          </w:tcPr>
          <w:p>
            <w:r>
              <w:t xml:space="preserve">The app displays a palette of 4 colors at all times.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FR-2</w:t>
            </w:r>
          </w:p>
        </w:tc>
        <w:tc>
          <w:tcPr>
            <w:tcW w:type="dxa" w:w="7500"/>
          </w:tcPr>
          <w:p>
            <w:r>
              <w:t xml:space="preserve">Colors are generated as fully random hex values (no color-theory constraints, no base color).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FR-3</w:t>
            </w:r>
          </w:p>
        </w:tc>
        <w:tc>
          <w:tcPr>
            <w:tcW w:type="dxa" w:w="7500"/>
          </w:tcPr>
          <w:p>
            <w:r>
              <w:t xml:space="preserve">An initial palette is generated automatically when the page loads.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FR-4</w:t>
            </w:r>
          </w:p>
        </w:tc>
        <w:tc>
          <w:tcPr>
            <w:tcW w:type="dxa" w:w="7500"/>
          </w:tcPr>
          <w:p>
            <w:r>
              <w:t xml:space="preserve">A “Generate Palette” button replaces all 4 colors with a new random set when clicked.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3.2 Color Display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00"/>
      </w:tblGrid>
      <w:tr>
        <w:trPr>
          <w:tblHeader/>
        </w:trPr>
        <w:tc>
          <w:tcPr>
            <w:tcW w:type="dxa" w:w="1200"/>
            <w:shd w:fill="D9E2F3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500"/>
            <w:shd w:fill="D9E2F3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FR-5</w:t>
            </w:r>
          </w:p>
        </w:tc>
        <w:tc>
          <w:tcPr>
            <w:tcW w:type="dxa" w:w="7500"/>
          </w:tcPr>
          <w:p>
            <w:r>
              <w:t xml:space="preserve">Each palette entry (a “swatch”) shows: a solid color block, the hex code (e.g. #4FC3F7), and the RGB equivalent (e.g. rgb(79, 195, 247)).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FR-6</w:t>
            </w:r>
          </w:p>
        </w:tc>
        <w:tc>
          <w:tcPr>
            <w:tcW w:type="dxa" w:w="7500"/>
          </w:tcPr>
          <w:p>
            <w:r>
              <w:t xml:space="preserve">RGB values must be calculated from the hex value in JavaScript — not generated independently — so the two always match.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3.3 Copy to Clipboard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00"/>
      </w:tblGrid>
      <w:tr>
        <w:trPr>
          <w:tblHeader/>
        </w:trPr>
        <w:tc>
          <w:tcPr>
            <w:tcW w:type="dxa" w:w="1200"/>
            <w:shd w:fill="D9E2F3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500"/>
            <w:shd w:fill="D9E2F3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FR-7</w:t>
            </w:r>
          </w:p>
        </w:tc>
        <w:tc>
          <w:tcPr>
            <w:tcW w:type="dxa" w:w="7500"/>
          </w:tcPr>
          <w:p>
            <w:r>
              <w:t xml:space="preserve">Each swatch has a copy button/icon.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FR-8</w:t>
            </w:r>
          </w:p>
        </w:tc>
        <w:tc>
          <w:tcPr>
            <w:tcW w:type="dxa" w:w="7500"/>
          </w:tcPr>
          <w:p>
            <w:r>
              <w:t xml:space="preserve">Clicking it copies that swatch's hex code to the clipboard.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FR-9</w:t>
            </w:r>
          </w:p>
        </w:tc>
        <w:tc>
          <w:tcPr>
            <w:tcW w:type="dxa" w:w="7500"/>
          </w:tcPr>
          <w:p>
            <w:r>
              <w:t xml:space="preserve">On successful copy, the button swaps its text/icon briefly (e.g. to “Copied!” or a checkmark) as confirmation, then reverts after ~1 second.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FR-10</w:t>
            </w:r>
          </w:p>
        </w:tc>
        <w:tc>
          <w:tcPr>
            <w:tcW w:type="dxa" w:w="7500"/>
          </w:tcPr>
          <w:p>
            <w:r>
              <w:t xml:space="preserve">No other feedback mechanism (no toast, no page-level message) is used.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3.4 Explicitly Out of Scope (for this version)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locking/pinning individual colors before regenerating.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enlarged shade/tint picker on click.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contrast or accessibility scoring.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keyboard shortcut (e.g. spacebar) to generate — button click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color-name lookup — only hex and RGB are shown.</w:t>
      </w:r>
    </w:p>
    <w:p>
      <w:pPr>
        <w:pStyle w:val="Heading1"/>
        <w:spacing w:after="150" w:before="300"/>
      </w:pPr>
      <w:r>
        <w:t xml:space="preserve">4. Non-Functional Requirements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500"/>
      </w:tblGrid>
      <w:tr>
        <w:trPr>
          <w:tblHeader/>
        </w:trPr>
        <w:tc>
          <w:tcPr>
            <w:tcW w:type="dxa" w:w="1200"/>
            <w:shd w:fill="D9E2F3" w:val="clear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7500"/>
            <w:shd w:fill="D9E2F3" w:val="clear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NFR-1</w:t>
            </w:r>
          </w:p>
        </w:tc>
        <w:tc>
          <w:tcPr>
            <w:tcW w:type="dxa" w:w="7500"/>
          </w:tcPr>
          <w:p>
            <w:r>
              <w:t xml:space="preserve">Must run as a static site — plain HTML, CSS, and JS, no build step or backend.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NFR-2</w:t>
            </w:r>
          </w:p>
        </w:tc>
        <w:tc>
          <w:tcPr>
            <w:tcW w:type="dxa" w:w="7500"/>
          </w:tcPr>
          <w:p>
            <w:r>
              <w:t xml:space="preserve">Clipboard copy uses the navigator.clipboard API, which requires a secure context (https:// or localhost) — it will not work from a file:// path opened directly in the browser.</w:t>
            </w:r>
          </w:p>
        </w:tc>
      </w:tr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NFR-3</w:t>
            </w:r>
          </w:p>
        </w:tc>
        <w:tc>
          <w:tcPr>
            <w:tcW w:type="dxa" w:w="7500"/>
          </w:tcPr>
          <w:p>
            <w:r>
              <w:t xml:space="preserve">Layout should be readable on both desktop and mobile widths.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5. Data Model (per swatch)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5700"/>
      </w:tblGrid>
      <w:tr>
        <w:trPr>
          <w:tblHeader/>
        </w:trPr>
        <w:tc>
          <w:tcPr>
            <w:tcW w:type="dxa" w:w="1200"/>
            <w:shd w:fill="D9E2F3" w:val="clear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5700"/>
            <w:shd w:fill="D9E2F3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1200"/>
          </w:tcPr>
          <w:p>
            <w:r>
              <w:t xml:space="preserve">hex</w:t>
            </w:r>
          </w:p>
        </w:tc>
        <w:tc>
          <w:tcPr>
            <w:tcW w:type="dxa" w:w="1800"/>
          </w:tcPr>
          <w:p>
            <w:r>
              <w:t xml:space="preserve">string</w:t>
            </w:r>
          </w:p>
        </w:tc>
        <w:tc>
          <w:tcPr>
            <w:tcW w:type="dxa" w:w="5700"/>
          </w:tcPr>
          <w:p>
            <w:r>
              <w:t xml:space="preserve">6-digit hex color, e.g. #4FC3F7</w:t>
            </w:r>
          </w:p>
        </w:tc>
      </w:tr>
      <w:tr>
        <w:tc>
          <w:tcPr>
            <w:tcW w:type="dxa" w:w="1200"/>
          </w:tcPr>
          <w:p>
            <w:r>
              <w:t xml:space="preserve">rgb</w:t>
            </w:r>
          </w:p>
        </w:tc>
        <w:tc>
          <w:tcPr>
            <w:tcW w:type="dxa" w:w="1800"/>
          </w:tcPr>
          <w:p>
            <w:r>
              <w:t xml:space="preserve">string</w:t>
            </w:r>
          </w:p>
        </w:tc>
        <w:tc>
          <w:tcPr>
            <w:tcW w:type="dxa" w:w="5700"/>
          </w:tcPr>
          <w:p>
            <w:r>
              <w:t xml:space="preserve">Derived from hex, e.g. rgb(79, 195, 247)</w:t>
            </w:r>
          </w:p>
        </w:tc>
      </w:tr>
    </w:tbl>
    <w:p>
      <w:pPr>
        <w:spacing w:after="200"/>
      </w:pPr>
    </w:p>
    <w:p>
      <w:pPr>
        <w:pStyle w:val="Heading1"/>
        <w:spacing w:after="150" w:before="300"/>
      </w:pPr>
      <w:r>
        <w:t xml:space="preserve">6. Open Decision</w:t>
      </w:r>
    </w:p>
    <w:p>
      <w:pPr>
        <w:spacing w:after="120"/>
      </w:pPr>
      <w:r>
        <w:t xml:space="preserve">RGB placement in the UI: shown on its own line under the hex code, or inline next to it (e.g. “#4FC3F7 · rgb(79, 195, 247)”). To be decided before implementation.</w:t>
      </w:r>
    </w:p>
    <w:p>
      <w:pPr>
        <w:pStyle w:val="Heading1"/>
        <w:spacing w:after="150" w:before="300"/>
      </w:pPr>
      <w:r>
        <w:t xml:space="preserve">7. Acceptance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Loading the page shows 4 random color swatches immediately.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swatch shows a matching hex and RGB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Clicking “Generate Palette” replaces all 4 swatches with new random colors.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Clicking a swatch's copy button copies the correct hex code.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copy button visibly confirms the copy, then reverts.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console errors during normal use.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2026-09-22T15:39:59.499Z</dcterms:created>
  <dcterms:modified xsi:type="dcterms:W3CDTF">2026-09-22T15:39:59.506Z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