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sz w:val="44"/>
          <w:szCs w:val="44"/>
          <w:lang w:val="en-US" w:eastAsia="zh-Hans"/>
        </w:rPr>
      </w:pPr>
      <w:r>
        <w:rPr>
          <w:rFonts w:hint="eastAsia" w:ascii="黑体" w:hAnsi="黑体" w:eastAsia="黑体" w:cs="黑体"/>
          <w:b/>
          <w:bCs/>
          <w:sz w:val="44"/>
          <w:szCs w:val="44"/>
          <w:lang w:val="en-US" w:eastAsia="zh-Hans"/>
        </w:rPr>
        <w:t>历史昭示未来</w:t>
      </w:r>
      <w:r>
        <w:rPr>
          <w:rFonts w:hint="default" w:ascii="黑体" w:hAnsi="黑体" w:eastAsia="黑体" w:cs="黑体"/>
          <w:b/>
          <w:bCs/>
          <w:sz w:val="44"/>
          <w:szCs w:val="44"/>
          <w:lang w:eastAsia="zh-Hans"/>
        </w:rPr>
        <w:t>，</w:t>
      </w:r>
      <w:r>
        <w:rPr>
          <w:rFonts w:hint="eastAsia" w:ascii="黑体" w:hAnsi="黑体" w:eastAsia="黑体" w:cs="黑体"/>
          <w:b/>
          <w:bCs/>
          <w:sz w:val="44"/>
          <w:szCs w:val="44"/>
          <w:lang w:val="en-US" w:eastAsia="zh-Hans"/>
        </w:rPr>
        <w:t>征程未有穷期</w:t>
      </w:r>
    </w:p>
    <w:p>
      <w:pPr>
        <w:wordWrap w:val="0"/>
        <w:spacing w:line="360" w:lineRule="auto"/>
        <w:jc w:val="right"/>
        <w:rPr>
          <w:rFonts w:hint="default" w:ascii="楷体_GB2312" w:hAnsi="楷体_GB2312" w:eastAsia="楷体_GB2312" w:cs="楷体_GB2312"/>
          <w:sz w:val="30"/>
          <w:szCs w:val="30"/>
          <w:lang w:val="en-US" w:eastAsia="zh-Hans"/>
        </w:rPr>
      </w:pPr>
      <w:r>
        <w:rPr>
          <w:rFonts w:hint="eastAsia" w:ascii="楷体_GB2312" w:hAnsi="楷体_GB2312" w:eastAsia="楷体_GB2312" w:cs="楷体_GB2312"/>
          <w:sz w:val="30"/>
          <w:szCs w:val="30"/>
          <w:lang w:val="en-US" w:eastAsia="zh-Hans"/>
        </w:rPr>
        <w:t>专业</w:t>
      </w:r>
      <w:r>
        <w:rPr>
          <w:rFonts w:hint="default" w:ascii="楷体_GB2312" w:hAnsi="楷体_GB2312" w:eastAsia="楷体_GB2312" w:cs="楷体_GB2312"/>
          <w:sz w:val="30"/>
          <w:szCs w:val="30"/>
          <w:lang w:eastAsia="zh-Hans"/>
        </w:rPr>
        <w:t>：</w:t>
      </w:r>
      <w:r>
        <w:rPr>
          <w:rFonts w:hint="eastAsia" w:ascii="楷体_GB2312" w:hAnsi="楷体_GB2312" w:eastAsia="楷体_GB2312" w:cs="楷体_GB2312"/>
          <w:sz w:val="30"/>
          <w:szCs w:val="30"/>
          <w:lang w:val="en-US" w:eastAsia="zh-Hans"/>
        </w:rPr>
        <w:t>信息安全</w:t>
      </w:r>
      <w:r>
        <w:rPr>
          <w:rFonts w:hint="default" w:ascii="楷体_GB2312" w:hAnsi="楷体_GB2312" w:eastAsia="楷体_GB2312" w:cs="楷体_GB2312"/>
          <w:sz w:val="30"/>
          <w:szCs w:val="30"/>
          <w:lang w:eastAsia="zh-Hans"/>
        </w:rPr>
        <w:t xml:space="preserve">  </w:t>
      </w:r>
      <w:r>
        <w:rPr>
          <w:rFonts w:hint="eastAsia" w:ascii="楷体_GB2312" w:hAnsi="楷体_GB2312" w:eastAsia="楷体_GB2312" w:cs="楷体_GB2312"/>
          <w:sz w:val="30"/>
          <w:szCs w:val="30"/>
          <w:lang w:val="en-US" w:eastAsia="zh-Hans"/>
        </w:rPr>
        <w:t>学号</w:t>
      </w:r>
      <w:r>
        <w:rPr>
          <w:rFonts w:hint="default" w:ascii="楷体_GB2312" w:hAnsi="楷体_GB2312" w:eastAsia="楷体_GB2312" w:cs="楷体_GB2312"/>
          <w:sz w:val="30"/>
          <w:szCs w:val="30"/>
          <w:lang w:eastAsia="zh-Hans"/>
        </w:rPr>
        <w:t xml:space="preserve">：2013921  </w:t>
      </w:r>
      <w:r>
        <w:rPr>
          <w:rFonts w:hint="eastAsia" w:ascii="楷体_GB2312" w:hAnsi="楷体_GB2312" w:eastAsia="楷体_GB2312" w:cs="楷体_GB2312"/>
          <w:sz w:val="30"/>
          <w:szCs w:val="30"/>
          <w:lang w:val="en-US" w:eastAsia="zh-Hans"/>
        </w:rPr>
        <w:t>姓名</w:t>
      </w:r>
      <w:r>
        <w:rPr>
          <w:rFonts w:hint="default" w:ascii="楷体_GB2312" w:hAnsi="楷体_GB2312" w:eastAsia="楷体_GB2312" w:cs="楷体_GB2312"/>
          <w:sz w:val="30"/>
          <w:szCs w:val="30"/>
          <w:lang w:eastAsia="zh-Hans"/>
        </w:rPr>
        <w:t>：</w:t>
      </w:r>
      <w:r>
        <w:rPr>
          <w:rFonts w:hint="eastAsia" w:ascii="楷体_GB2312" w:hAnsi="楷体_GB2312" w:eastAsia="楷体_GB2312" w:cs="楷体_GB2312"/>
          <w:sz w:val="30"/>
          <w:szCs w:val="30"/>
          <w:lang w:val="en-US" w:eastAsia="zh-Hans"/>
        </w:rPr>
        <w:t>周延霖</w:t>
      </w:r>
    </w:p>
    <w:p>
      <w:pPr>
        <w:spacing w:line="360" w:lineRule="auto"/>
        <w:ind w:firstLine="420" w:firstLineChars="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党的二十大的召开，全面反映各地干部群众对党的二十大的热烈反响，生动呈现来自基层一线与二十大同声共鸣的故事，深刻展现全国各族人民爱党护党跟党走的坚定决心、对国家繁荣稳定发展的满满信心。新时代十年的伟大变革，在党史、新中国史、改革开放史、社会主义发展史、中华民族发展史上具有里程碑意义。</w:t>
      </w:r>
    </w:p>
    <w:p>
      <w:pPr>
        <w:spacing w:line="360" w:lineRule="auto"/>
        <w:ind w:firstLine="420" w:firstLineChars="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w:t>
      </w:r>
    </w:p>
    <w:p>
      <w:pPr>
        <w:spacing w:line="360" w:lineRule="auto"/>
        <w:ind w:firstLine="420" w:firstLineChars="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一座座高铁站折射出的是新时代神州大地的气象万千。简捷的乘车手续、不断提升的高铁速度……科技的发展已经融入生活的方方面面，展现出新时代的活力与激情。京津冀协同发展等国家战略持续推进，为人民创造了更多的发展机会，让人民的幸福感不断提升。</w:t>
      </w:r>
    </w:p>
    <w:p>
      <w:pPr>
        <w:spacing w:line="360" w:lineRule="auto"/>
        <w:ind w:firstLine="420" w:firstLineChars="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巴朗山翠峰如簇，岷江水蜿蜒而下，在四川汶川县映秀镇渔子溪村，在全国援助下已将山泉水销往10余个省份，靠绿水青山赋予的财富走上绿色发展道路。更体现了要永远感党恩、跟党走的意义，更应该按照党的二十大报告提出的‘扎实推进共同富裕’‘加快发展方式绿色转型’要求稳步前行，创造更加美好的明天。</w:t>
      </w:r>
    </w:p>
    <w:p>
      <w:pPr>
        <w:spacing w:line="360" w:lineRule="auto"/>
        <w:ind w:firstLine="420" w:firstLineChars="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浙江台州方林村曾因主要道路到处是窟窿被戏称为“石路窟”，如今道路宽敞干净，服务设施一应俱全。显示出‘全面推进乡村振兴’是一幅大美画卷。革命老区井冈山深处，山路蜿蜒，峰峦连绵。小小神山村，折射出中国农村的过去和现在，也正演绎着中国农村的未来。让我体会到，深入田间地头，贴近干部群众，就会对党心民心同频共振有更加真切的感受。</w:t>
      </w:r>
    </w:p>
    <w:p>
      <w:pPr>
        <w:spacing w:line="360" w:lineRule="auto"/>
        <w:ind w:firstLine="420" w:firstLineChars="0"/>
        <w:rPr>
          <w:rFonts w:hint="eastAsia" w:ascii="仿宋_GB2312" w:hAnsi="仿宋_GB2312" w:eastAsia="仿宋_GB2312" w:cs="仿宋_GB2312"/>
          <w:sz w:val="30"/>
          <w:szCs w:val="30"/>
        </w:rPr>
      </w:pPr>
      <w:r>
        <w:rPr>
          <w:rFonts w:hint="eastAsia" w:ascii="仿宋_GB2312" w:hAnsi="仿宋_GB2312" w:eastAsia="仿宋_GB2312" w:cs="仿宋_GB2312"/>
          <w:sz w:val="30"/>
          <w:szCs w:val="30"/>
          <w:lang w:val="en-US" w:eastAsia="zh-Hans"/>
        </w:rPr>
        <w:t>以上展示了这几年来中国的发展进程</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展望未来，我们党将继续埋头苦干、奋勇前进，不断提高引导力、影响力、公信力，不断增强吸引力、感染力、亲和力、说服力，凝聚奋进力量，谱写时代华章。</w:t>
      </w:r>
    </w:p>
    <w:p>
      <w:pPr>
        <w:spacing w:line="360" w:lineRule="auto"/>
        <w:ind w:firstLine="420" w:firstLineChars="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在新时代发展的今天，青年起了很大的作用。党的二十大报告寄语青年：“青年强，则国家强。当代中国青年生逢其时，施展才干的舞台无比广阔，实现梦想的前景无比光明。”在中华民族伟大复兴的新征程上，虽然每个年轻人所处的地域，来自的家庭环境不同，但都有无穷的潜力和机会。青年应当树立远大的理想和抱负，将实现个人价值的目标与时代奋进的目标结合起来，在不懈奋斗中实现人生价值。</w:t>
      </w:r>
    </w:p>
    <w:p>
      <w:pPr>
        <w:spacing w:line="360" w:lineRule="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　　不少年轻人都对教育话题很感兴趣，它关乎青年成长的目标与方式。党的二十大报告提到：“我们要坚持教育优先发展、科技自立自强、人才引领驱动，加快建设教育强国、科技强国、人才强国，坚持为党育人、为国育才，全面提高人才自主培养质量，着力造就拔尖创新人才，聚天下英才而用之。”</w:t>
      </w:r>
    </w:p>
    <w:p>
      <w:pPr>
        <w:spacing w:line="360" w:lineRule="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　　人才是当今世界各国之间竞争的重要资源，培养更多高质量发展需要的人才，关乎国家未来发展与每个年轻人的前途命运。党的二十大报告强调：“深入实施人才强国战略，坚持尊重劳动、尊重知识、尊重人才、尊重创造，完善人才战略布局，加快建设世界重要人才中心和创新高地，着力形成人才国际竞争的比较优势，把各方面优秀人才集聚到党和人民事业中来。”如今各行各业已涌现出一大批年轻的中坚力量，他们或许是在实验室里专注科研的青年学者，或许是在写字楼里辛苦工作的普通白领，不论他们所处什么领域，只要能够不断学习和创新，就是国家需要的人才。</w:t>
      </w:r>
    </w:p>
    <w:p>
      <w:pPr>
        <w:spacing w:line="360" w:lineRule="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　　科技创新也是年轻人格外关心的话题。党的二十大报告多次强调科技与创新的重要性：“完善科技创新体系，坚持创新在我国现代化建设全局中的核心地位，健全新型举国体制，强化国家战略科技力量，提升国家创新体系整体效能，形成具有全球竞争力的开放创新生态。”青年在国家的科技创新事业中扮演着十分关键的角色，国家会从战略层面为科技事业的发展谋篇布局，尽一切可能为青年人才提供创新与发展的机会。</w:t>
      </w:r>
    </w:p>
    <w:p>
      <w:pPr>
        <w:spacing w:line="360" w:lineRule="auto"/>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　　今年以来，青年群体就业面临较大压力。党的二十大报告提出：“实施就业优先战略，强化就业优先政策，健全就业公共服务体系，加强困难群体就业兜底帮扶，消除影响平等就业的不合理限制和就业歧视，使人人都有通过勤奋劳动实现自身发展的机会。”随着就业优先战略的实施，不合理、不公平的就业现象逐步减少，更多的年轻人将在就业市场中找到清晰定位，获得更多发展机会。</w:t>
      </w:r>
    </w:p>
    <w:p>
      <w:pPr>
        <w:spacing w:line="360" w:lineRule="auto"/>
        <w:ind w:firstLine="420"/>
        <w:rPr>
          <w:rFonts w:hint="eastAsia" w:ascii="仿宋_GB2312" w:hAnsi="仿宋_GB2312" w:eastAsia="仿宋_GB2312" w:cs="仿宋_GB2312"/>
          <w:sz w:val="30"/>
          <w:szCs w:val="30"/>
        </w:rPr>
      </w:pPr>
      <w:r>
        <w:rPr>
          <w:rFonts w:hint="eastAsia" w:ascii="仿宋_GB2312" w:hAnsi="仿宋_GB2312" w:eastAsia="仿宋_GB2312" w:cs="仿宋_GB2312"/>
          <w:sz w:val="30"/>
          <w:szCs w:val="30"/>
        </w:rPr>
        <w:t>“广大青年要坚定不移听党话、跟党走，怀抱梦想又脚踏实地，敢想敢为又善作善成，立志做有理想、敢担当、能吃苦、肯奋斗的新时代好青年，让青春在全面建设社会主义现代化国家的火热实践中绽放绚丽之花。” 党的二十大报告让广大中国青年看到，伟大的新征程已经开始，奋进正当时。</w:t>
      </w:r>
    </w:p>
    <w:p>
      <w:pPr>
        <w:spacing w:line="360" w:lineRule="auto"/>
        <w:ind w:firstLine="420" w:firstLineChars="0"/>
        <w:rPr>
          <w:rFonts w:hint="eastAsia" w:ascii="仿宋_GB2312" w:hAnsi="仿宋_GB2312" w:eastAsia="仿宋_GB2312" w:cs="仿宋_GB2312"/>
          <w:sz w:val="30"/>
          <w:szCs w:val="30"/>
        </w:rPr>
      </w:pPr>
      <w:bookmarkStart w:id="0" w:name="_GoBack"/>
      <w:bookmarkEnd w:id="0"/>
      <w:r>
        <w:rPr>
          <w:rFonts w:hint="eastAsia" w:ascii="仿宋_GB2312" w:hAnsi="仿宋_GB2312" w:eastAsia="仿宋_GB2312" w:cs="仿宋_GB2312"/>
          <w:sz w:val="30"/>
          <w:szCs w:val="30"/>
          <w:lang w:val="en-US" w:eastAsia="zh-Hans"/>
        </w:rPr>
        <w:t>最后</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lang w:val="en-US" w:eastAsia="zh-Hans"/>
        </w:rPr>
        <w:t>我们更应该响应二十大的号召</w:t>
      </w:r>
      <w:r>
        <w:rPr>
          <w:rFonts w:hint="eastAsia" w:ascii="仿宋_GB2312" w:hAnsi="仿宋_GB2312" w:eastAsia="仿宋_GB2312" w:cs="仿宋_GB2312"/>
          <w:sz w:val="30"/>
          <w:szCs w:val="30"/>
          <w:lang w:eastAsia="zh-Hans"/>
        </w:rPr>
        <w:t>，</w:t>
      </w:r>
      <w:r>
        <w:rPr>
          <w:rFonts w:hint="eastAsia" w:ascii="仿宋_GB2312" w:hAnsi="仿宋_GB2312" w:eastAsia="仿宋_GB2312" w:cs="仿宋_GB2312"/>
          <w:sz w:val="30"/>
          <w:szCs w:val="30"/>
        </w:rPr>
        <w:t>高举中国特色社会主义伟大旗帜，全面贯彻新时代中国特色社会主义思想，弘扬伟大建党精神，自信自强、守正创新，踔厉奋发、勇毅前行，为全面建设社会主义现代化国家、全面推进中华民族伟大复兴而团结奋斗。</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0" w:usb1="00000000" w:usb2="00000000" w:usb3="00000000" w:csb0="00160000" w:csb1="00000000"/>
  </w:font>
  <w:font w:name="楷体_GB2312">
    <w:altName w:val="汉仪楷体简"/>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0" w:usb1="00000000" w:usb2="00000000" w:usb3="00000000" w:csb0="000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D32D7"/>
    <w:rsid w:val="5BEFA117"/>
    <w:rsid w:val="B63F36B1"/>
    <w:rsid w:val="CFFD32D7"/>
    <w:rsid w:val="DBAF6374"/>
    <w:rsid w:val="F5BA3F76"/>
    <w:rsid w:val="FC6FFE32"/>
    <w:rsid w:val="FDFFF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2022-10-29T22:48:00Z</dcterms:created>
  <dc:creator>周延霖</dc:creator>
  <cp:lastModifiedBy>周延霖</cp:lastModifiedBy>
  <dcterms:modified xsi:type="dcterms:W3CDTF">2022-11-30T13:30:45Z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11B90F57371AEC05DACC5C63AF745438</vt:lpwstr>
  </property>
</Properties>
</file>