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9E98" w14:textId="77777777" w:rsidR="00586FDC" w:rsidRDefault="00CC42E9">
      <w:pPr>
        <w:pStyle w:val="Subtitle"/>
      </w:pPr>
      <w:bookmarkStart w:id="0" w:name="_GoBack"/>
      <w:bookmarkEnd w:id="0"/>
      <w:r>
        <w:t>The truth and the story</w:t>
      </w:r>
    </w:p>
    <w:p w14:paraId="1D191E70" w14:textId="77777777" w:rsidR="00586FDC" w:rsidRDefault="00CC42E9">
      <w:pPr>
        <w:pStyle w:val="Title"/>
      </w:pPr>
      <w:r>
        <w:t>Kickstart My Chart</w:t>
      </w:r>
    </w:p>
    <w:p w14:paraId="67B173C5" w14:textId="77777777" w:rsidR="00586FDC" w:rsidRDefault="00CC42E9">
      <w:pPr>
        <w:pStyle w:val="Author"/>
      </w:pPr>
      <w:r>
        <w:t>Troy Bailey</w:t>
      </w:r>
    </w:p>
    <w:p w14:paraId="1DB3388A" w14:textId="77777777" w:rsidR="00CC42E9" w:rsidRDefault="00CC42E9" w:rsidP="00CC42E9">
      <w:pPr>
        <w:spacing w:after="0" w:line="240" w:lineRule="auto"/>
        <w:rPr>
          <w:rFonts w:ascii="Times New Roman" w:eastAsia="Times New Roman" w:hAnsi="Times New Roman" w:cs="Times New Roman"/>
          <w:color w:val="auto"/>
          <w:lang w:eastAsia="en-US"/>
        </w:rPr>
      </w:pPr>
      <w:r w:rsidRPr="00CC42E9">
        <w:rPr>
          <w:rFonts w:ascii="Times New Roman" w:eastAsia="Times New Roman" w:hAnsi="Times New Roman" w:cs="Times New Roman"/>
          <w:color w:val="auto"/>
          <w:lang w:eastAsia="en-US"/>
        </w:rPr>
        <w:fldChar w:fldCharType="begin"/>
      </w:r>
      <w:r w:rsidRPr="00CC42E9">
        <w:rPr>
          <w:rFonts w:ascii="Times New Roman" w:eastAsia="Times New Roman" w:hAnsi="Times New Roman" w:cs="Times New Roman"/>
          <w:color w:val="auto"/>
          <w:lang w:eastAsia="en-US"/>
        </w:rPr>
        <w:instrText xml:space="preserve"> INCLUDEPICTURE "https://webby-gallery-production.s3.amazonaws.com/uploads/asset/image/15962/3018000000130981_large.jpg" \* MERGEFORMATINET </w:instrText>
      </w:r>
      <w:r w:rsidRPr="00CC42E9">
        <w:rPr>
          <w:rFonts w:ascii="Times New Roman" w:eastAsia="Times New Roman" w:hAnsi="Times New Roman" w:cs="Times New Roman"/>
          <w:color w:val="auto"/>
          <w:lang w:eastAsia="en-US"/>
        </w:rPr>
        <w:fldChar w:fldCharType="separate"/>
      </w:r>
      <w:r w:rsidRPr="00CC42E9">
        <w:rPr>
          <w:rFonts w:ascii="Times New Roman" w:eastAsia="Times New Roman" w:hAnsi="Times New Roman" w:cs="Times New Roman"/>
          <w:noProof/>
          <w:color w:val="auto"/>
          <w:lang w:eastAsia="en-US"/>
        </w:rPr>
        <w:drawing>
          <wp:inline distT="0" distB="0" distL="0" distR="0" wp14:anchorId="67F7C03C" wp14:editId="26969C49">
            <wp:extent cx="5852160" cy="1737360"/>
            <wp:effectExtent l="0" t="0" r="2540" b="2540"/>
            <wp:docPr id="1" name="Picture 1" descr="Image result for kick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ickstarter"/>
                    <pic:cNvPicPr>
                      <a:picLocks noChangeAspect="1" noChangeArrowheads="1"/>
                    </pic:cNvPicPr>
                  </pic:nvPicPr>
                  <pic:blipFill rotWithShape="1">
                    <a:blip r:embed="rId7">
                      <a:extLst>
                        <a:ext uri="{28A0092B-C50C-407E-A947-70E740481C1C}">
                          <a14:useLocalDpi xmlns:a14="http://schemas.microsoft.com/office/drawing/2010/main" val="0"/>
                        </a:ext>
                      </a:extLst>
                    </a:blip>
                    <a:srcRect t="21875" r="3031" b="27232"/>
                    <a:stretch/>
                  </pic:blipFill>
                  <pic:spPr bwMode="auto">
                    <a:xfrm>
                      <a:off x="0" y="0"/>
                      <a:ext cx="5852160" cy="1737360"/>
                    </a:xfrm>
                    <a:prstGeom prst="rect">
                      <a:avLst/>
                    </a:prstGeom>
                    <a:noFill/>
                    <a:ln>
                      <a:noFill/>
                    </a:ln>
                    <a:extLst>
                      <a:ext uri="{53640926-AAD7-44D8-BBD7-CCE9431645EC}">
                        <a14:shadowObscured xmlns:a14="http://schemas.microsoft.com/office/drawing/2010/main"/>
                      </a:ext>
                    </a:extLst>
                  </pic:spPr>
                </pic:pic>
              </a:graphicData>
            </a:graphic>
          </wp:inline>
        </w:drawing>
      </w:r>
      <w:r w:rsidRPr="00CC42E9">
        <w:rPr>
          <w:rFonts w:ascii="Times New Roman" w:eastAsia="Times New Roman" w:hAnsi="Times New Roman" w:cs="Times New Roman"/>
          <w:color w:val="auto"/>
          <w:lang w:eastAsia="en-US"/>
        </w:rPr>
        <w:fldChar w:fldCharType="end"/>
      </w:r>
    </w:p>
    <w:p w14:paraId="7F8CD627" w14:textId="77777777" w:rsidR="00CC42E9" w:rsidRDefault="00CC42E9" w:rsidP="00CC42E9">
      <w:pPr>
        <w:spacing w:after="0" w:line="240" w:lineRule="auto"/>
        <w:jc w:val="center"/>
        <w:rPr>
          <w:rFonts w:ascii="Times New Roman" w:eastAsia="Times New Roman" w:hAnsi="Times New Roman" w:cs="Times New Roman"/>
          <w:color w:val="auto"/>
          <w:sz w:val="48"/>
          <w:lang w:eastAsia="en-US"/>
        </w:rPr>
      </w:pPr>
      <w:r w:rsidRPr="00CC42E9">
        <w:rPr>
          <w:rFonts w:ascii="Times New Roman" w:eastAsia="Times New Roman" w:hAnsi="Times New Roman" w:cs="Times New Roman"/>
          <w:color w:val="auto"/>
          <w:sz w:val="48"/>
          <w:lang w:eastAsia="en-US"/>
        </w:rPr>
        <w:t xml:space="preserve">Project </w:t>
      </w:r>
      <w:r w:rsidR="00A1739B">
        <w:rPr>
          <w:rFonts w:ascii="Times New Roman" w:eastAsia="Times New Roman" w:hAnsi="Times New Roman" w:cs="Times New Roman"/>
          <w:color w:val="auto"/>
          <w:sz w:val="48"/>
          <w:lang w:eastAsia="en-US"/>
        </w:rPr>
        <w:t>Results</w:t>
      </w:r>
      <w:r w:rsidRPr="00CC42E9">
        <w:rPr>
          <w:rFonts w:ascii="Times New Roman" w:eastAsia="Times New Roman" w:hAnsi="Times New Roman" w:cs="Times New Roman"/>
          <w:color w:val="auto"/>
          <w:sz w:val="48"/>
          <w:lang w:eastAsia="en-US"/>
        </w:rPr>
        <w:t xml:space="preserve"> Analysis</w:t>
      </w:r>
    </w:p>
    <w:p w14:paraId="59009612" w14:textId="77777777" w:rsidR="00CC42E9" w:rsidRDefault="00CC42E9" w:rsidP="00CC42E9">
      <w:pPr>
        <w:pBdr>
          <w:bottom w:val="single" w:sz="12" w:space="1" w:color="auto"/>
        </w:pBdr>
        <w:spacing w:after="0" w:line="240" w:lineRule="auto"/>
        <w:rPr>
          <w:rFonts w:ascii="Times New Roman" w:eastAsia="Times New Roman" w:hAnsi="Times New Roman" w:cs="Times New Roman"/>
          <w:color w:val="auto"/>
          <w:sz w:val="48"/>
          <w:lang w:eastAsia="en-US"/>
        </w:rPr>
      </w:pPr>
    </w:p>
    <w:p w14:paraId="068A0CC8" w14:textId="77777777" w:rsidR="00586FDC" w:rsidRDefault="00586FDC"/>
    <w:p w14:paraId="7918F8C5" w14:textId="77777777" w:rsidR="00A34591" w:rsidRDefault="00A34591">
      <w:r>
        <w:t xml:space="preserve">This report uses </w:t>
      </w:r>
      <w:r w:rsidR="003162EC">
        <w:t>Excel charts to analyze histo</w:t>
      </w:r>
      <w:r w:rsidR="003565DC">
        <w:t>rical Kickstarter project data to discover market trends.</w:t>
      </w:r>
    </w:p>
    <w:p w14:paraId="4E0C8C89" w14:textId="77777777" w:rsidR="00586FDC" w:rsidRDefault="003565DC" w:rsidP="00C873E9">
      <w:pPr>
        <w:pStyle w:val="Heading1"/>
        <w:numPr>
          <w:ilvl w:val="0"/>
          <w:numId w:val="17"/>
        </w:numPr>
        <w:rPr>
          <w:sz w:val="40"/>
        </w:rPr>
      </w:pPr>
      <w:r w:rsidRPr="003565DC">
        <w:rPr>
          <w:sz w:val="40"/>
        </w:rPr>
        <w:t>Conclusions that can be drawn from analyzing this dataset</w:t>
      </w:r>
    </w:p>
    <w:p w14:paraId="52783E0F" w14:textId="77777777" w:rsidR="003565DC" w:rsidRDefault="003565DC" w:rsidP="00C873E9">
      <w:pPr>
        <w:pStyle w:val="Heading2"/>
        <w:numPr>
          <w:ilvl w:val="1"/>
          <w:numId w:val="17"/>
        </w:numPr>
      </w:pPr>
      <w:r>
        <w:t>Theater projects are the most common major category of projects proposed on Kickstarter</w:t>
      </w:r>
    </w:p>
    <w:p w14:paraId="69F19A91" w14:textId="77777777" w:rsidR="00C873E9" w:rsidRDefault="00C873E9" w:rsidP="00C873E9">
      <w:r>
        <w:t>As can be seen in the chart below, Theater projects are by far the most plentiful of those proposed on Kickstarter with nearly twice as many as the next major category, Music.</w:t>
      </w:r>
    </w:p>
    <w:p w14:paraId="74C393B3" w14:textId="77777777" w:rsidR="00C873E9" w:rsidRDefault="00C873E9" w:rsidP="00DF7F7C">
      <w:pPr>
        <w:pStyle w:val="Heading2"/>
        <w:numPr>
          <w:ilvl w:val="1"/>
          <w:numId w:val="17"/>
        </w:numPr>
      </w:pPr>
      <w:r>
        <w:t xml:space="preserve">Theater projects have historically been the most successful </w:t>
      </w:r>
    </w:p>
    <w:p w14:paraId="0E0630DE" w14:textId="77777777" w:rsidR="00DF7F7C" w:rsidRPr="00DF7F7C" w:rsidRDefault="00DF7F7C" w:rsidP="00DF7F7C">
      <w:proofErr w:type="gramStart"/>
      <w:r>
        <w:t>Also</w:t>
      </w:r>
      <w:proofErr w:type="gramEnd"/>
      <w:r>
        <w:t xml:space="preserve"> in the chart below, we can see that more Theater projects have succeeded than any other major category, although Movies have had a higher percentage of success.</w:t>
      </w:r>
    </w:p>
    <w:p w14:paraId="1E8D6B6C" w14:textId="77777777" w:rsidR="00C873E9" w:rsidRPr="00C873E9" w:rsidRDefault="00C873E9" w:rsidP="00C873E9"/>
    <w:p w14:paraId="325EDF9C" w14:textId="77777777" w:rsidR="00586FDC" w:rsidRDefault="00A34591" w:rsidP="003565DC">
      <w:r>
        <w:rPr>
          <w:noProof/>
        </w:rPr>
        <w:drawing>
          <wp:inline distT="0" distB="0" distL="0" distR="0" wp14:anchorId="7AF651DD" wp14:editId="56AF9813">
            <wp:extent cx="6071870" cy="3902075"/>
            <wp:effectExtent l="0" t="0" r="11430" b="9525"/>
            <wp:docPr id="5" name="Chart 5">
              <a:extLst xmlns:a="http://schemas.openxmlformats.org/drawingml/2006/main">
                <a:ext uri="{FF2B5EF4-FFF2-40B4-BE49-F238E27FC236}">
                  <a16:creationId xmlns:a16="http://schemas.microsoft.com/office/drawing/2014/main" id="{E0BFAA7E-EDD4-5841-9FA0-E5A163CC6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B5212F" w14:textId="77777777" w:rsidR="003565DC" w:rsidRDefault="003565DC" w:rsidP="003565DC"/>
    <w:p w14:paraId="4BC70D25" w14:textId="77777777" w:rsidR="00586FDC" w:rsidRDefault="00DF7F7C">
      <w:pPr>
        <w:pStyle w:val="Heading2"/>
      </w:pPr>
      <w:r>
        <w:t>1.3 Plays are the most successful subcategory of projects</w:t>
      </w:r>
    </w:p>
    <w:p w14:paraId="2E50350F" w14:textId="77777777" w:rsidR="00586FDC" w:rsidRDefault="00DF7F7C">
      <w:r>
        <w:t>Continuing with the analysis of results by subcategory, the chart below shows that plays have historically been the most successful subcategory.</w:t>
      </w:r>
    </w:p>
    <w:p w14:paraId="56105A83" w14:textId="77777777" w:rsidR="00DF7F7C" w:rsidRDefault="00DF7F7C">
      <w:r>
        <w:rPr>
          <w:noProof/>
        </w:rPr>
        <w:lastRenderedPageBreak/>
        <w:drawing>
          <wp:inline distT="0" distB="0" distL="0" distR="0" wp14:anchorId="2969F66F" wp14:editId="611FB885">
            <wp:extent cx="6071870" cy="3432810"/>
            <wp:effectExtent l="0" t="0" r="11430" b="8890"/>
            <wp:docPr id="6" name="Chart 6">
              <a:extLst xmlns:a="http://schemas.openxmlformats.org/drawingml/2006/main">
                <a:ext uri="{FF2B5EF4-FFF2-40B4-BE49-F238E27FC236}">
                  <a16:creationId xmlns:a16="http://schemas.microsoft.com/office/drawing/2014/main" id="{71BFD3A4-21DF-4C48-9C36-99776E74D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6D3A2B" w14:textId="77777777" w:rsidR="00586FDC" w:rsidRDefault="00586FDC">
      <w:pPr>
        <w:pStyle w:val="Quote"/>
      </w:pPr>
    </w:p>
    <w:p w14:paraId="155D50A6" w14:textId="77777777" w:rsidR="00586FDC" w:rsidRDefault="00DF7F7C" w:rsidP="00DF7F7C">
      <w:pPr>
        <w:pStyle w:val="Heading2"/>
      </w:pPr>
      <w:r>
        <w:t>1.4 Fewer Kickstarter projects have been started later in the year</w:t>
      </w:r>
    </w:p>
    <w:p w14:paraId="37EBBFA8" w14:textId="77777777" w:rsidR="00586FDC" w:rsidRDefault="00A1739B">
      <w:r>
        <w:t>The chart below indicates that relatively more projects have been started early in the year compared to the number started later in the year. Further those that were started later in the year had a much lower success rate.</w:t>
      </w:r>
    </w:p>
    <w:p w14:paraId="6A245137" w14:textId="77777777" w:rsidR="00A1739B" w:rsidRDefault="00A1739B">
      <w:r>
        <w:rPr>
          <w:noProof/>
        </w:rPr>
        <w:lastRenderedPageBreak/>
        <w:drawing>
          <wp:inline distT="0" distB="0" distL="0" distR="0" wp14:anchorId="18F6A900" wp14:editId="49BE20F1">
            <wp:extent cx="5791200" cy="3416300"/>
            <wp:effectExtent l="0" t="0" r="12700" b="12700"/>
            <wp:docPr id="8" name="Chart 8">
              <a:extLst xmlns:a="http://schemas.openxmlformats.org/drawingml/2006/main">
                <a:ext uri="{FF2B5EF4-FFF2-40B4-BE49-F238E27FC236}">
                  <a16:creationId xmlns:a16="http://schemas.microsoft.com/office/drawing/2014/main" id="{FD3EDF59-DAE4-C84F-AB1E-2027394B8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4CAC3C" w14:textId="77777777" w:rsidR="00A1739B" w:rsidRDefault="00A1739B" w:rsidP="00A1739B">
      <w:pPr>
        <w:pStyle w:val="Heading1"/>
        <w:numPr>
          <w:ilvl w:val="0"/>
          <w:numId w:val="17"/>
        </w:numPr>
      </w:pPr>
      <w:r>
        <w:t>Limitations of this dataset</w:t>
      </w:r>
    </w:p>
    <w:p w14:paraId="2E7839F0" w14:textId="77777777" w:rsidR="00A1739B" w:rsidRDefault="00A1739B" w:rsidP="00A1739B">
      <w:r>
        <w:t xml:space="preserve">As shown in the preceding section, analysis of this Kickstarter historical database can provide some insights that might be predictors of success, such as project category, subcategory and time of year started. However, there are many important success factors that are not included in this database. Examples are experience of project team and competitive projects that were funded by other means. </w:t>
      </w:r>
      <w:proofErr w:type="gramStart"/>
      <w:r>
        <w:t>Also</w:t>
      </w:r>
      <w:proofErr w:type="gramEnd"/>
      <w:r>
        <w:t xml:space="preserve"> historical trends are not a guarantee of future market behavior. Market trends can change over time. Although it would be possible to look at market trends, this data does not include the latest Kickstarter projects and so may miss the most recent trends.</w:t>
      </w:r>
    </w:p>
    <w:p w14:paraId="5553723F" w14:textId="77777777" w:rsidR="009C6D98" w:rsidRDefault="009C6D98" w:rsidP="005415F5">
      <w:pPr>
        <w:pStyle w:val="Heading1"/>
        <w:numPr>
          <w:ilvl w:val="0"/>
          <w:numId w:val="17"/>
        </w:numPr>
      </w:pPr>
      <w:r>
        <w:t>Other possible tables and graphs</w:t>
      </w:r>
    </w:p>
    <w:p w14:paraId="7D52AE5A" w14:textId="77777777" w:rsidR="00A1739B" w:rsidRPr="00A1739B" w:rsidRDefault="009C6D98" w:rsidP="009C6D98">
      <w:r>
        <w:t xml:space="preserve">This dataset has additional information that could provide important insights. For example, the correlation between staff pick and project outcomes would be interesting to look at to determine if the Kickstarter staff are able to identify promising projects. As mentioned above, the date started information could be used to identify market trends like are some types of projects becoming more and or less successful over time. Another interesting analysis would be to look for any effect of overfunding. </w:t>
      </w:r>
    </w:p>
    <w:sectPr w:rsidR="00A1739B" w:rsidRPr="00A1739B">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94F75" w14:textId="77777777" w:rsidR="005D3B51" w:rsidRDefault="005D3B51">
      <w:pPr>
        <w:spacing w:after="0" w:line="240" w:lineRule="auto"/>
      </w:pPr>
      <w:r>
        <w:separator/>
      </w:r>
    </w:p>
    <w:p w14:paraId="226A053C" w14:textId="77777777" w:rsidR="005D3B51" w:rsidRDefault="005D3B51"/>
    <w:p w14:paraId="58579E72" w14:textId="77777777" w:rsidR="005D3B51" w:rsidRDefault="005D3B51"/>
  </w:endnote>
  <w:endnote w:type="continuationSeparator" w:id="0">
    <w:p w14:paraId="555D0AB9" w14:textId="77777777" w:rsidR="005D3B51" w:rsidRDefault="005D3B51">
      <w:pPr>
        <w:spacing w:after="0" w:line="240" w:lineRule="auto"/>
      </w:pPr>
      <w:r>
        <w:continuationSeparator/>
      </w:r>
    </w:p>
    <w:p w14:paraId="6D714334" w14:textId="77777777" w:rsidR="005D3B51" w:rsidRDefault="005D3B51"/>
    <w:p w14:paraId="2D2C2697" w14:textId="77777777" w:rsidR="005D3B51" w:rsidRDefault="005D3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D57F80F" w14:textId="77777777" w:rsidR="00586FDC" w:rsidRDefault="00D04ED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F79BE" w14:textId="77777777" w:rsidR="005D3B51" w:rsidRDefault="005D3B51">
      <w:pPr>
        <w:spacing w:after="0" w:line="240" w:lineRule="auto"/>
      </w:pPr>
      <w:r>
        <w:separator/>
      </w:r>
    </w:p>
    <w:p w14:paraId="43BE4B02" w14:textId="77777777" w:rsidR="005D3B51" w:rsidRDefault="005D3B51"/>
    <w:p w14:paraId="76507586" w14:textId="77777777" w:rsidR="005D3B51" w:rsidRDefault="005D3B51"/>
  </w:footnote>
  <w:footnote w:type="continuationSeparator" w:id="0">
    <w:p w14:paraId="72B57381" w14:textId="77777777" w:rsidR="005D3B51" w:rsidRDefault="005D3B51">
      <w:pPr>
        <w:spacing w:after="0" w:line="240" w:lineRule="auto"/>
      </w:pPr>
      <w:r>
        <w:continuationSeparator/>
      </w:r>
    </w:p>
    <w:p w14:paraId="361D1A7E" w14:textId="77777777" w:rsidR="005D3B51" w:rsidRDefault="005D3B51"/>
    <w:p w14:paraId="158E2CB7" w14:textId="77777777" w:rsidR="005D3B51" w:rsidRDefault="005D3B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032AE"/>
    <w:multiLevelType w:val="multilevel"/>
    <w:tmpl w:val="1988F5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E9"/>
    <w:rsid w:val="001426B7"/>
    <w:rsid w:val="001C7EC7"/>
    <w:rsid w:val="003162EC"/>
    <w:rsid w:val="003565DC"/>
    <w:rsid w:val="005415F5"/>
    <w:rsid w:val="00586FDC"/>
    <w:rsid w:val="005D3B51"/>
    <w:rsid w:val="009C6D98"/>
    <w:rsid w:val="00A1739B"/>
    <w:rsid w:val="00A34591"/>
    <w:rsid w:val="00AD0026"/>
    <w:rsid w:val="00B75393"/>
    <w:rsid w:val="00C873E9"/>
    <w:rsid w:val="00CC42E9"/>
    <w:rsid w:val="00D04ED5"/>
    <w:rsid w:val="00D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E9C91"/>
  <w15:chartTrackingRefBased/>
  <w15:docId w15:val="{7216C291-44E4-1D40-B88F-48E5A9FC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DF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oybailey/Library/Containers/com.microsoft.Word/Data/Library/Application%20Support/Microsoft/Office/16.0/DTS/en-US%7bE98A36B1-22EE-284C-BD80-56FBD48F0CAF%7d/%7bC4B4E196-6D2E-1845-AE4D-BB2BE943B4DD%7dtf10002081.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troybailey/Documents/UT%20Bootcamp/2018%2007%2014/StarterBook%20tab%202018%2007%201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troybailey/Documents/UT%20Bootcamp/2018%2007%2014/StarterBook%20tab%202018%2007%201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troybailey/Documents/UT%20Bootcamp/2018%2007%2014/StarterBook%20tab%202018%2007%20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tab 2018 07 15.xlsx]State by Category!PivotTable1</c:name>
    <c:fmtId val="-1"/>
  </c:pivotSource>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Kickstarter</a:t>
            </a:r>
            <a:r>
              <a:rPr lang="en-US" sz="1800" baseline="0"/>
              <a:t> Project Results</a:t>
            </a:r>
            <a:endParaRPr lang="en-US"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tx1"/>
          </a:solidFill>
          <a:ln>
            <a:noFill/>
          </a:ln>
          <a:effectLst/>
        </c:spPr>
        <c:marker>
          <c:symbol val="none"/>
        </c:marker>
      </c:pivotFmt>
      <c:pivotFmt>
        <c:idx val="1"/>
        <c:spPr>
          <a:solidFill>
            <a:srgbClr val="FF0000"/>
          </a:solidFill>
          <a:ln>
            <a:noFill/>
          </a:ln>
          <a:effectLst/>
        </c:spPr>
        <c:marker>
          <c:symbol val="none"/>
        </c:marker>
      </c:pivotFmt>
      <c:pivotFmt>
        <c:idx val="2"/>
        <c:spPr>
          <a:solidFill>
            <a:srgbClr val="FFFF00"/>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tx1"/>
          </a:solidFill>
          <a:ln>
            <a:noFill/>
          </a:ln>
          <a:effectLst/>
        </c:spPr>
        <c:marker>
          <c:symbol val="none"/>
        </c:marker>
      </c:pivotFmt>
      <c:pivotFmt>
        <c:idx val="10"/>
        <c:spPr>
          <a:solidFill>
            <a:srgbClr val="FF0000"/>
          </a:solidFill>
          <a:ln>
            <a:noFill/>
          </a:ln>
          <a:effectLst/>
        </c:spPr>
        <c:marker>
          <c:symbol val="none"/>
        </c:marker>
      </c:pivotFmt>
      <c:pivotFmt>
        <c:idx val="11"/>
        <c:spPr>
          <a:solidFill>
            <a:srgbClr val="FFFF00"/>
          </a:solidFill>
          <a:ln>
            <a:noFill/>
          </a:ln>
          <a:effectLst/>
        </c:spPr>
        <c:marker>
          <c:symbol val="none"/>
        </c:marker>
      </c:pivotFmt>
      <c:pivotFmt>
        <c:idx val="12"/>
        <c:spPr>
          <a:solidFill>
            <a:schemeClr val="accent6"/>
          </a:solidFill>
          <a:ln>
            <a:noFill/>
          </a:ln>
          <a:effectLst/>
        </c:spPr>
        <c:marker>
          <c:symbol val="none"/>
        </c:marker>
      </c:pivotFmt>
      <c:pivotFmt>
        <c:idx val="13"/>
        <c:spPr>
          <a:solidFill>
            <a:schemeClr val="tx1"/>
          </a:solidFill>
          <a:ln>
            <a:noFill/>
          </a:ln>
          <a:effectLst/>
        </c:spPr>
        <c:marker>
          <c:symbol val="none"/>
        </c:marker>
      </c:pivotFmt>
      <c:pivotFmt>
        <c:idx val="14"/>
        <c:spPr>
          <a:solidFill>
            <a:srgbClr val="FF0000"/>
          </a:solidFill>
          <a:ln>
            <a:noFill/>
          </a:ln>
          <a:effectLst/>
        </c:spPr>
        <c:marker>
          <c:symbol val="none"/>
        </c:marker>
      </c:pivotFmt>
      <c:pivotFmt>
        <c:idx val="15"/>
        <c:spPr>
          <a:solidFill>
            <a:srgbClr val="FFFF00"/>
          </a:solidFill>
          <a:ln>
            <a:noFill/>
          </a:ln>
          <a:effectLst/>
        </c:spPr>
        <c:marker>
          <c:symbol val="none"/>
        </c:marker>
      </c:pivotFmt>
      <c:pivotFmt>
        <c:idx val="16"/>
        <c:spPr>
          <a:solidFill>
            <a:schemeClr val="accent6"/>
          </a:solidFill>
          <a:ln>
            <a:noFill/>
          </a:ln>
          <a:effectLst/>
        </c:spPr>
        <c:marker>
          <c:symbol val="none"/>
        </c:marker>
      </c:pivotFmt>
    </c:pivotFmts>
    <c:plotArea>
      <c:layout/>
      <c:barChart>
        <c:barDir val="col"/>
        <c:grouping val="stacked"/>
        <c:varyColors val="0"/>
        <c:ser>
          <c:idx val="0"/>
          <c:order val="0"/>
          <c:tx>
            <c:strRef>
              <c:f>'State by Category'!$B$3:$B$4</c:f>
              <c:strCache>
                <c:ptCount val="1"/>
                <c:pt idx="0">
                  <c:v>canceled</c:v>
                </c:pt>
              </c:strCache>
            </c:strRef>
          </c:tx>
          <c:spPr>
            <a:solidFill>
              <a:schemeClr val="tx1"/>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CA8-0146-8CD2-C5317840830E}"/>
            </c:ext>
          </c:extLst>
        </c:ser>
        <c:ser>
          <c:idx val="1"/>
          <c:order val="1"/>
          <c:tx>
            <c:strRef>
              <c:f>'State by Category'!$C$3:$C$4</c:f>
              <c:strCache>
                <c:ptCount val="1"/>
                <c:pt idx="0">
                  <c:v>failed</c:v>
                </c:pt>
              </c:strCache>
            </c:strRef>
          </c:tx>
          <c:spPr>
            <a:solidFill>
              <a:srgbClr val="FF0000"/>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8CA8-0146-8CD2-C5317840830E}"/>
            </c:ext>
          </c:extLst>
        </c:ser>
        <c:ser>
          <c:idx val="2"/>
          <c:order val="2"/>
          <c:tx>
            <c:strRef>
              <c:f>'State by Category'!$D$3:$D$4</c:f>
              <c:strCache>
                <c:ptCount val="1"/>
                <c:pt idx="0">
                  <c:v>live</c:v>
                </c:pt>
              </c:strCache>
            </c:strRef>
          </c:tx>
          <c:spPr>
            <a:solidFill>
              <a:srgbClr val="FFFF00"/>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8CA8-0146-8CD2-C5317840830E}"/>
            </c:ext>
          </c:extLst>
        </c:ser>
        <c:ser>
          <c:idx val="3"/>
          <c:order val="3"/>
          <c:tx>
            <c:strRef>
              <c:f>'State by Category'!$E$3:$E$4</c:f>
              <c:strCache>
                <c:ptCount val="1"/>
                <c:pt idx="0">
                  <c:v>successful</c:v>
                </c:pt>
              </c:strCache>
            </c:strRef>
          </c:tx>
          <c:spPr>
            <a:solidFill>
              <a:schemeClr val="accent6"/>
            </a:solidFill>
            <a:ln>
              <a:noFill/>
            </a:ln>
            <a:effectLst/>
          </c:spPr>
          <c:invertIfNegative val="0"/>
          <c:cat>
            <c:strRef>
              <c:f>'State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'State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CA8-0146-8CD2-C5317840830E}"/>
            </c:ext>
          </c:extLst>
        </c:ser>
        <c:dLbls>
          <c:showLegendKey val="0"/>
          <c:showVal val="0"/>
          <c:showCatName val="0"/>
          <c:showSerName val="0"/>
          <c:showPercent val="0"/>
          <c:showBubbleSize val="0"/>
        </c:dLbls>
        <c:gapWidth val="219"/>
        <c:overlap val="100"/>
        <c:axId val="659329632"/>
        <c:axId val="721167296"/>
      </c:barChart>
      <c:catAx>
        <c:axId val="65932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21167296"/>
        <c:crosses val="autoZero"/>
        <c:auto val="1"/>
        <c:lblAlgn val="ctr"/>
        <c:lblOffset val="100"/>
        <c:noMultiLvlLbl val="0"/>
      </c:catAx>
      <c:valAx>
        <c:axId val="721167296"/>
        <c:scaling>
          <c:orientation val="minMax"/>
          <c:max val="1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65932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tab 2018 07 15.xlsx]State by Subcategory!PivotTable5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tx1"/>
          </a:solidFill>
          <a:ln>
            <a:noFill/>
          </a:ln>
          <a:effectLst/>
        </c:spPr>
        <c:marker>
          <c:symbol val="none"/>
        </c:marker>
      </c:pivotFmt>
      <c:pivotFmt>
        <c:idx val="1"/>
        <c:spPr>
          <a:solidFill>
            <a:srgbClr val="FF0000"/>
          </a:solidFill>
          <a:ln>
            <a:noFill/>
          </a:ln>
          <a:effectLst/>
        </c:spPr>
        <c:marker>
          <c:symbol val="none"/>
        </c:marker>
      </c:pivotFmt>
      <c:pivotFmt>
        <c:idx val="2"/>
        <c:spPr>
          <a:solidFill>
            <a:srgbClr val="FFFF00"/>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pivotFmt>
      <c:pivotFmt>
        <c:idx val="5"/>
        <c:spPr>
          <a:solidFill>
            <a:schemeClr val="tx1"/>
          </a:solidFill>
          <a:ln>
            <a:noFill/>
          </a:ln>
          <a:effectLst/>
        </c:spPr>
        <c:marker>
          <c:symbol val="none"/>
        </c:marker>
      </c:pivotFmt>
      <c:pivotFmt>
        <c:idx val="6"/>
        <c:spPr>
          <a:solidFill>
            <a:srgbClr val="FF0000"/>
          </a:solidFill>
          <a:ln>
            <a:noFill/>
          </a:ln>
          <a:effectLst/>
        </c:spPr>
        <c:marker>
          <c:symbol val="none"/>
        </c:marker>
      </c:pivotFmt>
      <c:pivotFmt>
        <c:idx val="7"/>
        <c:spPr>
          <a:solidFill>
            <a:srgbClr val="FFFF00"/>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tx1"/>
          </a:solidFill>
          <a:ln>
            <a:noFill/>
          </a:ln>
          <a:effectLst/>
        </c:spPr>
        <c:marker>
          <c:symbol val="none"/>
        </c:marker>
      </c:pivotFmt>
      <c:pivotFmt>
        <c:idx val="10"/>
        <c:spPr>
          <a:solidFill>
            <a:srgbClr val="FF0000"/>
          </a:solidFill>
          <a:ln>
            <a:noFill/>
          </a:ln>
          <a:effectLst/>
        </c:spPr>
        <c:marker>
          <c:symbol val="none"/>
        </c:marker>
      </c:pivotFmt>
      <c:pivotFmt>
        <c:idx val="11"/>
        <c:spPr>
          <a:solidFill>
            <a:srgbClr val="FFFF00"/>
          </a:solidFill>
          <a:ln>
            <a:noFill/>
          </a:ln>
          <a:effectLst/>
        </c:spPr>
        <c:marker>
          <c:symbol val="none"/>
        </c:marker>
      </c:pivotFmt>
      <c:pivotFmt>
        <c:idx val="12"/>
        <c:spPr>
          <a:solidFill>
            <a:schemeClr val="accent6"/>
          </a:solidFill>
          <a:ln>
            <a:noFill/>
          </a:ln>
          <a:effectLst/>
        </c:spPr>
        <c:marker>
          <c:symbol val="none"/>
        </c:marker>
      </c:pivotFmt>
    </c:pivotFmts>
    <c:plotArea>
      <c:layout/>
      <c:barChart>
        <c:barDir val="col"/>
        <c:grouping val="stacked"/>
        <c:varyColors val="0"/>
        <c:ser>
          <c:idx val="0"/>
          <c:order val="0"/>
          <c:tx>
            <c:strRef>
              <c:f>'State by Subcategory'!$B$4:$B$5</c:f>
              <c:strCache>
                <c:ptCount val="1"/>
                <c:pt idx="0">
                  <c:v>canceled</c:v>
                </c:pt>
              </c:strCache>
            </c:strRef>
          </c:tx>
          <c:spPr>
            <a:solidFill>
              <a:schemeClr val="tx1"/>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E20-FF4F-A833-75AA521BC0B6}"/>
            </c:ext>
          </c:extLst>
        </c:ser>
        <c:ser>
          <c:idx val="1"/>
          <c:order val="1"/>
          <c:tx>
            <c:strRef>
              <c:f>'State by Subcategory'!$C$4:$C$5</c:f>
              <c:strCache>
                <c:ptCount val="1"/>
                <c:pt idx="0">
                  <c:v>failed</c:v>
                </c:pt>
              </c:strCache>
            </c:strRef>
          </c:tx>
          <c:spPr>
            <a:solidFill>
              <a:srgbClr val="FF0000"/>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E20-FF4F-A833-75AA521BC0B6}"/>
            </c:ext>
          </c:extLst>
        </c:ser>
        <c:ser>
          <c:idx val="2"/>
          <c:order val="2"/>
          <c:tx>
            <c:strRef>
              <c:f>'State by Subcategory'!$D$4:$D$5</c:f>
              <c:strCache>
                <c:ptCount val="1"/>
                <c:pt idx="0">
                  <c:v>live</c:v>
                </c:pt>
              </c:strCache>
            </c:strRef>
          </c:tx>
          <c:spPr>
            <a:solidFill>
              <a:srgbClr val="FFFF00"/>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E20-FF4F-A833-75AA521BC0B6}"/>
            </c:ext>
          </c:extLst>
        </c:ser>
        <c:ser>
          <c:idx val="3"/>
          <c:order val="3"/>
          <c:tx>
            <c:strRef>
              <c:f>'State by Subcategory'!$E$4:$E$5</c:f>
              <c:strCache>
                <c:ptCount val="1"/>
                <c:pt idx="0">
                  <c:v>successful</c:v>
                </c:pt>
              </c:strCache>
            </c:strRef>
          </c:tx>
          <c:spPr>
            <a:solidFill>
              <a:schemeClr val="accent6"/>
            </a:solidFill>
            <a:ln>
              <a:noFill/>
            </a:ln>
            <a:effectLst/>
          </c:spPr>
          <c:invertIfNegative val="0"/>
          <c:cat>
            <c:strRef>
              <c:f>'State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'State by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E20-FF4F-A833-75AA521BC0B6}"/>
            </c:ext>
          </c:extLst>
        </c:ser>
        <c:dLbls>
          <c:showLegendKey val="0"/>
          <c:showVal val="0"/>
          <c:showCatName val="0"/>
          <c:showSerName val="0"/>
          <c:showPercent val="0"/>
          <c:showBubbleSize val="0"/>
        </c:dLbls>
        <c:gapWidth val="219"/>
        <c:overlap val="100"/>
        <c:axId val="731871872"/>
        <c:axId val="731002640"/>
      </c:barChart>
      <c:catAx>
        <c:axId val="7318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02640"/>
        <c:crosses val="autoZero"/>
        <c:auto val="1"/>
        <c:lblAlgn val="ctr"/>
        <c:lblOffset val="100"/>
        <c:noMultiLvlLbl val="0"/>
      </c:catAx>
      <c:valAx>
        <c:axId val="73100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71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tab 2018 07 15.xlsx]State by Year!PivotTable10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a:t>
            </a:r>
            <a:r>
              <a:rPr lang="en-US" baseline="0"/>
              <a:t>by Month Started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tx1"/>
            </a:solidFill>
            <a:round/>
          </a:ln>
          <a:effectLst/>
        </c:spPr>
        <c:marker>
          <c:symbol val="none"/>
        </c:marker>
      </c:pivotFmt>
      <c:pivotFmt>
        <c:idx val="1"/>
        <c:spPr>
          <a:solidFill>
            <a:schemeClr val="accent1"/>
          </a:solidFill>
          <a:ln w="28575" cap="rnd">
            <a:solidFill>
              <a:srgbClr val="FF0000"/>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6"/>
            </a:solidFill>
            <a:round/>
          </a:ln>
          <a:effectLst/>
        </c:spPr>
        <c:marker>
          <c:symbol val="none"/>
        </c:marker>
      </c:pivotFmt>
      <c:pivotFmt>
        <c:idx val="4"/>
        <c:spPr>
          <a:solidFill>
            <a:schemeClr val="accent1"/>
          </a:solidFill>
          <a:ln w="28575" cap="rnd">
            <a:solidFill>
              <a:schemeClr val="tx1"/>
            </a:solidFill>
            <a:round/>
          </a:ln>
          <a:effectLst/>
        </c:spPr>
        <c:marker>
          <c:symbol val="none"/>
        </c:marker>
      </c:pivotFmt>
      <c:pivotFmt>
        <c:idx val="5"/>
        <c:spPr>
          <a:solidFill>
            <a:schemeClr val="accent1"/>
          </a:solidFill>
          <a:ln w="28575" cap="rnd">
            <a:solidFill>
              <a:srgbClr val="FF0000"/>
            </a:solidFill>
            <a:round/>
          </a:ln>
          <a:effectLst/>
        </c:spPr>
        <c:marker>
          <c:symbol val="none"/>
        </c:marker>
      </c:pivotFmt>
      <c:pivotFmt>
        <c:idx val="6"/>
        <c:spPr>
          <a:solidFill>
            <a:schemeClr val="accent1"/>
          </a:solidFill>
          <a:ln w="28575" cap="rnd">
            <a:solidFill>
              <a:schemeClr val="accent6"/>
            </a:solidFill>
            <a:round/>
          </a:ln>
          <a:effectLst/>
        </c:spPr>
        <c:marker>
          <c:symbol val="none"/>
        </c:marker>
      </c:pivotFmt>
      <c:pivotFmt>
        <c:idx val="7"/>
        <c:spPr>
          <a:solidFill>
            <a:schemeClr val="accent1"/>
          </a:solidFill>
          <a:ln w="28575" cap="rnd">
            <a:solidFill>
              <a:schemeClr val="tx1"/>
            </a:solidFill>
            <a:round/>
          </a:ln>
          <a:effectLst/>
        </c:spPr>
        <c:marker>
          <c:symbol val="none"/>
        </c:marker>
      </c:pivotFmt>
      <c:pivotFmt>
        <c:idx val="8"/>
        <c:spPr>
          <a:solidFill>
            <a:schemeClr val="accent1"/>
          </a:solidFill>
          <a:ln w="28575" cap="rnd">
            <a:solidFill>
              <a:srgbClr val="FF0000"/>
            </a:solidFill>
            <a:round/>
          </a:ln>
          <a:effectLst/>
        </c:spPr>
        <c:marker>
          <c:symbol val="none"/>
        </c:marker>
      </c:pivotFmt>
      <c:pivotFmt>
        <c:idx val="9"/>
        <c:spPr>
          <a:solidFill>
            <a:schemeClr val="accent1"/>
          </a:solidFill>
          <a:ln w="28575" cap="rnd">
            <a:solidFill>
              <a:schemeClr val="accent6"/>
            </a:solidFill>
            <a:round/>
          </a:ln>
          <a:effectLst/>
        </c:spPr>
        <c:marker>
          <c:symbol val="none"/>
        </c:marker>
      </c:pivotFmt>
    </c:pivotFmts>
    <c:plotArea>
      <c:layout/>
      <c:lineChart>
        <c:grouping val="standard"/>
        <c:varyColors val="0"/>
        <c:ser>
          <c:idx val="0"/>
          <c:order val="0"/>
          <c:tx>
            <c:strRef>
              <c:f>'State by Year'!$B$5:$B$6</c:f>
              <c:strCache>
                <c:ptCount val="1"/>
                <c:pt idx="0">
                  <c:v>canceled</c:v>
                </c:pt>
              </c:strCache>
            </c:strRef>
          </c:tx>
          <c:spPr>
            <a:ln w="28575" cap="rnd">
              <a:solidFill>
                <a:schemeClr val="tx1"/>
              </a:solidFill>
              <a:round/>
            </a:ln>
            <a:effectLst/>
          </c:spPr>
          <c:marker>
            <c:symbol val="none"/>
          </c:marker>
          <c:cat>
            <c:strRef>
              <c:f>'State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Year'!$B$7:$B$19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DCA7-3145-BA0F-ACB724FF1D67}"/>
            </c:ext>
          </c:extLst>
        </c:ser>
        <c:ser>
          <c:idx val="1"/>
          <c:order val="1"/>
          <c:tx>
            <c:strRef>
              <c:f>'State by Year'!$C$5:$C$6</c:f>
              <c:strCache>
                <c:ptCount val="1"/>
                <c:pt idx="0">
                  <c:v>failed</c:v>
                </c:pt>
              </c:strCache>
            </c:strRef>
          </c:tx>
          <c:spPr>
            <a:ln w="28575" cap="rnd">
              <a:solidFill>
                <a:srgbClr val="FF0000"/>
              </a:solidFill>
              <a:round/>
            </a:ln>
            <a:effectLst/>
          </c:spPr>
          <c:marker>
            <c:symbol val="none"/>
          </c:marker>
          <c:cat>
            <c:strRef>
              <c:f>'State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Year'!$C$7:$C$19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DCA7-3145-BA0F-ACB724FF1D67}"/>
            </c:ext>
          </c:extLst>
        </c:ser>
        <c:ser>
          <c:idx val="2"/>
          <c:order val="2"/>
          <c:tx>
            <c:strRef>
              <c:f>'State by Year'!$D$5:$D$6</c:f>
              <c:strCache>
                <c:ptCount val="1"/>
                <c:pt idx="0">
                  <c:v>successful</c:v>
                </c:pt>
              </c:strCache>
            </c:strRef>
          </c:tx>
          <c:spPr>
            <a:ln w="28575" cap="rnd">
              <a:solidFill>
                <a:schemeClr val="accent6"/>
              </a:solidFill>
              <a:round/>
            </a:ln>
            <a:effectLst/>
          </c:spPr>
          <c:marker>
            <c:symbol val="none"/>
          </c:marker>
          <c:cat>
            <c:strRef>
              <c:f>'State by Year'!$A$7:$A$19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'State by Year'!$D$7:$D$19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DCA7-3145-BA0F-ACB724FF1D67}"/>
            </c:ext>
          </c:extLst>
        </c:ser>
        <c:dLbls>
          <c:showLegendKey val="0"/>
          <c:showVal val="0"/>
          <c:showCatName val="0"/>
          <c:showSerName val="0"/>
          <c:showPercent val="0"/>
          <c:showBubbleSize val="0"/>
        </c:dLbls>
        <c:smooth val="0"/>
        <c:axId val="720019984"/>
        <c:axId val="838770096"/>
      </c:lineChart>
      <c:catAx>
        <c:axId val="72001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770096"/>
        <c:crosses val="autoZero"/>
        <c:auto val="1"/>
        <c:lblAlgn val="ctr"/>
        <c:lblOffset val="100"/>
        <c:noMultiLvlLbl val="0"/>
      </c:catAx>
      <c:valAx>
        <c:axId val="83877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019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Research Paper.dotx</Template>
  <TotalTime>0</TotalTime>
  <Pages>4</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Bailey</dc:creator>
  <cp:keywords/>
  <dc:description/>
  <cp:lastModifiedBy>Troy Bailey</cp:lastModifiedBy>
  <cp:revision>2</cp:revision>
  <dcterms:created xsi:type="dcterms:W3CDTF">2018-07-21T03:42:00Z</dcterms:created>
  <dcterms:modified xsi:type="dcterms:W3CDTF">2018-07-21T03:42:00Z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