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pPr>
      <w:r>
        <w:rPr>
          <w:rFonts w:ascii="Arial" w:hAnsi="Arial" w:eastAsia="Microsoft YaHei"/>
          <w:b/>
          <w:color w:val="3D8DFF"/>
          <w:sz w:val="22"/>
        </w:rPr>
        <w:t>SYSTEM DESIGN</w:t>
      </w:r>
    </w:p>
    <w:p>
      <w:pPr>
        <w:spacing w:before="360" w:after="240"/>
      </w:pPr>
      <w:r>
        <w:rPr>
          <w:rFonts w:ascii="Arial" w:hAnsi="Arial" w:eastAsia="Microsoft YaHei"/>
          <w:b/>
          <w:color w:val="16324F"/>
          <w:sz w:val="54"/>
        </w:rPr>
        <w:t>企业级 AI BI / 受控 NL2SQL 平台</w:t>
      </w:r>
    </w:p>
    <w:p>
      <w:pPr>
        <w:spacing w:after="680"/>
      </w:pPr>
      <w:r>
        <w:rPr>
          <w:rFonts w:ascii="Arial" w:hAnsi="Arial" w:eastAsia="Microsoft YaHei"/>
          <w:b/>
          <w:color w:val="1F4D78"/>
          <w:sz w:val="38"/>
        </w:rPr>
        <w:t>系统详细设计说明书</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EAF5FB"/>
          </w:tcPr>
          <w:p>
            <w:pPr>
              <w:spacing w:after="40"/>
            </w:pPr>
            <w:r>
              <w:rPr>
                <w:rFonts w:ascii="Arial" w:hAnsi="Arial" w:eastAsia="Microsoft YaHei"/>
                <w:b/>
                <w:color w:val="2E74B5"/>
                <w:sz w:val="21"/>
              </w:rPr>
              <w:t xml:space="preserve">设计定位  </w:t>
            </w:r>
            <w:r>
              <w:rPr>
                <w:rFonts w:ascii="Arial" w:hAnsi="Arial" w:eastAsia="Microsoft YaHei"/>
                <w:color w:val="17202A"/>
                <w:sz w:val="21"/>
              </w:rPr>
              <w:t>面向企业数据问答、智能报告与 AI 知识治理，以“准确、可控、可追溯、可离线”为核心设计目标。</w:t>
            </w:r>
          </w:p>
        </w:tc>
      </w:tr>
    </w:tbl>
    <w:p>
      <w:pPr>
        <w:spacing w:after="40"/>
      </w:pPr>
    </w:p>
    <w:tbl>
      <w:tblPr>
        <w:tblW w:type="dxa" w:w="9360"/>
        <w:tblLayout w:type="fixed"/>
        <w:tblLook w:firstColumn="1" w:firstRow="1" w:lastColumn="0" w:lastRow="0" w:noHBand="0" w:noVBand="1" w:val="04A0"/>
        <w:jc w:val="left"/>
        <w:tblInd w:w="120" w:type="dxa"/>
      </w:tblPr>
      <w:tblGrid>
        <w:gridCol w:w="1900"/>
        <w:gridCol w:w="7460"/>
      </w:tblGrid>
      <w:tr>
        <w:trPr>
          <w:trHeight w:hRule="atLeast"/>
          <w:tblHeader w:val="true"/>
        </w:trPr>
        <w:tc>
          <w:tcPr>
            <w:tcW w:type="dxa" w:w="1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20"/>
              </w:rPr>
              <w:t>项目</w:t>
            </w:r>
          </w:p>
        </w:tc>
        <w:tc>
          <w:tcPr>
            <w:tcW w:type="dxa" w:w="74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20"/>
              </w:rPr>
              <w:t>内容</w:t>
            </w:r>
          </w:p>
        </w:tc>
      </w:tr>
      <w:tr>
        <w:trPr>
          <w:trHeight w:hRule="atLeast"/>
        </w:trPr>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20"/>
              </w:rPr>
              <w:t>文档版本</w:t>
            </w:r>
          </w:p>
        </w:tc>
        <w:tc>
          <w:tcPr>
            <w:tcW w:type="dxa" w:w="7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20"/>
              </w:rPr>
              <w:t>V1.0</w:t>
            </w:r>
          </w:p>
        </w:tc>
      </w:tr>
      <w:tr>
        <w:trPr>
          <w:trHeight w:hRule="atLeast"/>
        </w:trPr>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20"/>
              </w:rPr>
              <w:t>系统版本</w:t>
            </w:r>
          </w:p>
        </w:tc>
        <w:tc>
          <w:tcPr>
            <w:tcW w:type="dxa" w:w="7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20"/>
              </w:rPr>
              <w:t>0.1.0-SNAPSHOT / 当前可运行 MVP</w:t>
            </w:r>
          </w:p>
        </w:tc>
      </w:tr>
      <w:tr>
        <w:trPr>
          <w:trHeight w:hRule="atLeast"/>
        </w:trPr>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20"/>
              </w:rPr>
              <w:t>技术基线</w:t>
            </w:r>
          </w:p>
        </w:tc>
        <w:tc>
          <w:tcPr>
            <w:tcW w:type="dxa" w:w="7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20"/>
              </w:rPr>
              <w:t>Vue 3 + Spring Boot 3.5.9 + Oracle 19c + Qdrant + 可插拔模型网关</w:t>
            </w:r>
          </w:p>
        </w:tc>
      </w:tr>
      <w:tr>
        <w:trPr>
          <w:trHeight w:hRule="atLeast"/>
        </w:trPr>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20"/>
              </w:rPr>
              <w:t>编制日期</w:t>
            </w:r>
          </w:p>
        </w:tc>
        <w:tc>
          <w:tcPr>
            <w:tcW w:type="dxa" w:w="7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20"/>
              </w:rPr>
              <w:t>2026-08-17</w:t>
            </w:r>
          </w:p>
        </w:tc>
      </w:tr>
      <w:tr>
        <w:trPr>
          <w:trHeight w:hRule="atLeast"/>
        </w:trPr>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20"/>
              </w:rPr>
              <w:t>文档属性</w:t>
            </w:r>
          </w:p>
        </w:tc>
        <w:tc>
          <w:tcPr>
            <w:tcW w:type="dxa" w:w="7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20"/>
              </w:rPr>
              <w:t>内部设计与 AI 安全评审材料</w:t>
            </w:r>
          </w:p>
        </w:tc>
      </w:tr>
    </w:tbl>
    <w:p>
      <w:pPr>
        <w:spacing w:after="40"/>
      </w:pPr>
    </w:p>
    <w:p>
      <w:pPr>
        <w:spacing w:before="1000"/>
        <w:jc w:val="center"/>
      </w:pPr>
      <w:r>
        <w:rPr>
          <w:rFonts w:ascii="Arial" w:hAnsi="Arial" w:eastAsia="Microsoft YaHei"/>
          <w:b/>
          <w:color w:val="667085"/>
          <w:sz w:val="22"/>
        </w:rPr>
        <w:t>AI 企业数据智能平台</w:t>
      </w:r>
    </w:p>
    <w:p>
      <w:r>
        <w:br w:type="page"/>
      </w:r>
    </w:p>
    <w:p>
      <w:pPr>
        <w:pStyle w:val="Heading1"/>
        <w:keepNext/>
        <w:pageBreakBefore/>
      </w:pPr>
      <w:r>
        <w:rPr>
          <w:rFonts w:ascii="Arial" w:hAnsi="Arial" w:eastAsia="Microsoft YaHei"/>
          <w:b/>
          <w:color w:val="2E74B5"/>
          <w:sz w:val="32"/>
        </w:rPr>
        <w:t>文档控制</w:t>
      </w:r>
    </w:p>
    <w:tbl>
      <w:tblPr>
        <w:tblW w:type="dxa" w:w="9360"/>
        <w:tblLayout w:type="fixed"/>
        <w:tblLook w:firstColumn="1" w:firstRow="1" w:lastColumn="0" w:lastRow="0" w:noHBand="0" w:noVBand="1" w:val="04A0"/>
        <w:jc w:val="left"/>
        <w:tblInd w:w="120" w:type="dxa"/>
      </w:tblPr>
      <w:tblGrid>
        <w:gridCol w:w="1100"/>
        <w:gridCol w:w="1500"/>
        <w:gridCol w:w="1300"/>
        <w:gridCol w:w="5460"/>
      </w:tblGrid>
      <w:tr>
        <w:trPr>
          <w:trHeight w:hRule="atLeast"/>
          <w:tblHeader w:val="true"/>
        </w:trPr>
        <w:tc>
          <w:tcPr>
            <w:tcW w:type="dxa" w:w="11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9"/>
              </w:rPr>
              <w:t>版本</w:t>
            </w:r>
          </w:p>
        </w:tc>
        <w:tc>
          <w:tcPr>
            <w:tcW w:type="dxa" w:w="15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9"/>
              </w:rPr>
              <w:t>日期</w:t>
            </w:r>
          </w:p>
        </w:tc>
        <w:tc>
          <w:tcPr>
            <w:tcW w:type="dxa" w:w="13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9"/>
              </w:rPr>
              <w:t>状态</w:t>
            </w:r>
          </w:p>
        </w:tc>
        <w:tc>
          <w:tcPr>
            <w:tcW w:type="dxa" w:w="54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9"/>
              </w:rPr>
              <w:t>说明</w:t>
            </w:r>
          </w:p>
        </w:tc>
      </w:tr>
      <w:tr>
        <w:trPr>
          <w:trHeight w:hRule="atLeast"/>
        </w:trPr>
        <w:tc>
          <w:tcPr>
            <w:tcW w:type="dxa" w:w="1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9"/>
              </w:rPr>
              <w:t>V1.0</w:t>
            </w:r>
          </w:p>
        </w:tc>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9"/>
              </w:rPr>
              <w:t>2026-08-17</w:t>
            </w:r>
          </w:p>
        </w:tc>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9"/>
              </w:rPr>
              <w:t>评审版</w:t>
            </w:r>
          </w:p>
        </w:tc>
        <w:tc>
          <w:tcPr>
            <w:tcW w:type="dxa" w:w="5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9"/>
              </w:rPr>
              <w:t>依据当前源代码、Oracle 迁移、前端页面与本机验收记录编制</w:t>
            </w:r>
          </w:p>
        </w:tc>
      </w:tr>
    </w:tbl>
    <w:p>
      <w:pPr>
        <w:spacing w:after="40"/>
      </w:pPr>
    </w:p>
    <w:p>
      <w:pPr>
        <w:pStyle w:val="Heading2"/>
        <w:keepNext/>
        <w:pageBreakBefore w:val="0"/>
      </w:pPr>
      <w:r>
        <w:rPr>
          <w:rFonts w:ascii="Arial" w:hAnsi="Arial" w:eastAsia="Microsoft YaHei"/>
          <w:b/>
          <w:color w:val="2E74B5"/>
          <w:sz w:val="26"/>
        </w:rPr>
        <w:t>阅读说明</w:t>
      </w:r>
    </w:p>
    <w:p>
      <w:pPr>
        <w:pStyle w:val="ListBullet"/>
        <w:keepNext w:val="0"/>
        <w:spacing w:before="0" w:after="80" w:line="264" w:lineRule="auto"/>
        <w:ind w:left="720" w:hanging="360"/>
      </w:pPr>
      <w:r>
        <w:rPr>
          <w:rFonts w:ascii="Arial" w:hAnsi="Arial" w:eastAsia="Microsoft YaHei"/>
          <w:i w:val="0"/>
          <w:color w:val="17202A"/>
          <w:sz w:val="22"/>
        </w:rPr>
        <w:t>“现状（AS-IS）”描述当前代码已经实现并验证的能力。</w:t>
      </w:r>
    </w:p>
    <w:p>
      <w:pPr>
        <w:pStyle w:val="ListBullet"/>
        <w:keepNext w:val="0"/>
        <w:spacing w:before="0" w:after="80" w:line="264" w:lineRule="auto"/>
        <w:ind w:left="720" w:hanging="360"/>
      </w:pPr>
      <w:r>
        <w:rPr>
          <w:rFonts w:ascii="Arial" w:hAnsi="Arial" w:eastAsia="Microsoft YaHei"/>
          <w:i w:val="0"/>
          <w:color w:val="17202A"/>
          <w:sz w:val="22"/>
        </w:rPr>
        <w:t>“目标（TO-BE）”描述面向企业生产环境必须补齐的安全、隔离、治理和高可用能力。</w:t>
      </w:r>
    </w:p>
    <w:p>
      <w:pPr>
        <w:pStyle w:val="ListBullet"/>
        <w:keepNext w:val="0"/>
        <w:spacing w:before="0" w:after="80" w:line="264" w:lineRule="auto"/>
        <w:ind w:left="720" w:hanging="360"/>
      </w:pPr>
      <w:r>
        <w:rPr>
          <w:rFonts w:ascii="Arial" w:hAnsi="Arial" w:eastAsia="Microsoft YaHei"/>
          <w:i w:val="0"/>
          <w:color w:val="17202A"/>
          <w:sz w:val="22"/>
        </w:rPr>
        <w:t>文档不把规划能力包装成已实现能力；风险与差距统一在第 18 章登记。</w:t>
      </w:r>
    </w:p>
    <w:p>
      <w:pPr>
        <w:pStyle w:val="ListBullet"/>
        <w:keepNext w:val="0"/>
        <w:spacing w:before="0" w:after="80" w:line="264" w:lineRule="auto"/>
        <w:ind w:left="720" w:hanging="360"/>
      </w:pPr>
      <w:r>
        <w:rPr>
          <w:rFonts w:ascii="Arial" w:hAnsi="Arial" w:eastAsia="Microsoft YaHei"/>
          <w:i w:val="0"/>
          <w:color w:val="17202A"/>
          <w:sz w:val="22"/>
        </w:rPr>
        <w:t>示例业务域包括销售分析与晶圆代工 Foundry 360（Product / Customer / Application 360）。</w:t>
      </w:r>
    </w:p>
    <w:p>
      <w:pPr>
        <w:pStyle w:val="Heading1"/>
        <w:keepNext/>
        <w:pageBreakBefore/>
      </w:pPr>
      <w:r>
        <w:rPr>
          <w:rFonts w:ascii="Arial" w:hAnsi="Arial" w:eastAsia="Microsoft YaHei"/>
          <w:b/>
          <w:color w:val="2E74B5"/>
          <w:sz w:val="32"/>
        </w:rPr>
        <w:t>目录</w:t>
      </w:r>
    </w:p>
    <w:p>
      <w:pPr>
        <w:pStyle w:val="ListNumber"/>
        <w:keepNext w:val="0"/>
        <w:spacing w:before="0" w:after="100" w:line="264" w:lineRule="auto"/>
        <w:ind w:left="720" w:hanging="360"/>
      </w:pPr>
      <w:r>
        <w:rPr>
          <w:rFonts w:ascii="Arial" w:hAnsi="Arial" w:eastAsia="Microsoft YaHei"/>
          <w:i w:val="0"/>
          <w:color w:val="17202A"/>
          <w:sz w:val="22"/>
        </w:rPr>
        <w:t>1. 执行摘要与产品定位</w:t>
      </w:r>
    </w:p>
    <w:p>
      <w:pPr>
        <w:pStyle w:val="ListNumber"/>
        <w:keepNext w:val="0"/>
        <w:spacing w:before="0" w:after="100" w:line="264" w:lineRule="auto"/>
        <w:ind w:left="720" w:hanging="360"/>
      </w:pPr>
      <w:r>
        <w:rPr>
          <w:rFonts w:ascii="Arial" w:hAnsi="Arial" w:eastAsia="Microsoft YaHei"/>
          <w:i w:val="0"/>
          <w:color w:val="17202A"/>
          <w:sz w:val="22"/>
        </w:rPr>
        <w:t>2. 设计范围、假设与约束</w:t>
      </w:r>
    </w:p>
    <w:p>
      <w:pPr>
        <w:pStyle w:val="ListNumber"/>
        <w:keepNext w:val="0"/>
        <w:spacing w:before="0" w:after="100" w:line="264" w:lineRule="auto"/>
        <w:ind w:left="720" w:hanging="360"/>
      </w:pPr>
      <w:r>
        <w:rPr>
          <w:rFonts w:ascii="Arial" w:hAnsi="Arial" w:eastAsia="Microsoft YaHei"/>
          <w:i w:val="0"/>
          <w:color w:val="17202A"/>
          <w:sz w:val="22"/>
        </w:rPr>
        <w:t>3. 需求与质量目标</w:t>
      </w:r>
    </w:p>
    <w:p>
      <w:pPr>
        <w:pStyle w:val="ListNumber"/>
        <w:keepNext w:val="0"/>
        <w:spacing w:before="0" w:after="100" w:line="264" w:lineRule="auto"/>
        <w:ind w:left="720" w:hanging="360"/>
      </w:pPr>
      <w:r>
        <w:rPr>
          <w:rFonts w:ascii="Arial" w:hAnsi="Arial" w:eastAsia="Microsoft YaHei"/>
          <w:i w:val="0"/>
          <w:color w:val="17202A"/>
          <w:sz w:val="22"/>
        </w:rPr>
        <w:t>4. 设计原则</w:t>
      </w:r>
    </w:p>
    <w:p>
      <w:pPr>
        <w:pStyle w:val="ListNumber"/>
        <w:keepNext w:val="0"/>
        <w:spacing w:before="0" w:after="100" w:line="264" w:lineRule="auto"/>
        <w:ind w:left="720" w:hanging="360"/>
      </w:pPr>
      <w:r>
        <w:rPr>
          <w:rFonts w:ascii="Arial" w:hAnsi="Arial" w:eastAsia="Microsoft YaHei"/>
          <w:i w:val="0"/>
          <w:color w:val="17202A"/>
          <w:sz w:val="22"/>
        </w:rPr>
        <w:t>5. 总体架构设计</w:t>
      </w:r>
    </w:p>
    <w:p>
      <w:pPr>
        <w:pStyle w:val="ListNumber"/>
        <w:keepNext w:val="0"/>
        <w:spacing w:before="0" w:after="100" w:line="264" w:lineRule="auto"/>
        <w:ind w:left="720" w:hanging="360"/>
      </w:pPr>
      <w:r>
        <w:rPr>
          <w:rFonts w:ascii="Arial" w:hAnsi="Arial" w:eastAsia="Microsoft YaHei"/>
          <w:i w:val="0"/>
          <w:color w:val="17202A"/>
          <w:sz w:val="22"/>
        </w:rPr>
        <w:t>6. 前端系统设计</w:t>
      </w:r>
    </w:p>
    <w:p>
      <w:pPr>
        <w:pStyle w:val="ListNumber"/>
        <w:keepNext w:val="0"/>
        <w:spacing w:before="0" w:after="100" w:line="264" w:lineRule="auto"/>
        <w:ind w:left="720" w:hanging="360"/>
      </w:pPr>
      <w:r>
        <w:rPr>
          <w:rFonts w:ascii="Arial" w:hAnsi="Arial" w:eastAsia="Microsoft YaHei"/>
          <w:i w:val="0"/>
          <w:color w:val="17202A"/>
          <w:sz w:val="22"/>
        </w:rPr>
        <w:t>7. 后端服务设计</w:t>
      </w:r>
    </w:p>
    <w:p>
      <w:pPr>
        <w:pStyle w:val="ListNumber"/>
        <w:keepNext w:val="0"/>
        <w:spacing w:before="0" w:after="100" w:line="264" w:lineRule="auto"/>
        <w:ind w:left="720" w:hanging="360"/>
      </w:pPr>
      <w:r>
        <w:rPr>
          <w:rFonts w:ascii="Arial" w:hAnsi="Arial" w:eastAsia="Microsoft YaHei"/>
          <w:i w:val="0"/>
          <w:color w:val="17202A"/>
          <w:sz w:val="22"/>
        </w:rPr>
        <w:t>8. AI、RAG 与受控 NL2SQL 设计</w:t>
      </w:r>
    </w:p>
    <w:p>
      <w:pPr>
        <w:pStyle w:val="ListNumber"/>
        <w:keepNext w:val="0"/>
        <w:spacing w:before="0" w:after="100" w:line="264" w:lineRule="auto"/>
        <w:ind w:left="720" w:hanging="360"/>
      </w:pPr>
      <w:r>
        <w:rPr>
          <w:rFonts w:ascii="Arial" w:hAnsi="Arial" w:eastAsia="Microsoft YaHei"/>
          <w:i w:val="0"/>
          <w:color w:val="17202A"/>
          <w:sz w:val="22"/>
        </w:rPr>
        <w:t>9. Semantic Layer 与训练中心</w:t>
      </w:r>
    </w:p>
    <w:p>
      <w:pPr>
        <w:pStyle w:val="ListNumber"/>
        <w:keepNext w:val="0"/>
        <w:spacing w:before="0" w:after="100" w:line="264" w:lineRule="auto"/>
        <w:ind w:left="720" w:hanging="360"/>
      </w:pPr>
      <w:r>
        <w:rPr>
          <w:rFonts w:ascii="Arial" w:hAnsi="Arial" w:eastAsia="Microsoft YaHei"/>
          <w:i w:val="0"/>
          <w:color w:val="17202A"/>
          <w:sz w:val="22"/>
        </w:rPr>
        <w:t>10. 智能报告与结果导出</w:t>
      </w:r>
    </w:p>
    <w:p>
      <w:pPr>
        <w:pStyle w:val="ListNumber"/>
        <w:keepNext w:val="0"/>
        <w:spacing w:before="0" w:after="100" w:line="264" w:lineRule="auto"/>
        <w:ind w:left="720" w:hanging="360"/>
      </w:pPr>
      <w:r>
        <w:rPr>
          <w:rFonts w:ascii="Arial" w:hAnsi="Arial" w:eastAsia="Microsoft YaHei"/>
          <w:i w:val="0"/>
          <w:color w:val="17202A"/>
          <w:sz w:val="22"/>
        </w:rPr>
        <w:t>11. 数据库与数据模型</w:t>
      </w:r>
    </w:p>
    <w:p>
      <w:pPr>
        <w:pStyle w:val="ListNumber"/>
        <w:keepNext w:val="0"/>
        <w:spacing w:before="0" w:after="100" w:line="264" w:lineRule="auto"/>
        <w:ind w:left="720" w:hanging="360"/>
      </w:pPr>
      <w:r>
        <w:rPr>
          <w:rFonts w:ascii="Arial" w:hAnsi="Arial" w:eastAsia="Microsoft YaHei"/>
          <w:i w:val="0"/>
          <w:color w:val="17202A"/>
          <w:sz w:val="22"/>
        </w:rPr>
        <w:t>12. API 与错误模型</w:t>
      </w:r>
    </w:p>
    <w:p>
      <w:pPr>
        <w:pStyle w:val="ListNumber"/>
        <w:keepNext w:val="0"/>
        <w:spacing w:before="0" w:after="100" w:line="264" w:lineRule="auto"/>
        <w:ind w:left="720" w:hanging="360"/>
      </w:pPr>
      <w:r>
        <w:rPr>
          <w:rFonts w:ascii="Arial" w:hAnsi="Arial" w:eastAsia="Microsoft YaHei"/>
          <w:i w:val="0"/>
          <w:color w:val="17202A"/>
          <w:sz w:val="22"/>
        </w:rPr>
        <w:t>13. 身份认证与权限</w:t>
      </w:r>
    </w:p>
    <w:p>
      <w:pPr>
        <w:pStyle w:val="ListNumber"/>
        <w:keepNext w:val="0"/>
        <w:spacing w:before="0" w:after="100" w:line="264" w:lineRule="auto"/>
        <w:ind w:left="720" w:hanging="360"/>
      </w:pPr>
      <w:r>
        <w:rPr>
          <w:rFonts w:ascii="Arial" w:hAnsi="Arial" w:eastAsia="Microsoft YaHei"/>
          <w:i w:val="0"/>
          <w:color w:val="17202A"/>
          <w:sz w:val="22"/>
        </w:rPr>
        <w:t>14. 安全体系设计</w:t>
      </w:r>
    </w:p>
    <w:p>
      <w:pPr>
        <w:pStyle w:val="ListNumber"/>
        <w:keepNext w:val="0"/>
        <w:spacing w:before="0" w:after="100" w:line="264" w:lineRule="auto"/>
        <w:ind w:left="720" w:hanging="360"/>
      </w:pPr>
      <w:r>
        <w:rPr>
          <w:rFonts w:ascii="Arial" w:hAnsi="Arial" w:eastAsia="Microsoft YaHei"/>
          <w:i w:val="0"/>
          <w:color w:val="17202A"/>
          <w:sz w:val="22"/>
        </w:rPr>
        <w:t>15. 数据隔离设计</w:t>
      </w:r>
    </w:p>
    <w:p>
      <w:pPr>
        <w:pStyle w:val="ListNumber"/>
        <w:keepNext w:val="0"/>
        <w:spacing w:before="0" w:after="100" w:line="264" w:lineRule="auto"/>
        <w:ind w:left="720" w:hanging="360"/>
      </w:pPr>
      <w:r>
        <w:rPr>
          <w:rFonts w:ascii="Arial" w:hAnsi="Arial" w:eastAsia="Microsoft YaHei"/>
          <w:i w:val="0"/>
          <w:color w:val="17202A"/>
          <w:sz w:val="22"/>
        </w:rPr>
        <w:t>16. 可控 AI 与模型治理</w:t>
      </w:r>
    </w:p>
    <w:p>
      <w:pPr>
        <w:pStyle w:val="ListNumber"/>
        <w:keepNext w:val="0"/>
        <w:spacing w:before="0" w:after="100" w:line="264" w:lineRule="auto"/>
        <w:ind w:left="720" w:hanging="360"/>
      </w:pPr>
      <w:r>
        <w:rPr>
          <w:rFonts w:ascii="Arial" w:hAnsi="Arial" w:eastAsia="Microsoft YaHei"/>
          <w:i w:val="0"/>
          <w:color w:val="17202A"/>
          <w:sz w:val="22"/>
        </w:rPr>
        <w:t>17. 部署、配置与运维</w:t>
      </w:r>
    </w:p>
    <w:p>
      <w:pPr>
        <w:pStyle w:val="ListNumber"/>
        <w:keepNext w:val="0"/>
        <w:spacing w:before="0" w:after="100" w:line="264" w:lineRule="auto"/>
        <w:ind w:left="720" w:hanging="360"/>
      </w:pPr>
      <w:r>
        <w:rPr>
          <w:rFonts w:ascii="Arial" w:hAnsi="Arial" w:eastAsia="Microsoft YaHei"/>
          <w:i w:val="0"/>
          <w:color w:val="17202A"/>
          <w:sz w:val="22"/>
        </w:rPr>
        <w:t>18. 风险差距与实施路线</w:t>
      </w:r>
    </w:p>
    <w:p>
      <w:pPr>
        <w:pStyle w:val="ListNumber"/>
        <w:keepNext w:val="0"/>
        <w:spacing w:before="0" w:after="100" w:line="264" w:lineRule="auto"/>
        <w:ind w:left="720" w:hanging="360"/>
      </w:pPr>
      <w:r>
        <w:rPr>
          <w:rFonts w:ascii="Arial" w:hAnsi="Arial" w:eastAsia="Microsoft YaHei"/>
          <w:i w:val="0"/>
          <w:color w:val="17202A"/>
          <w:sz w:val="22"/>
        </w:rPr>
        <w:t>附录 A. 技术栈与工具</w:t>
      </w:r>
    </w:p>
    <w:p>
      <w:pPr>
        <w:pStyle w:val="ListNumber"/>
        <w:keepNext w:val="0"/>
        <w:spacing w:before="0" w:after="100" w:line="264" w:lineRule="auto"/>
        <w:ind w:left="720" w:hanging="360"/>
      </w:pPr>
      <w:r>
        <w:rPr>
          <w:rFonts w:ascii="Arial" w:hAnsi="Arial" w:eastAsia="Microsoft YaHei"/>
          <w:i w:val="0"/>
          <w:color w:val="17202A"/>
          <w:sz w:val="22"/>
        </w:rPr>
        <w:t>附录 B. 验收与安全检查清单</w:t>
      </w:r>
    </w:p>
    <w:p>
      <w:pPr>
        <w:pStyle w:val="Heading1"/>
        <w:keepNext/>
        <w:pageBreakBefore/>
      </w:pPr>
      <w:r>
        <w:rPr>
          <w:rFonts w:ascii="Arial" w:hAnsi="Arial" w:eastAsia="Microsoft YaHei"/>
          <w:b/>
          <w:color w:val="2E74B5"/>
          <w:sz w:val="32"/>
        </w:rPr>
        <w:t>1. 执行摘要与产品定位</w:t>
      </w:r>
    </w:p>
    <w:p>
      <w:pPr>
        <w:keepNext w:val="0"/>
        <w:spacing w:before="0" w:after="120" w:line="264" w:lineRule="auto"/>
      </w:pPr>
      <w:r>
        <w:rPr>
          <w:rFonts w:ascii="Arial" w:hAnsi="Arial" w:eastAsia="Microsoft YaHei"/>
          <w:i w:val="0"/>
          <w:color w:val="17202A"/>
          <w:sz w:val="22"/>
        </w:rPr>
        <w:t>本平台不是“把问题直接交给大模型生成 SQL”的单点工具，而是一套以企业知识治理和确定性安全控制为核心的数据智能平台。平台通过语义层、文档检索、标准 SQL、黄金问题评测和 SQL 安全门禁，把自然语言请求转换为可解释、可执行、可审计的 Oracle 查询，并进一步组合为智能经营报告。</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EAF7EE"/>
          </w:tcPr>
          <w:p>
            <w:pPr>
              <w:spacing w:after="40"/>
            </w:pPr>
            <w:r>
              <w:rPr>
                <w:rFonts w:ascii="Arial" w:hAnsi="Arial" w:eastAsia="Microsoft YaHei"/>
                <w:b/>
                <w:color w:val="157347"/>
                <w:sz w:val="21"/>
              </w:rPr>
              <w:t xml:space="preserve">核心价值  </w:t>
            </w:r>
            <w:r>
              <w:rPr>
                <w:rFonts w:ascii="Arial" w:hAnsi="Arial" w:eastAsia="Microsoft YaHei"/>
                <w:color w:val="17202A"/>
                <w:sz w:val="21"/>
              </w:rPr>
              <w:t>把大模型从“直接访问数据库的执行者”降级为“受约束的查询规划者”；真正的执行权限、对象范围、行数、超时和结果交付由确定性代码控制。</w:t>
            </w:r>
          </w:p>
        </w:tc>
      </w:tr>
    </w:tbl>
    <w:p>
      <w:pPr>
        <w:spacing w:after="40"/>
      </w:pPr>
    </w:p>
    <w:tbl>
      <w:tblPr>
        <w:tblW w:type="dxa" w:w="9360"/>
        <w:tblLayout w:type="fixed"/>
        <w:tblLook w:firstColumn="1" w:firstRow="1" w:lastColumn="0" w:lastRow="0" w:noHBand="0" w:noVBand="1" w:val="04A0"/>
        <w:jc w:val="left"/>
        <w:tblInd w:w="120" w:type="dxa"/>
      </w:tblPr>
      <w:tblGrid>
        <w:gridCol w:w="1700"/>
        <w:gridCol w:w="3200"/>
        <w:gridCol w:w="4460"/>
      </w:tblGrid>
      <w:tr>
        <w:trPr>
          <w:trHeight w:hRule="atLeast"/>
          <w:tblHeader w:val="true"/>
        </w:trPr>
        <w:tc>
          <w:tcPr>
            <w:tcW w:type="dxa" w:w="17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目标用户</w:t>
            </w:r>
          </w:p>
        </w:tc>
        <w:tc>
          <w:tcPr>
            <w:tcW w:type="dxa" w:w="32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主要诉求</w:t>
            </w:r>
          </w:p>
        </w:tc>
        <w:tc>
          <w:tcPr>
            <w:tcW w:type="dxa" w:w="44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平台能力</w:t>
            </w:r>
          </w:p>
        </w:tc>
      </w:tr>
      <w:tr>
        <w:trPr>
          <w:trHeight w:hRule="atLeast"/>
        </w:trPr>
        <w:tc>
          <w:tcPr>
            <w:tcW w:type="dxa" w:w="17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业务分析人员</w:t>
            </w:r>
          </w:p>
        </w:tc>
        <w:tc>
          <w:tcPr>
            <w:tcW w:type="dxa" w:w="32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无需掌握复杂 SQL，快速获得可信数据</w:t>
            </w:r>
          </w:p>
        </w:tc>
        <w:tc>
          <w:tcPr>
            <w:tcW w:type="dxa" w:w="4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自然语言问数、表格/图表、SQL 证据、结果下载</w:t>
            </w:r>
          </w:p>
        </w:tc>
      </w:tr>
      <w:tr>
        <w:trPr>
          <w:trHeight w:hRule="atLeast"/>
        </w:trPr>
        <w:tc>
          <w:tcPr>
            <w:tcW w:type="dxa" w:w="17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经营管理人员</w:t>
            </w:r>
          </w:p>
        </w:tc>
        <w:tc>
          <w:tcPr>
            <w:tcW w:type="dxa" w:w="32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获得跨指标、跨主题的经营报告</w:t>
            </w:r>
          </w:p>
        </w:tc>
        <w:tc>
          <w:tcPr>
            <w:tcW w:type="dxa" w:w="4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多查询编排、章节摘要、行动建议、可追溯证据</w:t>
            </w:r>
          </w:p>
        </w:tc>
      </w:tr>
      <w:tr>
        <w:trPr>
          <w:trHeight w:hRule="atLeast"/>
        </w:trPr>
        <w:tc>
          <w:tcPr>
            <w:tcW w:type="dxa" w:w="17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数据管理员</w:t>
            </w:r>
          </w:p>
        </w:tc>
        <w:tc>
          <w:tcPr>
            <w:tcW w:type="dxa" w:w="32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治理指标口径、表关系和训练材料</w:t>
            </w:r>
          </w:p>
        </w:tc>
        <w:tc>
          <w:tcPr>
            <w:tcW w:type="dxa" w:w="4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文档、DDL、指标、关系、同义词、标准 SQL、黄金评测</w:t>
            </w:r>
          </w:p>
        </w:tc>
      </w:tr>
      <w:tr>
        <w:trPr>
          <w:trHeight w:hRule="atLeast"/>
        </w:trPr>
        <w:tc>
          <w:tcPr>
            <w:tcW w:type="dxa" w:w="17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AI / 安全审核团队</w:t>
            </w:r>
          </w:p>
        </w:tc>
        <w:tc>
          <w:tcPr>
            <w:tcW w:type="dxa" w:w="32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确认数据不越权、模型行为可控</w:t>
            </w:r>
          </w:p>
        </w:tc>
        <w:tc>
          <w:tcPr>
            <w:tcW w:type="dxa" w:w="4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RBAC、SQL 门禁、审计、隔离目标设计、评测与发布纪律</w:t>
            </w:r>
          </w:p>
        </w:tc>
      </w:tr>
    </w:tbl>
    <w:p>
      <w:pPr>
        <w:spacing w:after="40"/>
      </w:pPr>
    </w:p>
    <w:p>
      <w:pPr>
        <w:pStyle w:val="Heading2"/>
        <w:keepNext/>
        <w:pageBreakBefore w:val="0"/>
      </w:pPr>
      <w:r>
        <w:rPr>
          <w:rFonts w:ascii="Arial" w:hAnsi="Arial" w:eastAsia="Microsoft YaHei"/>
          <w:b/>
          <w:color w:val="2E74B5"/>
          <w:sz w:val="26"/>
        </w:rPr>
        <w:t>1.1 当前交付状态</w:t>
      </w:r>
    </w:p>
    <w:p>
      <w:pPr>
        <w:pStyle w:val="ListBullet"/>
        <w:keepNext w:val="0"/>
        <w:spacing w:before="0" w:after="80" w:line="264" w:lineRule="auto"/>
        <w:ind w:left="720" w:hanging="360"/>
      </w:pPr>
      <w:r>
        <w:rPr>
          <w:rFonts w:ascii="Arial" w:hAnsi="Arial" w:eastAsia="Microsoft YaHei"/>
          <w:i w:val="0"/>
          <w:color w:val="17202A"/>
          <w:sz w:val="22"/>
        </w:rPr>
        <w:t>已完成可运行的端到端垂直切片：Vue 登录与三类业务页面、Spring Boot API、Oracle 19c、Qdrant、模型路由、受控 SQL、报告与训练中心。</w:t>
      </w:r>
    </w:p>
    <w:p>
      <w:pPr>
        <w:pStyle w:val="ListBullet"/>
        <w:keepNext w:val="0"/>
        <w:spacing w:before="0" w:after="80" w:line="264" w:lineRule="auto"/>
        <w:ind w:left="720" w:hanging="360"/>
      </w:pPr>
      <w:r>
        <w:rPr>
          <w:rFonts w:ascii="Arial" w:hAnsi="Arial" w:eastAsia="Microsoft YaHei"/>
          <w:i w:val="0"/>
          <w:color w:val="17202A"/>
          <w:sz w:val="22"/>
        </w:rPr>
        <w:t>后端严格离线构建已通过：JDK 17 编译 58 个主源码文件、4 个测试源码文件，11 个测试全部通过。</w:t>
      </w:r>
    </w:p>
    <w:p>
      <w:pPr>
        <w:pStyle w:val="ListBullet"/>
        <w:keepNext w:val="0"/>
        <w:spacing w:before="0" w:after="80" w:line="264" w:lineRule="auto"/>
        <w:ind w:left="720" w:hanging="360"/>
      </w:pPr>
      <w:r>
        <w:rPr>
          <w:rFonts w:ascii="Arial" w:hAnsi="Arial" w:eastAsia="Microsoft YaHei"/>
          <w:i w:val="0"/>
          <w:color w:val="17202A"/>
          <w:sz w:val="22"/>
        </w:rPr>
        <w:t>Foundry 360 测试域包含 25 张表、2,359 行业务数据；24 条标准问题真实问答接口验收均为 COMPLETED。</w:t>
      </w:r>
    </w:p>
    <w:p>
      <w:pPr>
        <w:pStyle w:val="ListBullet"/>
        <w:keepNext w:val="0"/>
        <w:spacing w:before="0" w:after="80" w:line="264" w:lineRule="auto"/>
        <w:ind w:left="720" w:hanging="360"/>
      </w:pPr>
      <w:r>
        <w:rPr>
          <w:rFonts w:ascii="Arial" w:hAnsi="Arial" w:eastAsia="Microsoft YaHei"/>
          <w:i w:val="0"/>
          <w:color w:val="17202A"/>
          <w:sz w:val="22"/>
        </w:rPr>
        <w:t>当前版本仍是 MVP，不具备完整的多租户、行列级数据权限、双数据源、SSO 和不可篡改审计能力。</w:t>
      </w:r>
    </w:p>
    <w:p>
      <w:pPr>
        <w:pStyle w:val="Heading1"/>
        <w:keepNext/>
        <w:pageBreakBefore/>
      </w:pPr>
      <w:r>
        <w:rPr>
          <w:rFonts w:ascii="Arial" w:hAnsi="Arial" w:eastAsia="Microsoft YaHei"/>
          <w:b/>
          <w:color w:val="2E74B5"/>
          <w:sz w:val="32"/>
        </w:rPr>
        <w:t>2. 设计范围、假设与约束</w:t>
      </w:r>
    </w:p>
    <w:p>
      <w:pPr>
        <w:pStyle w:val="Heading2"/>
        <w:keepNext/>
        <w:pageBreakBefore w:val="0"/>
      </w:pPr>
      <w:r>
        <w:rPr>
          <w:rFonts w:ascii="Arial" w:hAnsi="Arial" w:eastAsia="Microsoft YaHei"/>
          <w:b/>
          <w:color w:val="2E74B5"/>
          <w:sz w:val="26"/>
        </w:rPr>
        <w:t>2.1 本期范围</w:t>
      </w:r>
    </w:p>
    <w:p>
      <w:pPr>
        <w:pStyle w:val="ListBullet"/>
        <w:keepNext w:val="0"/>
        <w:spacing w:before="0" w:after="80" w:line="264" w:lineRule="auto"/>
        <w:ind w:left="720" w:hanging="360"/>
      </w:pPr>
      <w:r>
        <w:rPr>
          <w:rFonts w:ascii="Arial" w:hAnsi="Arial" w:eastAsia="Microsoft YaHei"/>
          <w:i w:val="0"/>
          <w:color w:val="17202A"/>
          <w:sz w:val="22"/>
        </w:rPr>
        <w:t>数据问答：自然语言输入、知识检索、SQL 生成/命中、校验、执行、可视化和反馈。</w:t>
      </w:r>
    </w:p>
    <w:p>
      <w:pPr>
        <w:pStyle w:val="ListBullet"/>
        <w:keepNext w:val="0"/>
        <w:spacing w:before="0" w:after="80" w:line="264" w:lineRule="auto"/>
        <w:ind w:left="720" w:hanging="360"/>
      </w:pPr>
      <w:r>
        <w:rPr>
          <w:rFonts w:ascii="Arial" w:hAnsi="Arial" w:eastAsia="Microsoft YaHei"/>
          <w:i w:val="0"/>
          <w:color w:val="17202A"/>
          <w:sz w:val="22"/>
        </w:rPr>
        <w:t>智能报告：将多个受控查询组合为章节化报告，保留每一章节的 SQL 和结果证据。</w:t>
      </w:r>
    </w:p>
    <w:p>
      <w:pPr>
        <w:pStyle w:val="ListBullet"/>
        <w:keepNext w:val="0"/>
        <w:spacing w:before="0" w:after="80" w:line="264" w:lineRule="auto"/>
        <w:ind w:left="720" w:hanging="360"/>
      </w:pPr>
      <w:r>
        <w:rPr>
          <w:rFonts w:ascii="Arial" w:hAnsi="Arial" w:eastAsia="Microsoft YaHei"/>
          <w:i w:val="0"/>
          <w:color w:val="17202A"/>
          <w:sz w:val="22"/>
        </w:rPr>
        <w:t>AI 训练中心：文档、DDL/Schema、指标、关系、同义词、标准 SQL、黄金问题、反馈提升和模型运行配置。</w:t>
      </w:r>
    </w:p>
    <w:p>
      <w:pPr>
        <w:pStyle w:val="ListBullet"/>
        <w:keepNext w:val="0"/>
        <w:spacing w:before="0" w:after="80" w:line="264" w:lineRule="auto"/>
        <w:ind w:left="720" w:hanging="360"/>
      </w:pPr>
      <w:r>
        <w:rPr>
          <w:rFonts w:ascii="Arial" w:hAnsi="Arial" w:eastAsia="Microsoft YaHei"/>
          <w:i w:val="0"/>
          <w:color w:val="17202A"/>
          <w:sz w:val="22"/>
        </w:rPr>
        <w:t>平台治理：登录、模块权限、会话撤销、查询/导出审计、健康检查、离线部署和迁移材料。</w:t>
      </w:r>
    </w:p>
    <w:p>
      <w:pPr>
        <w:pStyle w:val="Heading2"/>
        <w:keepNext/>
        <w:pageBreakBefore w:val="0"/>
      </w:pPr>
      <w:r>
        <w:rPr>
          <w:rFonts w:ascii="Arial" w:hAnsi="Arial" w:eastAsia="Microsoft YaHei"/>
          <w:b/>
          <w:color w:val="2E74B5"/>
          <w:sz w:val="26"/>
        </w:rPr>
        <w:t>2.2 不在当前 MVP 范围</w:t>
      </w:r>
    </w:p>
    <w:p>
      <w:pPr>
        <w:pStyle w:val="ListBullet"/>
        <w:keepNext w:val="0"/>
        <w:spacing w:before="0" w:after="80" w:line="264" w:lineRule="auto"/>
        <w:ind w:left="720" w:hanging="360"/>
      </w:pPr>
      <w:r>
        <w:rPr>
          <w:rFonts w:ascii="Arial" w:hAnsi="Arial" w:eastAsia="Microsoft YaHei"/>
          <w:i w:val="0"/>
          <w:color w:val="17202A"/>
          <w:sz w:val="22"/>
        </w:rPr>
        <w:t>模型权重微调或训练；当前“训练”指 RAG、语义层、Few-shot 和持续评测。</w:t>
      </w:r>
    </w:p>
    <w:p>
      <w:pPr>
        <w:pStyle w:val="ListBullet"/>
        <w:keepNext w:val="0"/>
        <w:spacing w:before="0" w:after="80" w:line="264" w:lineRule="auto"/>
        <w:ind w:left="720" w:hanging="360"/>
      </w:pPr>
      <w:r>
        <w:rPr>
          <w:rFonts w:ascii="Arial" w:hAnsi="Arial" w:eastAsia="Microsoft YaHei"/>
          <w:i w:val="0"/>
          <w:color w:val="17202A"/>
          <w:sz w:val="22"/>
        </w:rPr>
        <w:t>完整 BI 自助建模器、复杂拖拽式 Dashboard 和报表排版设计器。</w:t>
      </w:r>
    </w:p>
    <w:p>
      <w:pPr>
        <w:pStyle w:val="ListBullet"/>
        <w:keepNext w:val="0"/>
        <w:spacing w:before="0" w:after="80" w:line="264" w:lineRule="auto"/>
        <w:ind w:left="720" w:hanging="360"/>
      </w:pPr>
      <w:r>
        <w:rPr>
          <w:rFonts w:ascii="Arial" w:hAnsi="Arial" w:eastAsia="Microsoft YaHei"/>
          <w:i w:val="0"/>
          <w:color w:val="17202A"/>
          <w:sz w:val="22"/>
        </w:rPr>
        <w:t>集团级多租户、数据源市场、跨库联邦查询、数据湖写入和生产级高可用集群。</w:t>
      </w:r>
    </w:p>
    <w:p>
      <w:pPr>
        <w:pStyle w:val="ListBullet"/>
        <w:keepNext w:val="0"/>
        <w:spacing w:before="0" w:after="80" w:line="264" w:lineRule="auto"/>
        <w:ind w:left="720" w:hanging="360"/>
      </w:pPr>
      <w:r>
        <w:rPr>
          <w:rFonts w:ascii="Arial" w:hAnsi="Arial" w:eastAsia="Microsoft YaHei"/>
          <w:i w:val="0"/>
          <w:color w:val="17202A"/>
          <w:sz w:val="22"/>
        </w:rPr>
        <w:t>未经审核的写操作、DDL、存储过程或任意脚本执行。</w:t>
      </w:r>
    </w:p>
    <w:p>
      <w:pPr>
        <w:pStyle w:val="Heading2"/>
        <w:keepNext/>
        <w:pageBreakBefore w:val="0"/>
      </w:pPr>
      <w:r>
        <w:rPr>
          <w:rFonts w:ascii="Arial" w:hAnsi="Arial" w:eastAsia="Microsoft YaHei"/>
          <w:b/>
          <w:color w:val="2E74B5"/>
          <w:sz w:val="26"/>
        </w:rPr>
        <w:t>2.3 关键约束</w:t>
      </w:r>
    </w:p>
    <w:tbl>
      <w:tblPr>
        <w:tblW w:type="dxa" w:w="9360"/>
        <w:tblLayout w:type="fixed"/>
        <w:tblLook w:firstColumn="1" w:firstRow="1" w:lastColumn="0" w:lastRow="0" w:noHBand="0" w:noVBand="1" w:val="04A0"/>
        <w:jc w:val="left"/>
        <w:tblInd w:w="120" w:type="dxa"/>
      </w:tblPr>
      <w:tblGrid>
        <w:gridCol w:w="2300"/>
        <w:gridCol w:w="7060"/>
      </w:tblGrid>
      <w:tr>
        <w:trPr>
          <w:trHeight w:hRule="atLeast"/>
          <w:tblHeader w:val="true"/>
        </w:trPr>
        <w:tc>
          <w:tcPr>
            <w:tcW w:type="dxa" w:w="23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约束</w:t>
            </w:r>
          </w:p>
        </w:tc>
        <w:tc>
          <w:tcPr>
            <w:tcW w:type="dxa" w:w="70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设计响应</w:t>
            </w:r>
          </w:p>
        </w:tc>
      </w:tr>
      <w:tr>
        <w:trPr>
          <w:trHeight w:hRule="atLeast"/>
        </w:trPr>
        <w:tc>
          <w:tcPr>
            <w:tcW w:type="dxa" w:w="2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内网/无外网</w:t>
            </w:r>
          </w:p>
        </w:tc>
        <w:tc>
          <w:tcPr>
            <w:tcW w:type="dxa" w:w="7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所有核心服务支持离线运行；Maven 与前端依赖准备离线包；模型通过内网网关接入</w:t>
            </w:r>
          </w:p>
        </w:tc>
      </w:tr>
      <w:tr>
        <w:trPr>
          <w:trHeight w:hRule="atLeast"/>
        </w:trPr>
        <w:tc>
          <w:tcPr>
            <w:tcW w:type="dxa" w:w="2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Oracle 19c</w:t>
            </w:r>
          </w:p>
        </w:tc>
        <w:tc>
          <w:tcPr>
            <w:tcW w:type="dxa" w:w="70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SQL 提示词固定 Oracle 方言，使用 Oracle 专用 Flyway 迁移和 ojdbc11</w:t>
            </w:r>
          </w:p>
        </w:tc>
      </w:tr>
      <w:tr>
        <w:trPr>
          <w:trHeight w:hRule="atLeast"/>
        </w:trPr>
        <w:tc>
          <w:tcPr>
            <w:tcW w:type="dxa" w:w="2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准确率优先</w:t>
            </w:r>
          </w:p>
        </w:tc>
        <w:tc>
          <w:tcPr>
            <w:tcW w:type="dxa" w:w="7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语义层 + 标准 SQL 高相似命中 + RAG + 黄金问题评测 + 人工发布</w:t>
            </w:r>
          </w:p>
        </w:tc>
      </w:tr>
      <w:tr>
        <w:trPr>
          <w:trHeight w:hRule="atLeast"/>
        </w:trPr>
        <w:tc>
          <w:tcPr>
            <w:tcW w:type="dxa" w:w="2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多表复杂关系</w:t>
            </w:r>
          </w:p>
        </w:tc>
        <w:tc>
          <w:tcPr>
            <w:tcW w:type="dxa" w:w="70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管理员显式维护关系、基数、指标表达式和反重复聚合规则</w:t>
            </w:r>
          </w:p>
        </w:tc>
      </w:tr>
      <w:tr>
        <w:trPr>
          <w:trHeight w:hRule="atLeast"/>
        </w:trPr>
        <w:tc>
          <w:tcPr>
            <w:tcW w:type="dxa" w:w="2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安全审核</w:t>
            </w:r>
          </w:p>
        </w:tc>
        <w:tc>
          <w:tcPr>
            <w:tcW w:type="dxa" w:w="7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确定性门禁优先于模型判断；所有安全边界记录现状、目标和差距</w:t>
            </w:r>
          </w:p>
        </w:tc>
      </w:tr>
    </w:tbl>
    <w:p>
      <w:pPr>
        <w:spacing w:after="40"/>
      </w:pPr>
    </w:p>
    <w:p>
      <w:pPr>
        <w:pStyle w:val="Heading1"/>
        <w:keepNext/>
        <w:pageBreakBefore/>
      </w:pPr>
      <w:r>
        <w:rPr>
          <w:rFonts w:ascii="Arial" w:hAnsi="Arial" w:eastAsia="Microsoft YaHei"/>
          <w:b/>
          <w:color w:val="2E74B5"/>
          <w:sz w:val="32"/>
        </w:rPr>
        <w:t>3. 需求与质量目标</w:t>
      </w:r>
    </w:p>
    <w:p>
      <w:pPr>
        <w:pStyle w:val="Heading2"/>
        <w:keepNext/>
        <w:pageBreakBefore w:val="0"/>
      </w:pPr>
      <w:r>
        <w:rPr>
          <w:rFonts w:ascii="Arial" w:hAnsi="Arial" w:eastAsia="Microsoft YaHei"/>
          <w:b/>
          <w:color w:val="2E74B5"/>
          <w:sz w:val="26"/>
        </w:rPr>
        <w:t>3.1 核心功能需求</w:t>
      </w:r>
    </w:p>
    <w:tbl>
      <w:tblPr>
        <w:tblW w:type="dxa" w:w="9360"/>
        <w:tblLayout w:type="fixed"/>
        <w:tblLook w:firstColumn="1" w:firstRow="1" w:lastColumn="0" w:lastRow="0" w:noHBand="0" w:noVBand="1" w:val="04A0"/>
        <w:jc w:val="left"/>
        <w:tblInd w:w="120" w:type="dxa"/>
      </w:tblPr>
      <w:tblGrid>
        <w:gridCol w:w="800"/>
        <w:gridCol w:w="2100"/>
        <w:gridCol w:w="6460"/>
      </w:tblGrid>
      <w:tr>
        <w:trPr>
          <w:trHeight w:hRule="atLeast"/>
          <w:tblHeader w:val="true"/>
        </w:trPr>
        <w:tc>
          <w:tcPr>
            <w:tcW w:type="dxa" w:w="8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编号</w:t>
            </w:r>
          </w:p>
        </w:tc>
        <w:tc>
          <w:tcPr>
            <w:tcW w:type="dxa" w:w="21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能力</w:t>
            </w:r>
          </w:p>
        </w:tc>
        <w:tc>
          <w:tcPr>
            <w:tcW w:type="dxa" w:w="64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验收要点</w:t>
            </w:r>
          </w:p>
        </w:tc>
      </w:tr>
      <w:tr>
        <w:trPr>
          <w:trHeight w:hRule="atLeast"/>
        </w:trPr>
        <w:tc>
          <w:tcPr>
            <w:tcW w:type="dxa" w:w="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FR-01</w:t>
            </w:r>
          </w:p>
        </w:tc>
        <w:tc>
          <w:tcPr>
            <w:tcW w:type="dxa" w:w="2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自然语言问数</w:t>
            </w:r>
          </w:p>
        </w:tc>
        <w:tc>
          <w:tcPr>
            <w:tcW w:type="dxa" w:w="6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输入问题后返回 SQL、表格、图表、摘要、置信度、模型和耗时</w:t>
            </w:r>
          </w:p>
        </w:tc>
      </w:tr>
      <w:tr>
        <w:trPr>
          <w:trHeight w:hRule="atLeast"/>
        </w:trPr>
        <w:tc>
          <w:tcPr>
            <w:tcW w:type="dxa" w:w="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FR-02</w:t>
            </w:r>
          </w:p>
        </w:tc>
        <w:tc>
          <w:tcPr>
            <w:tcW w:type="dxa" w:w="2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受控 SQL</w:t>
            </w:r>
          </w:p>
        </w:tc>
        <w:tc>
          <w:tcPr>
            <w:tcW w:type="dxa" w:w="6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只允许单条 SELECT/WITH SELECT；对象白名单；危险函数拒绝</w:t>
            </w:r>
          </w:p>
        </w:tc>
      </w:tr>
      <w:tr>
        <w:trPr>
          <w:trHeight w:hRule="atLeast"/>
        </w:trPr>
        <w:tc>
          <w:tcPr>
            <w:tcW w:type="dxa" w:w="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FR-03</w:t>
            </w:r>
          </w:p>
        </w:tc>
        <w:tc>
          <w:tcPr>
            <w:tcW w:type="dxa" w:w="2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语义治理</w:t>
            </w:r>
          </w:p>
        </w:tc>
        <w:tc>
          <w:tcPr>
            <w:tcW w:type="dxa" w:w="6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指标、关系、同义词、DDL/Schema 均可维护与发布</w:t>
            </w:r>
          </w:p>
        </w:tc>
      </w:tr>
      <w:tr>
        <w:trPr>
          <w:trHeight w:hRule="atLeast"/>
        </w:trPr>
        <w:tc>
          <w:tcPr>
            <w:tcW w:type="dxa" w:w="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FR-04</w:t>
            </w:r>
          </w:p>
        </w:tc>
        <w:tc>
          <w:tcPr>
            <w:tcW w:type="dxa" w:w="2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标准案例</w:t>
            </w:r>
          </w:p>
        </w:tc>
        <w:tc>
          <w:tcPr>
            <w:tcW w:type="dxa" w:w="6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发布的标准 SQL 可直接命中或作为真实模型 Few-shot</w:t>
            </w:r>
          </w:p>
        </w:tc>
      </w:tr>
      <w:tr>
        <w:trPr>
          <w:trHeight w:hRule="atLeast"/>
        </w:trPr>
        <w:tc>
          <w:tcPr>
            <w:tcW w:type="dxa" w:w="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FR-05</w:t>
            </w:r>
          </w:p>
        </w:tc>
        <w:tc>
          <w:tcPr>
            <w:tcW w:type="dxa" w:w="2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知识检索</w:t>
            </w:r>
          </w:p>
        </w:tc>
        <w:tc>
          <w:tcPr>
            <w:tcW w:type="dxa" w:w="6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文档解析、分块、向量化、Qdrant 持久化和域过滤</w:t>
            </w:r>
          </w:p>
        </w:tc>
      </w:tr>
      <w:tr>
        <w:trPr>
          <w:trHeight w:hRule="atLeast"/>
        </w:trPr>
        <w:tc>
          <w:tcPr>
            <w:tcW w:type="dxa" w:w="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FR-06</w:t>
            </w:r>
          </w:p>
        </w:tc>
        <w:tc>
          <w:tcPr>
            <w:tcW w:type="dxa" w:w="2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智能报告</w:t>
            </w:r>
          </w:p>
        </w:tc>
        <w:tc>
          <w:tcPr>
            <w:tcW w:type="dxa" w:w="6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多查询章节、结论、建议、SQL 证据链和历史记录</w:t>
            </w:r>
          </w:p>
        </w:tc>
      </w:tr>
      <w:tr>
        <w:trPr>
          <w:trHeight w:hRule="atLeast"/>
        </w:trPr>
        <w:tc>
          <w:tcPr>
            <w:tcW w:type="dxa" w:w="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FR-07</w:t>
            </w:r>
          </w:p>
        </w:tc>
        <w:tc>
          <w:tcPr>
            <w:tcW w:type="dxa" w:w="2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反馈闭环</w:t>
            </w:r>
          </w:p>
        </w:tc>
        <w:tc>
          <w:tcPr>
            <w:tcW w:type="dxa" w:w="6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用户反馈可转草稿案例，经管理员审核后发布</w:t>
            </w:r>
          </w:p>
        </w:tc>
      </w:tr>
      <w:tr>
        <w:trPr>
          <w:trHeight w:hRule="atLeast"/>
        </w:trPr>
        <w:tc>
          <w:tcPr>
            <w:tcW w:type="dxa" w:w="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FR-08</w:t>
            </w:r>
          </w:p>
        </w:tc>
        <w:tc>
          <w:tcPr>
            <w:tcW w:type="dxa" w:w="2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结果导出</w:t>
            </w:r>
          </w:p>
        </w:tc>
        <w:tc>
          <w:tcPr>
            <w:tcW w:type="dxa" w:w="6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用户确认正确后允许下载 XLSX、CSV、XML 并记录审计</w:t>
            </w:r>
          </w:p>
        </w:tc>
      </w:tr>
      <w:tr>
        <w:trPr>
          <w:trHeight w:hRule="atLeast"/>
        </w:trPr>
        <w:tc>
          <w:tcPr>
            <w:tcW w:type="dxa" w:w="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FR-09</w:t>
            </w:r>
          </w:p>
        </w:tc>
        <w:tc>
          <w:tcPr>
            <w:tcW w:type="dxa" w:w="2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权限隔离</w:t>
            </w:r>
          </w:p>
        </w:tc>
        <w:tc>
          <w:tcPr>
            <w:tcW w:type="dxa" w:w="6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DATA_QUERY、SMART_REPORT、AI_TRAINING 服务端强制校验</w:t>
            </w:r>
          </w:p>
        </w:tc>
      </w:tr>
      <w:tr>
        <w:trPr>
          <w:trHeight w:hRule="atLeast"/>
        </w:trPr>
        <w:tc>
          <w:tcPr>
            <w:tcW w:type="dxa" w:w="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FR-10</w:t>
            </w:r>
          </w:p>
        </w:tc>
        <w:tc>
          <w:tcPr>
            <w:tcW w:type="dxa" w:w="2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模型路由</w:t>
            </w:r>
          </w:p>
        </w:tc>
        <w:tc>
          <w:tcPr>
            <w:tcW w:type="dxa" w:w="6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聊天和向量模型独立选择，API Key 不返回前端</w:t>
            </w:r>
          </w:p>
        </w:tc>
      </w:tr>
    </w:tbl>
    <w:p>
      <w:pPr>
        <w:spacing w:after="40"/>
      </w:pPr>
    </w:p>
    <w:p>
      <w:pPr>
        <w:pStyle w:val="Heading2"/>
        <w:keepNext/>
        <w:pageBreakBefore w:val="0"/>
      </w:pPr>
      <w:r>
        <w:rPr>
          <w:rFonts w:ascii="Arial" w:hAnsi="Arial" w:eastAsia="Microsoft YaHei"/>
          <w:b/>
          <w:color w:val="2E74B5"/>
          <w:sz w:val="26"/>
        </w:rPr>
        <w:t>3.2 非功能目标</w:t>
      </w:r>
    </w:p>
    <w:tbl>
      <w:tblPr>
        <w:tblW w:type="dxa" w:w="9360"/>
        <w:tblLayout w:type="fixed"/>
        <w:tblLook w:firstColumn="1" w:firstRow="1" w:lastColumn="0" w:lastRow="0" w:noHBand="0" w:noVBand="1" w:val="04A0"/>
        <w:jc w:val="left"/>
        <w:tblInd w:w="120" w:type="dxa"/>
      </w:tblPr>
      <w:tblGrid>
        <w:gridCol w:w="1500"/>
        <w:gridCol w:w="3400"/>
        <w:gridCol w:w="4460"/>
      </w:tblGrid>
      <w:tr>
        <w:trPr>
          <w:trHeight w:hRule="atLeast"/>
          <w:tblHeader w:val="true"/>
        </w:trPr>
        <w:tc>
          <w:tcPr>
            <w:tcW w:type="dxa" w:w="15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维度</w:t>
            </w:r>
          </w:p>
        </w:tc>
        <w:tc>
          <w:tcPr>
            <w:tcW w:type="dxa" w:w="34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当前基线</w:t>
            </w:r>
          </w:p>
        </w:tc>
        <w:tc>
          <w:tcPr>
            <w:tcW w:type="dxa" w:w="44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生产目标</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安全</w:t>
            </w:r>
          </w:p>
        </w:tc>
        <w:tc>
          <w:tcPr>
            <w:tcW w:type="dxa" w:w="3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模块 RBAC、SQL 只读门禁、BCrypt、Token 摘要</w:t>
            </w:r>
          </w:p>
        </w:tc>
        <w:tc>
          <w:tcPr>
            <w:tcW w:type="dxa" w:w="4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SSO、ABAC、行列级策略、双数据源、DLP、不可篡改审计</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性能</w:t>
            </w:r>
          </w:p>
        </w:tc>
        <w:tc>
          <w:tcPr>
            <w:tcW w:type="dxa" w:w="3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查询超时 15 秒、最大 1,000 行、连接池 10</w:t>
            </w:r>
          </w:p>
        </w:tc>
        <w:tc>
          <w:tcPr>
            <w:tcW w:type="dxa" w:w="4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容量压测后按域配置限流、缓存、异步和并发隔离</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可用性</w:t>
            </w:r>
          </w:p>
        </w:tc>
        <w:tc>
          <w:tcPr>
            <w:tcW w:type="dxa" w:w="3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单实例、健康检查</w:t>
            </w:r>
          </w:p>
        </w:tc>
        <w:tc>
          <w:tcPr>
            <w:tcW w:type="dxa" w:w="4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多实例、负载均衡、熔断、重试、备份恢复和 RTO/RPO</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可维护性</w:t>
            </w:r>
          </w:p>
        </w:tc>
        <w:tc>
          <w:tcPr>
            <w:tcW w:type="dxa" w:w="3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Java 分包、Vue 分层、Flyway、离线依赖</w:t>
            </w:r>
          </w:p>
        </w:tc>
        <w:tc>
          <w:tcPr>
            <w:tcW w:type="dxa" w:w="4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配置中心、统一日志、SBOM、版本发布和回滚</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AI 质量</w:t>
            </w:r>
          </w:p>
        </w:tc>
        <w:tc>
          <w:tcPr>
            <w:tcW w:type="dxa" w:w="3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标准 SQL、黄金问题、RAG</w:t>
            </w:r>
          </w:p>
        </w:tc>
        <w:tc>
          <w:tcPr>
            <w:tcW w:type="dxa" w:w="4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分域评测集、对抗集、回归门禁、模型版本注册和影子评估</w:t>
            </w:r>
          </w:p>
        </w:tc>
      </w:tr>
    </w:tbl>
    <w:p>
      <w:pPr>
        <w:spacing w:after="40"/>
      </w:pPr>
    </w:p>
    <w:p>
      <w:pPr>
        <w:pStyle w:val="Heading1"/>
        <w:keepNext/>
        <w:pageBreakBefore/>
      </w:pPr>
      <w:r>
        <w:rPr>
          <w:rFonts w:ascii="Arial" w:hAnsi="Arial" w:eastAsia="Microsoft YaHei"/>
          <w:b/>
          <w:color w:val="2E74B5"/>
          <w:sz w:val="32"/>
        </w:rPr>
        <w:t>4. 设计原则</w:t>
      </w:r>
    </w:p>
    <w:tbl>
      <w:tblPr>
        <w:tblW w:type="dxa" w:w="9360"/>
        <w:tblLayout w:type="fixed"/>
        <w:tblLook w:firstColumn="1" w:firstRow="1" w:lastColumn="0" w:lastRow="0" w:noHBand="0" w:noVBand="1" w:val="04A0"/>
        <w:jc w:val="left"/>
        <w:tblInd w:w="120" w:type="dxa"/>
      </w:tblPr>
      <w:tblGrid>
        <w:gridCol w:w="2300"/>
        <w:gridCol w:w="7060"/>
      </w:tblGrid>
      <w:tr>
        <w:trPr>
          <w:trHeight w:hRule="atLeast"/>
          <w:tblHeader w:val="true"/>
        </w:trPr>
        <w:tc>
          <w:tcPr>
            <w:tcW w:type="dxa" w:w="23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原则</w:t>
            </w:r>
          </w:p>
        </w:tc>
        <w:tc>
          <w:tcPr>
            <w:tcW w:type="dxa" w:w="70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落地方式</w:t>
            </w:r>
          </w:p>
        </w:tc>
      </w:tr>
      <w:tr>
        <w:trPr>
          <w:trHeight w:hRule="atLeast"/>
        </w:trPr>
        <w:tc>
          <w:tcPr>
            <w:tcW w:type="dxa" w:w="2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业务语义优先</w:t>
            </w:r>
          </w:p>
        </w:tc>
        <w:tc>
          <w:tcPr>
            <w:tcW w:type="dxa" w:w="7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先确定指标、维度、关系和口径，再让模型规划 SQL。</w:t>
            </w:r>
          </w:p>
        </w:tc>
      </w:tr>
      <w:tr>
        <w:trPr>
          <w:trHeight w:hRule="atLeast"/>
        </w:trPr>
        <w:tc>
          <w:tcPr>
            <w:tcW w:type="dxa" w:w="2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模型不拥有权限</w:t>
            </w:r>
          </w:p>
        </w:tc>
        <w:tc>
          <w:tcPr>
            <w:tcW w:type="dxa" w:w="70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模型只能提出候选 SQL；数据库权限和 Java 门禁决定是否执行。</w:t>
            </w:r>
          </w:p>
        </w:tc>
      </w:tr>
      <w:tr>
        <w:trPr>
          <w:trHeight w:hRule="atLeast"/>
        </w:trPr>
        <w:tc>
          <w:tcPr>
            <w:tcW w:type="dxa" w:w="2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最小权限</w:t>
            </w:r>
          </w:p>
        </w:tc>
        <w:tc>
          <w:tcPr>
            <w:tcW w:type="dxa" w:w="7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用户、应用、业务数据源、向量库和模型网关分别使用最小权限身份。</w:t>
            </w:r>
          </w:p>
        </w:tc>
      </w:tr>
      <w:tr>
        <w:trPr>
          <w:trHeight w:hRule="atLeast"/>
        </w:trPr>
        <w:tc>
          <w:tcPr>
            <w:tcW w:type="dxa" w:w="2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证据可追溯</w:t>
            </w:r>
          </w:p>
        </w:tc>
        <w:tc>
          <w:tcPr>
            <w:tcW w:type="dxa" w:w="70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每次问答保留问题、SQL、数据表、结果快照、模型、耗时、反馈和导出记录。</w:t>
            </w:r>
          </w:p>
        </w:tc>
      </w:tr>
      <w:tr>
        <w:trPr>
          <w:trHeight w:hRule="atLeast"/>
        </w:trPr>
        <w:tc>
          <w:tcPr>
            <w:tcW w:type="dxa" w:w="2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发布而非直接生效</w:t>
            </w:r>
          </w:p>
        </w:tc>
        <w:tc>
          <w:tcPr>
            <w:tcW w:type="dxa" w:w="7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指标、标准 SQL 和训练反馈经过草稿、评审、发布、回滚流程。</w:t>
            </w:r>
          </w:p>
        </w:tc>
      </w:tr>
      <w:tr>
        <w:trPr>
          <w:trHeight w:hRule="atLeast"/>
        </w:trPr>
        <w:tc>
          <w:tcPr>
            <w:tcW w:type="dxa" w:w="2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离线优先</w:t>
            </w:r>
          </w:p>
        </w:tc>
        <w:tc>
          <w:tcPr>
            <w:tcW w:type="dxa" w:w="70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运行期不依赖公网；依赖、配置、模型地址和部署脚本均可离线迁移。</w:t>
            </w:r>
          </w:p>
        </w:tc>
      </w:tr>
    </w:tbl>
    <w:p>
      <w:pPr>
        <w:spacing w:after="40"/>
      </w:pPr>
    </w:p>
    <w:p>
      <w:pPr>
        <w:pStyle w:val="Heading1"/>
        <w:keepNext/>
        <w:pageBreakBefore/>
      </w:pPr>
      <w:r>
        <w:rPr>
          <w:rFonts w:ascii="Arial" w:hAnsi="Arial" w:eastAsia="Microsoft YaHei"/>
          <w:b/>
          <w:color w:val="2E74B5"/>
          <w:sz w:val="32"/>
        </w:rPr>
        <w:t>5. 总体架构设计</w:t>
      </w:r>
    </w:p>
    <w:p>
      <w:pPr>
        <w:pStyle w:val="Heading2"/>
        <w:keepNext/>
        <w:pageBreakBefore w:val="0"/>
      </w:pPr>
      <w:r>
        <w:rPr>
          <w:rFonts w:ascii="Arial" w:hAnsi="Arial" w:eastAsia="Microsoft YaHei"/>
          <w:b/>
          <w:color w:val="2E74B5"/>
          <w:sz w:val="26"/>
        </w:rPr>
        <w:t>5.1 逻辑分层</w:t>
      </w:r>
    </w:p>
    <w:tbl>
      <w:tblPr>
        <w:tblW w:type="dxa" w:w="9360"/>
        <w:tblLayout w:type="fixed"/>
        <w:tblLook w:firstColumn="1" w:firstRow="1" w:lastColumn="0" w:lastRow="0" w:noHBand="0" w:noVBand="1" w:val="04A0"/>
        <w:jc w:val="left"/>
        <w:tblInd w:w="120" w:type="dxa"/>
      </w:tblPr>
      <w:tblGrid>
        <w:gridCol w:w="2100"/>
        <w:gridCol w:w="7260"/>
      </w:tblGrid>
      <w:tr>
        <w:trPr>
          <w:trHeight w:hRule="atLeast"/>
          <w:tblHeader w:val="true"/>
        </w:trPr>
        <w:tc>
          <w:tcPr>
            <w:tcW w:type="dxa" w:w="21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9"/>
              </w:rPr>
              <w:t>层级</w:t>
            </w:r>
          </w:p>
        </w:tc>
        <w:tc>
          <w:tcPr>
            <w:tcW w:type="dxa" w:w="72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9"/>
              </w:rPr>
              <w:t>组件与职责</w:t>
            </w:r>
          </w:p>
        </w:tc>
      </w:tr>
      <w:tr>
        <w:trPr>
          <w:trHeight w:hRule="atLeast"/>
        </w:trPr>
        <w:tc>
          <w:tcPr>
            <w:tcW w:type="dxa" w:w="2100"/>
            <w:tcMar>
              <w:top w:w="80" w:type="dxa"/>
              <w:start w:w="120" w:type="dxa"/>
              <w:bottom w:w="80" w:type="dxa"/>
              <w:end w:w="120" w:type="dxa"/>
            </w:tcMar>
            <w:vAlign w:val="center"/>
            <w:shd w:fill="EAF5FB"/>
          </w:tcPr>
          <w:p>
            <w:pPr>
              <w:spacing w:before="0" w:after="0" w:line="269" w:lineRule="auto"/>
              <w:jc w:val="left"/>
            </w:pPr>
            <w:r/>
            <w:r>
              <w:rPr>
                <w:rFonts w:ascii="Arial" w:hAnsi="Arial" w:eastAsia="Microsoft YaHei"/>
                <w:b w:val="0"/>
                <w:color w:val="17202A"/>
                <w:sz w:val="19"/>
              </w:rPr>
              <w:t>访问与体验层</w:t>
            </w:r>
          </w:p>
        </w:tc>
        <w:tc>
          <w:tcPr>
            <w:tcW w:type="dxa" w:w="7260"/>
            <w:tcMar>
              <w:top w:w="80" w:type="dxa"/>
              <w:start w:w="120" w:type="dxa"/>
              <w:bottom w:w="80" w:type="dxa"/>
              <w:end w:w="120" w:type="dxa"/>
            </w:tcMar>
            <w:vAlign w:val="center"/>
            <w:shd w:fill="EAF5FB"/>
          </w:tcPr>
          <w:p>
            <w:pPr>
              <w:spacing w:before="0" w:after="0" w:line="269" w:lineRule="auto"/>
              <w:jc w:val="left"/>
            </w:pPr>
            <w:r/>
            <w:r>
              <w:rPr>
                <w:rFonts w:ascii="Arial" w:hAnsi="Arial" w:eastAsia="Microsoft YaHei"/>
                <w:b w:val="0"/>
                <w:color w:val="17202A"/>
                <w:sz w:val="19"/>
              </w:rPr>
              <w:t>Vue 3、Vue Router、Pinia、Element Plus、ECharts；登录、问答、报告、训练中心</w:t>
            </w:r>
          </w:p>
        </w:tc>
      </w:tr>
      <w:tr>
        <w:trPr>
          <w:trHeight w:hRule="atLeast"/>
        </w:trPr>
        <w:tc>
          <w:tcPr>
            <w:tcW w:type="dxa" w:w="2100"/>
            <w:shd w:fill="EAF7EE"/>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9"/>
              </w:rPr>
              <w:t>业务与安全层</w:t>
            </w:r>
          </w:p>
        </w:tc>
        <w:tc>
          <w:tcPr>
            <w:tcW w:type="dxa" w:w="7260"/>
            <w:shd w:fill="EAF7EE"/>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9"/>
              </w:rPr>
              <w:t>Spring Boot REST、Spring Security、RBAC、会话、报告、反馈、审计、导出</w:t>
            </w:r>
          </w:p>
        </w:tc>
      </w:tr>
      <w:tr>
        <w:trPr>
          <w:trHeight w:hRule="atLeast"/>
        </w:trPr>
        <w:tc>
          <w:tcPr>
            <w:tcW w:type="dxa" w:w="2100"/>
            <w:tcMar>
              <w:top w:w="80" w:type="dxa"/>
              <w:start w:w="120" w:type="dxa"/>
              <w:bottom w:w="80" w:type="dxa"/>
              <w:end w:w="120" w:type="dxa"/>
            </w:tcMar>
            <w:vAlign w:val="center"/>
            <w:shd w:fill="FFF4CE"/>
          </w:tcPr>
          <w:p>
            <w:pPr>
              <w:spacing w:before="0" w:after="0" w:line="269" w:lineRule="auto"/>
              <w:jc w:val="left"/>
            </w:pPr>
            <w:r/>
            <w:r>
              <w:rPr>
                <w:rFonts w:ascii="Arial" w:hAnsi="Arial" w:eastAsia="Microsoft YaHei"/>
                <w:b w:val="0"/>
                <w:color w:val="17202A"/>
                <w:sz w:val="19"/>
              </w:rPr>
              <w:t>受控 AI 编排层</w:t>
            </w:r>
          </w:p>
        </w:tc>
        <w:tc>
          <w:tcPr>
            <w:tcW w:type="dxa" w:w="7260"/>
            <w:tcMar>
              <w:top w:w="80" w:type="dxa"/>
              <w:start w:w="120" w:type="dxa"/>
              <w:bottom w:w="80" w:type="dxa"/>
              <w:end w:w="120" w:type="dxa"/>
            </w:tcMar>
            <w:vAlign w:val="center"/>
            <w:shd w:fill="FFF4CE"/>
          </w:tcPr>
          <w:p>
            <w:pPr>
              <w:spacing w:before="0" w:after="0" w:line="269" w:lineRule="auto"/>
              <w:jc w:val="left"/>
            </w:pPr>
            <w:r/>
            <w:r>
              <w:rPr>
                <w:rFonts w:ascii="Arial" w:hAnsi="Arial" w:eastAsia="Microsoft YaHei"/>
                <w:b w:val="0"/>
                <w:color w:val="17202A"/>
                <w:sz w:val="19"/>
              </w:rPr>
              <w:t>QueryOrchestrator、模型路由、Prompt Factory、标准 SQL 命中、SQLGuard、SafeQueryExecutor</w:t>
            </w:r>
          </w:p>
        </w:tc>
      </w:tr>
      <w:tr>
        <w:trPr>
          <w:trHeight w:hRule="atLeast"/>
        </w:trPr>
        <w:tc>
          <w:tcPr>
            <w:tcW w:type="dxa" w:w="2100"/>
            <w:shd w:fill="F4F0FF"/>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9"/>
              </w:rPr>
              <w:t>知识与语义层</w:t>
            </w:r>
          </w:p>
        </w:tc>
        <w:tc>
          <w:tcPr>
            <w:tcW w:type="dxa" w:w="7260"/>
            <w:shd w:fill="F4F0FF"/>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9"/>
              </w:rPr>
              <w:t>Tika 文档解析、Embedding、Qdrant、指标、关系、同义词、DDL、黄金问题</w:t>
            </w:r>
          </w:p>
        </w:tc>
      </w:tr>
      <w:tr>
        <w:trPr>
          <w:trHeight w:hRule="atLeast"/>
        </w:trPr>
        <w:tc>
          <w:tcPr>
            <w:tcW w:type="dxa" w:w="2100"/>
            <w:tcMar>
              <w:top w:w="80" w:type="dxa"/>
              <w:start w:w="120" w:type="dxa"/>
              <w:bottom w:w="80" w:type="dxa"/>
              <w:end w:w="120" w:type="dxa"/>
            </w:tcMar>
            <w:vAlign w:val="center"/>
            <w:shd w:fill="F2F4F7"/>
          </w:tcPr>
          <w:p>
            <w:pPr>
              <w:spacing w:before="0" w:after="0" w:line="269" w:lineRule="auto"/>
              <w:jc w:val="left"/>
            </w:pPr>
            <w:r/>
            <w:r>
              <w:rPr>
                <w:rFonts w:ascii="Arial" w:hAnsi="Arial" w:eastAsia="Microsoft YaHei"/>
                <w:b w:val="0"/>
                <w:color w:val="17202A"/>
                <w:sz w:val="19"/>
              </w:rPr>
              <w:t>数据与基础设施层</w:t>
            </w:r>
          </w:p>
        </w:tc>
        <w:tc>
          <w:tcPr>
            <w:tcW w:type="dxa" w:w="7260"/>
            <w:tcMar>
              <w:top w:w="80" w:type="dxa"/>
              <w:start w:w="120" w:type="dxa"/>
              <w:bottom w:w="80" w:type="dxa"/>
              <w:end w:w="120" w:type="dxa"/>
            </w:tcMar>
            <w:vAlign w:val="center"/>
            <w:shd w:fill="F2F4F7"/>
          </w:tcPr>
          <w:p>
            <w:pPr>
              <w:spacing w:before="0" w:after="0" w:line="269" w:lineRule="auto"/>
              <w:jc w:val="left"/>
            </w:pPr>
            <w:r/>
            <w:r>
              <w:rPr>
                <w:rFonts w:ascii="Arial" w:hAnsi="Arial" w:eastAsia="Microsoft YaHei"/>
                <w:b w:val="0"/>
                <w:color w:val="17202A"/>
                <w:sz w:val="19"/>
              </w:rPr>
              <w:t>Oracle 19c、Qdrant、内网大模型网关/兼容 API、文件存储、Flyway、Actuator</w:t>
            </w:r>
          </w:p>
        </w:tc>
      </w:tr>
    </w:tbl>
    <w:p>
      <w:pPr>
        <w:spacing w:after="40"/>
      </w:pPr>
    </w:p>
    <w:p>
      <w:pPr>
        <w:spacing w:before="80" w:after="160"/>
        <w:jc w:val="center"/>
      </w:pPr>
      <w:r>
        <w:rPr>
          <w:rFonts w:ascii="Arial" w:hAnsi="Arial" w:eastAsia="Microsoft YaHei"/>
          <w:i/>
          <w:color w:val="667085"/>
          <w:sz w:val="18"/>
        </w:rPr>
        <w:t>图 5-1  系统逻辑分层（Word 中以结构表表达）</w:t>
      </w:r>
    </w:p>
    <w:p>
      <w:pPr>
        <w:pStyle w:val="Heading2"/>
        <w:keepNext/>
        <w:pageBreakBefore w:val="0"/>
      </w:pPr>
      <w:r>
        <w:rPr>
          <w:rFonts w:ascii="Arial" w:hAnsi="Arial" w:eastAsia="Microsoft YaHei"/>
          <w:b/>
          <w:color w:val="2E74B5"/>
          <w:sz w:val="26"/>
        </w:rPr>
        <w:t>5.2 组件职责与依赖方向</w:t>
      </w:r>
    </w:p>
    <w:p>
      <w:pPr>
        <w:pStyle w:val="ListBullet"/>
        <w:keepNext w:val="0"/>
        <w:spacing w:before="0" w:after="80" w:line="264" w:lineRule="auto"/>
        <w:ind w:left="720" w:hanging="360"/>
      </w:pPr>
      <w:r>
        <w:rPr>
          <w:rFonts w:ascii="Arial" w:hAnsi="Arial" w:eastAsia="Microsoft YaHei"/>
          <w:i w:val="0"/>
          <w:color w:val="17202A"/>
          <w:sz w:val="22"/>
        </w:rPr>
        <w:t>前端只依赖版本化 REST API，不直接访问 Oracle、Qdrant 或模型服务。</w:t>
      </w:r>
    </w:p>
    <w:p>
      <w:pPr>
        <w:pStyle w:val="ListBullet"/>
        <w:keepNext w:val="0"/>
        <w:spacing w:before="0" w:after="80" w:line="264" w:lineRule="auto"/>
        <w:ind w:left="720" w:hanging="360"/>
      </w:pPr>
      <w:r>
        <w:rPr>
          <w:rFonts w:ascii="Arial" w:hAnsi="Arial" w:eastAsia="Microsoft YaHei"/>
          <w:i w:val="0"/>
          <w:color w:val="17202A"/>
          <w:sz w:val="22"/>
        </w:rPr>
        <w:t>控制器负责协议适配；Service 负责业务事务；Port/Provider 屏蔽模型和向量实现差异。</w:t>
      </w:r>
    </w:p>
    <w:p>
      <w:pPr>
        <w:pStyle w:val="ListBullet"/>
        <w:keepNext w:val="0"/>
        <w:spacing w:before="0" w:after="80" w:line="264" w:lineRule="auto"/>
        <w:ind w:left="720" w:hanging="360"/>
      </w:pPr>
      <w:r>
        <w:rPr>
          <w:rFonts w:ascii="Arial" w:hAnsi="Arial" w:eastAsia="Microsoft YaHei"/>
          <w:i w:val="0"/>
          <w:color w:val="17202A"/>
          <w:sz w:val="22"/>
        </w:rPr>
        <w:t>QueryOrchestrator 是问答主链路编排点，SQLGuard 和 SafeQueryExecutor 是不可绕过的执行门禁。</w:t>
      </w:r>
    </w:p>
    <w:p>
      <w:pPr>
        <w:pStyle w:val="ListBullet"/>
        <w:keepNext w:val="0"/>
        <w:spacing w:before="0" w:after="80" w:line="264" w:lineRule="auto"/>
        <w:ind w:left="720" w:hanging="360"/>
      </w:pPr>
      <w:r>
        <w:rPr>
          <w:rFonts w:ascii="Arial" w:hAnsi="Arial" w:eastAsia="Microsoft YaHei"/>
          <w:i w:val="0"/>
          <w:color w:val="17202A"/>
          <w:sz w:val="22"/>
        </w:rPr>
        <w:t>Oracle 当前同时承载平台元数据和演示业务数据；生产目标拆分平台库与业务只读数据源。</w:t>
      </w:r>
    </w:p>
    <w:p>
      <w:pPr>
        <w:pStyle w:val="ListBullet"/>
        <w:keepNext w:val="0"/>
        <w:spacing w:before="0" w:after="80" w:line="264" w:lineRule="auto"/>
        <w:ind w:left="720" w:hanging="360"/>
      </w:pPr>
      <w:r>
        <w:rPr>
          <w:rFonts w:ascii="Arial" w:hAnsi="Arial" w:eastAsia="Microsoft YaHei"/>
          <w:i w:val="0"/>
          <w:color w:val="17202A"/>
          <w:sz w:val="22"/>
        </w:rPr>
        <w:t>Qdrant 仅存储向量和必要 Payload；原始文档及治理元数据保存在受控文件系统和 Oracle。</w:t>
      </w:r>
    </w:p>
    <w:p>
      <w:pPr>
        <w:pStyle w:val="Heading2"/>
        <w:keepNext/>
        <w:pageBreakBefore w:val="0"/>
      </w:pPr>
      <w:r>
        <w:rPr>
          <w:rFonts w:ascii="Arial" w:hAnsi="Arial" w:eastAsia="Microsoft YaHei"/>
          <w:b/>
          <w:color w:val="2E74B5"/>
          <w:sz w:val="26"/>
        </w:rPr>
        <w:t>5.3 主要运行时流程</w:t>
      </w:r>
    </w:p>
    <w:p>
      <w:pPr>
        <w:pStyle w:val="ListNumber"/>
        <w:keepNext w:val="0"/>
        <w:spacing w:before="0" w:after="100" w:line="264" w:lineRule="auto"/>
        <w:ind w:left="720" w:hanging="360"/>
      </w:pPr>
      <w:r>
        <w:rPr>
          <w:rFonts w:ascii="Arial" w:hAnsi="Arial" w:eastAsia="Microsoft YaHei"/>
          <w:i w:val="0"/>
          <w:color w:val="17202A"/>
          <w:sz w:val="22"/>
        </w:rPr>
        <w:t>用户经登录接口获得随机 Bearer Token；服务端数据库只保存 Token 的 SHA-256 摘要。</w:t>
      </w:r>
    </w:p>
    <w:p>
      <w:pPr>
        <w:pStyle w:val="ListNumber"/>
        <w:keepNext w:val="0"/>
        <w:spacing w:before="0" w:after="100" w:line="264" w:lineRule="auto"/>
        <w:ind w:left="720" w:hanging="360"/>
      </w:pPr>
      <w:r>
        <w:rPr>
          <w:rFonts w:ascii="Arial" w:hAnsi="Arial" w:eastAsia="Microsoft YaHei"/>
          <w:i w:val="0"/>
          <w:color w:val="17202A"/>
          <w:sz w:val="22"/>
        </w:rPr>
        <w:t>前端提交问题和知识域；后端写入 query_run 并开始理解阶段。</w:t>
      </w:r>
    </w:p>
    <w:p>
      <w:pPr>
        <w:pStyle w:val="ListNumber"/>
        <w:keepNext w:val="0"/>
        <w:spacing w:before="0" w:after="100" w:line="264" w:lineRule="auto"/>
        <w:ind w:left="720" w:hanging="360"/>
      </w:pPr>
      <w:r>
        <w:rPr>
          <w:rFonts w:ascii="Arial" w:hAnsi="Arial" w:eastAsia="Microsoft YaHei"/>
          <w:i w:val="0"/>
          <w:color w:val="17202A"/>
          <w:sz w:val="22"/>
        </w:rPr>
        <w:t>向量库检索最多 6 个相关片段；语义服务加载指标和关系；训练服务选择最多 3 个相关标准 SQL。</w:t>
      </w:r>
    </w:p>
    <w:p>
      <w:pPr>
        <w:pStyle w:val="ListNumber"/>
        <w:keepNext w:val="0"/>
        <w:spacing w:before="0" w:after="100" w:line="264" w:lineRule="auto"/>
        <w:ind w:left="720" w:hanging="360"/>
      </w:pPr>
      <w:r>
        <w:rPr>
          <w:rFonts w:ascii="Arial" w:hAnsi="Arial" w:eastAsia="Microsoft YaHei"/>
          <w:i w:val="0"/>
          <w:color w:val="17202A"/>
          <w:sz w:val="22"/>
        </w:rPr>
        <w:t>若最高标准 SQL 相似度达到 0.90，则走确定性直达；否则调用当前聊天模型生成严格 JSON。</w:t>
      </w:r>
    </w:p>
    <w:p>
      <w:pPr>
        <w:pStyle w:val="ListNumber"/>
        <w:keepNext w:val="0"/>
        <w:spacing w:before="0" w:after="100" w:line="264" w:lineRule="auto"/>
        <w:ind w:left="720" w:hanging="360"/>
      </w:pPr>
      <w:r>
        <w:rPr>
          <w:rFonts w:ascii="Arial" w:hAnsi="Arial" w:eastAsia="Microsoft YaHei"/>
          <w:i w:val="0"/>
          <w:color w:val="17202A"/>
          <w:sz w:val="22"/>
        </w:rPr>
        <w:t>GeneratedQueryParser 提取 SQL、解释、假设和置信度；SQLGuard 解析 AST、验证只读、白名单和危险函数。</w:t>
      </w:r>
    </w:p>
    <w:p>
      <w:pPr>
        <w:pStyle w:val="ListNumber"/>
        <w:keepNext w:val="0"/>
        <w:spacing w:before="0" w:after="100" w:line="264" w:lineRule="auto"/>
        <w:ind w:left="720" w:hanging="360"/>
      </w:pPr>
      <w:r>
        <w:rPr>
          <w:rFonts w:ascii="Arial" w:hAnsi="Arial" w:eastAsia="Microsoft YaHei"/>
          <w:i w:val="0"/>
          <w:color w:val="17202A"/>
          <w:sz w:val="22"/>
        </w:rPr>
        <w:t>SafeQueryExecutor 设置最大行数、超时和 Fetch Size，通过 JDBC 执行 Oracle SELECT。</w:t>
      </w:r>
    </w:p>
    <w:p>
      <w:pPr>
        <w:pStyle w:val="ListNumber"/>
        <w:keepNext w:val="0"/>
        <w:spacing w:before="0" w:after="100" w:line="264" w:lineRule="auto"/>
        <w:ind w:left="720" w:hanging="360"/>
      </w:pPr>
      <w:r>
        <w:rPr>
          <w:rFonts w:ascii="Arial" w:hAnsi="Arial" w:eastAsia="Microsoft YaHei"/>
          <w:i w:val="0"/>
          <w:color w:val="17202A"/>
          <w:sz w:val="22"/>
        </w:rPr>
        <w:t>系统保存 SQL、结果快照、摘要、耗时和审计；前端显示图表和可审计 SQL。</w:t>
      </w:r>
    </w:p>
    <w:p>
      <w:pPr>
        <w:pStyle w:val="ListNumber"/>
        <w:keepNext w:val="0"/>
        <w:spacing w:before="0" w:after="100" w:line="264" w:lineRule="auto"/>
        <w:ind w:left="720" w:hanging="360"/>
      </w:pPr>
      <w:r>
        <w:rPr>
          <w:rFonts w:ascii="Arial" w:hAnsi="Arial" w:eastAsia="Microsoft YaHei"/>
          <w:i w:val="0"/>
          <w:color w:val="17202A"/>
          <w:sz w:val="22"/>
        </w:rPr>
        <w:t>用户正向确认后才开放 XLSX/CSV/XML 导出；负向反馈可转训练草稿。</w:t>
      </w:r>
    </w:p>
    <w:p>
      <w:pPr>
        <w:pStyle w:val="Heading1"/>
        <w:keepNext/>
        <w:pageBreakBefore/>
      </w:pPr>
      <w:r>
        <w:rPr>
          <w:rFonts w:ascii="Arial" w:hAnsi="Arial" w:eastAsia="Microsoft YaHei"/>
          <w:b/>
          <w:color w:val="2E74B5"/>
          <w:sz w:val="32"/>
        </w:rPr>
        <w:t>6. 前端系统设计</w:t>
      </w:r>
    </w:p>
    <w:p>
      <w:pPr>
        <w:keepNext w:val="0"/>
        <w:spacing w:before="0" w:after="120" w:line="264" w:lineRule="auto"/>
      </w:pPr>
      <w:r>
        <w:rPr>
          <w:rFonts w:ascii="Arial" w:hAnsi="Arial" w:eastAsia="Microsoft YaHei"/>
          <w:i w:val="0"/>
          <w:color w:val="17202A"/>
          <w:sz w:val="22"/>
        </w:rPr>
        <w:t>前端采用 Vue 3 + TypeScript + Vite。代码按 views、components、services、stores、router、types 和 styles 分层，避免把接口、状态和 UI 堆叠在单一组件中。</w:t>
      </w:r>
    </w:p>
    <w:tbl>
      <w:tblPr>
        <w:tblW w:type="dxa" w:w="9360"/>
        <w:tblLayout w:type="fixed"/>
        <w:tblLook w:firstColumn="1" w:firstRow="1" w:lastColumn="0" w:lastRow="0" w:noHBand="0" w:noVBand="1" w:val="04A0"/>
        <w:jc w:val="left"/>
        <w:tblInd w:w="120" w:type="dxa"/>
      </w:tblPr>
      <w:tblGrid>
        <w:gridCol w:w="1800"/>
        <w:gridCol w:w="2900"/>
        <w:gridCol w:w="4660"/>
      </w:tblGrid>
      <w:tr>
        <w:trPr>
          <w:trHeight w:hRule="atLeast"/>
          <w:tblHeader w:val="true"/>
        </w:trPr>
        <w:tc>
          <w:tcPr>
            <w:tcW w:type="dxa" w:w="18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模块</w:t>
            </w:r>
          </w:p>
        </w:tc>
        <w:tc>
          <w:tcPr>
            <w:tcW w:type="dxa" w:w="2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职责</w:t>
            </w:r>
          </w:p>
        </w:tc>
        <w:tc>
          <w:tcPr>
            <w:tcW w:type="dxa" w:w="46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关键实现</w:t>
            </w:r>
          </w:p>
        </w:tc>
      </w:tr>
      <w:tr>
        <w:trPr>
          <w:trHeight w:hRule="atLeast"/>
        </w:trPr>
        <w:tc>
          <w:tcPr>
            <w:tcW w:type="dxa" w:w="1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LoginView</w:t>
            </w:r>
          </w:p>
        </w:tc>
        <w:tc>
          <w:tcPr>
            <w:tcW w:type="dxa" w:w="2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登录与权限提示</w:t>
            </w:r>
          </w:p>
        </w:tc>
        <w:tc>
          <w:tcPr>
            <w:tcW w:type="dxa" w:w="46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调用 auth-api；Token 仅由统一存储工具管理</w:t>
            </w:r>
          </w:p>
        </w:tc>
      </w:tr>
      <w:tr>
        <w:trPr>
          <w:trHeight w:hRule="atLeast"/>
        </w:trPr>
        <w:tc>
          <w:tcPr>
            <w:tcW w:type="dxa" w:w="1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AppLayout</w:t>
            </w:r>
          </w:p>
        </w:tc>
        <w:tc>
          <w:tcPr>
            <w:tcW w:type="dxa" w:w="2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统一导航与用户信息</w:t>
            </w:r>
          </w:p>
        </w:tc>
        <w:tc>
          <w:tcPr>
            <w:tcW w:type="dxa" w:w="46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依据 permissions 动态展示菜单；状态区显示模型和服务健康</w:t>
            </w:r>
          </w:p>
        </w:tc>
      </w:tr>
      <w:tr>
        <w:trPr>
          <w:trHeight w:hRule="atLeast"/>
        </w:trPr>
        <w:tc>
          <w:tcPr>
            <w:tcW w:type="dxa" w:w="1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QueryView</w:t>
            </w:r>
          </w:p>
        </w:tc>
        <w:tc>
          <w:tcPr>
            <w:tcW w:type="dxa" w:w="2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问题输入和结果展示</w:t>
            </w:r>
          </w:p>
        </w:tc>
        <w:tc>
          <w:tcPr>
            <w:tcW w:type="dxa" w:w="46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QuestionComposer、QueryResultPanel、ResultChart</w:t>
            </w:r>
          </w:p>
        </w:tc>
      </w:tr>
      <w:tr>
        <w:trPr>
          <w:trHeight w:hRule="atLeast"/>
        </w:trPr>
        <w:tc>
          <w:tcPr>
            <w:tcW w:type="dxa" w:w="1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ReportView</w:t>
            </w:r>
          </w:p>
        </w:tc>
        <w:tc>
          <w:tcPr>
            <w:tcW w:type="dxa" w:w="2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报告生成与历史</w:t>
            </w:r>
          </w:p>
        </w:tc>
        <w:tc>
          <w:tcPr>
            <w:tcW w:type="dxa" w:w="46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报告请求、章节结果、SQL 证据和建议</w:t>
            </w:r>
          </w:p>
        </w:tc>
      </w:tr>
      <w:tr>
        <w:trPr>
          <w:trHeight w:hRule="atLeast"/>
        </w:trPr>
        <w:tc>
          <w:tcPr>
            <w:tcW w:type="dxa" w:w="1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TrainingCenterView</w:t>
            </w:r>
          </w:p>
        </w:tc>
        <w:tc>
          <w:tcPr>
            <w:tcW w:type="dxa" w:w="2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知识与语义治理</w:t>
            </w:r>
          </w:p>
        </w:tc>
        <w:tc>
          <w:tcPr>
            <w:tcW w:type="dxa" w:w="46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10 个标签页；编辑弹窗和数据表组件复用</w:t>
            </w:r>
          </w:p>
        </w:tc>
      </w:tr>
      <w:tr>
        <w:trPr>
          <w:trHeight w:hRule="atLeast"/>
        </w:trPr>
        <w:tc>
          <w:tcPr>
            <w:tcW w:type="dxa" w:w="1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services</w:t>
            </w:r>
          </w:p>
        </w:tc>
        <w:tc>
          <w:tcPr>
            <w:tcW w:type="dxa" w:w="2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统一 API 客户端</w:t>
            </w:r>
          </w:p>
        </w:tc>
        <w:tc>
          <w:tcPr>
            <w:tcW w:type="dxa" w:w="46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Axios 拦截器注入 Token；401 清理会话、403 导向无权页面</w:t>
            </w:r>
          </w:p>
        </w:tc>
      </w:tr>
      <w:tr>
        <w:trPr>
          <w:trHeight w:hRule="atLeast"/>
        </w:trPr>
        <w:tc>
          <w:tcPr>
            <w:tcW w:type="dxa" w:w="1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router</w:t>
            </w:r>
          </w:p>
        </w:tc>
        <w:tc>
          <w:tcPr>
            <w:tcW w:type="dxa" w:w="2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页面级访问控制</w:t>
            </w:r>
          </w:p>
        </w:tc>
        <w:tc>
          <w:tcPr>
            <w:tcW w:type="dxa" w:w="46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路由 meta.permission 与后端 PermissionCode 对齐</w:t>
            </w:r>
          </w:p>
        </w:tc>
      </w:tr>
    </w:tbl>
    <w:p>
      <w:pPr>
        <w:spacing w:after="40"/>
      </w:pPr>
    </w:p>
    <w:p>
      <w:pPr>
        <w:keepNext/>
        <w:jc w:val="center"/>
      </w:pPr>
      <w:r>
        <w:drawing>
          <wp:inline xmlns:a="http://schemas.openxmlformats.org/drawingml/2006/main" xmlns:pic="http://schemas.openxmlformats.org/drawingml/2006/picture">
            <wp:extent cx="5897880" cy="3317558"/>
            <wp:docPr id="1" name="Picture 1" descr="图 6-1  登录页面与产品定位" title="图 6-1  登录页面与产品定位"/>
            <wp:cNvGraphicFramePr>
              <a:graphicFrameLocks noChangeAspect="1"/>
            </wp:cNvGraphicFramePr>
            <a:graphic>
              <a:graphicData uri="http://schemas.openxmlformats.org/drawingml/2006/picture">
                <pic:pic>
                  <pic:nvPicPr>
                    <pic:cNvPr id="0" name="01-login.png"/>
                    <pic:cNvPicPr/>
                  </pic:nvPicPr>
                  <pic:blipFill>
                    <a:blip r:embed="rId11"/>
                    <a:stretch>
                      <a:fillRect/>
                    </a:stretch>
                  </pic:blipFill>
                  <pic:spPr>
                    <a:xfrm>
                      <a:off x="0" y="0"/>
                      <a:ext cx="5897880" cy="3317558"/>
                    </a:xfrm>
                    <a:prstGeom prst="rect"/>
                  </pic:spPr>
                </pic:pic>
              </a:graphicData>
            </a:graphic>
          </wp:inline>
        </w:drawing>
      </w:r>
    </w:p>
    <w:p>
      <w:pPr>
        <w:spacing w:before="80" w:after="160"/>
        <w:jc w:val="center"/>
      </w:pPr>
      <w:r>
        <w:rPr>
          <w:rFonts w:ascii="Arial" w:hAnsi="Arial" w:eastAsia="Microsoft YaHei"/>
          <w:i/>
          <w:color w:val="667085"/>
          <w:sz w:val="18"/>
        </w:rPr>
        <w:t>图 6-1  登录页面与产品定位</w:t>
      </w:r>
    </w:p>
    <w:p>
      <w:pPr>
        <w:keepNext/>
        <w:jc w:val="center"/>
      </w:pPr>
      <w:r>
        <w:drawing>
          <wp:inline xmlns:a="http://schemas.openxmlformats.org/drawingml/2006/main" xmlns:pic="http://schemas.openxmlformats.org/drawingml/2006/picture">
            <wp:extent cx="5897880" cy="3319597"/>
            <wp:docPr id="2" name="Picture 2" descr="图 6-2  数据问答、结果图表与可审计 SQL" title="图 6-2  数据问答、结果图表与可审计 SQL"/>
            <wp:cNvGraphicFramePr>
              <a:graphicFrameLocks noChangeAspect="1"/>
            </wp:cNvGraphicFramePr>
            <a:graphic>
              <a:graphicData uri="http://schemas.openxmlformats.org/drawingml/2006/picture">
                <pic:pic>
                  <pic:nvPicPr>
                    <pic:cNvPr id="0" name="02-query-result.png"/>
                    <pic:cNvPicPr/>
                  </pic:nvPicPr>
                  <pic:blipFill>
                    <a:blip r:embed="rId12"/>
                    <a:stretch>
                      <a:fillRect/>
                    </a:stretch>
                  </pic:blipFill>
                  <pic:spPr>
                    <a:xfrm>
                      <a:off x="0" y="0"/>
                      <a:ext cx="5897880" cy="3319597"/>
                    </a:xfrm>
                    <a:prstGeom prst="rect"/>
                  </pic:spPr>
                </pic:pic>
              </a:graphicData>
            </a:graphic>
          </wp:inline>
        </w:drawing>
      </w:r>
    </w:p>
    <w:p>
      <w:pPr>
        <w:spacing w:before="80" w:after="160"/>
        <w:jc w:val="center"/>
      </w:pPr>
      <w:r>
        <w:rPr>
          <w:rFonts w:ascii="Arial" w:hAnsi="Arial" w:eastAsia="Microsoft YaHei"/>
          <w:i/>
          <w:color w:val="667085"/>
          <w:sz w:val="18"/>
        </w:rPr>
        <w:t>图 6-2  数据问答、结果图表与可审计 SQL</w:t>
      </w:r>
    </w:p>
    <w:p>
      <w:pPr>
        <w:keepNext/>
        <w:jc w:val="center"/>
      </w:pPr>
      <w:r>
        <w:drawing>
          <wp:inline xmlns:a="http://schemas.openxmlformats.org/drawingml/2006/main" xmlns:pic="http://schemas.openxmlformats.org/drawingml/2006/picture">
            <wp:extent cx="5897880" cy="3319597"/>
            <wp:docPr id="3" name="Picture 3" descr="图 6-3  智能报告生成与章节化证据" title="图 6-3  智能报告生成与章节化证据"/>
            <wp:cNvGraphicFramePr>
              <a:graphicFrameLocks noChangeAspect="1"/>
            </wp:cNvGraphicFramePr>
            <a:graphic>
              <a:graphicData uri="http://schemas.openxmlformats.org/drawingml/2006/picture">
                <pic:pic>
                  <pic:nvPicPr>
                    <pic:cNvPr id="0" name="03-smart-report.png"/>
                    <pic:cNvPicPr/>
                  </pic:nvPicPr>
                  <pic:blipFill>
                    <a:blip r:embed="rId13"/>
                    <a:stretch>
                      <a:fillRect/>
                    </a:stretch>
                  </pic:blipFill>
                  <pic:spPr>
                    <a:xfrm>
                      <a:off x="0" y="0"/>
                      <a:ext cx="5897880" cy="3319597"/>
                    </a:xfrm>
                    <a:prstGeom prst="rect"/>
                  </pic:spPr>
                </pic:pic>
              </a:graphicData>
            </a:graphic>
          </wp:inline>
        </w:drawing>
      </w:r>
    </w:p>
    <w:p>
      <w:pPr>
        <w:spacing w:before="80" w:after="160"/>
        <w:jc w:val="center"/>
      </w:pPr>
      <w:r>
        <w:rPr>
          <w:rFonts w:ascii="Arial" w:hAnsi="Arial" w:eastAsia="Microsoft YaHei"/>
          <w:i/>
          <w:color w:val="667085"/>
          <w:sz w:val="18"/>
        </w:rPr>
        <w:t>图 6-3  智能报告生成与章节化证据</w:t>
      </w:r>
    </w:p>
    <w:p>
      <w:pPr>
        <w:keepNext/>
        <w:jc w:val="center"/>
      </w:pPr>
      <w:r>
        <w:drawing>
          <wp:inline xmlns:a="http://schemas.openxmlformats.org/drawingml/2006/main" xmlns:pic="http://schemas.openxmlformats.org/drawingml/2006/picture">
            <wp:extent cx="5897880" cy="3319597"/>
            <wp:docPr id="4" name="Picture 4" descr="图 6-4  AI 训练中心治理概览" title="图 6-4  AI 训练中心治理概览"/>
            <wp:cNvGraphicFramePr>
              <a:graphicFrameLocks noChangeAspect="1"/>
            </wp:cNvGraphicFramePr>
            <a:graphic>
              <a:graphicData uri="http://schemas.openxmlformats.org/drawingml/2006/picture">
                <pic:pic>
                  <pic:nvPicPr>
                    <pic:cNvPr id="0" name="04-training-overview.png"/>
                    <pic:cNvPicPr/>
                  </pic:nvPicPr>
                  <pic:blipFill>
                    <a:blip r:embed="rId14"/>
                    <a:stretch>
                      <a:fillRect/>
                    </a:stretch>
                  </pic:blipFill>
                  <pic:spPr>
                    <a:xfrm>
                      <a:off x="0" y="0"/>
                      <a:ext cx="5897880" cy="3319597"/>
                    </a:xfrm>
                    <a:prstGeom prst="rect"/>
                  </pic:spPr>
                </pic:pic>
              </a:graphicData>
            </a:graphic>
          </wp:inline>
        </w:drawing>
      </w:r>
    </w:p>
    <w:p>
      <w:pPr>
        <w:spacing w:before="80" w:after="160"/>
        <w:jc w:val="center"/>
      </w:pPr>
      <w:r>
        <w:rPr>
          <w:rFonts w:ascii="Arial" w:hAnsi="Arial" w:eastAsia="Microsoft YaHei"/>
          <w:i/>
          <w:color w:val="667085"/>
          <w:sz w:val="18"/>
        </w:rPr>
        <w:t>图 6-4  AI 训练中心治理概览</w:t>
      </w:r>
    </w:p>
    <w:p>
      <w:pPr>
        <w:pStyle w:val="Heading1"/>
        <w:keepNext/>
        <w:pageBreakBefore/>
      </w:pPr>
      <w:r>
        <w:rPr>
          <w:rFonts w:ascii="Arial" w:hAnsi="Arial" w:eastAsia="Microsoft YaHei"/>
          <w:b/>
          <w:color w:val="2E74B5"/>
          <w:sz w:val="32"/>
        </w:rPr>
        <w:t>7. 后端服务设计</w:t>
      </w:r>
    </w:p>
    <w:tbl>
      <w:tblPr>
        <w:tblW w:type="dxa" w:w="9360"/>
        <w:tblLayout w:type="fixed"/>
        <w:tblLook w:firstColumn="1" w:firstRow="1" w:lastColumn="0" w:lastRow="0" w:noHBand="0" w:noVBand="1" w:val="04A0"/>
        <w:jc w:val="left"/>
        <w:tblInd w:w="120" w:type="dxa"/>
      </w:tblPr>
      <w:tblGrid>
        <w:gridCol w:w="1300"/>
        <w:gridCol w:w="3100"/>
        <w:gridCol w:w="4960"/>
      </w:tblGrid>
      <w:tr>
        <w:trPr>
          <w:trHeight w:hRule="atLeast"/>
          <w:tblHeader w:val="true"/>
        </w:trPr>
        <w:tc>
          <w:tcPr>
            <w:tcW w:type="dxa" w:w="13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包</w:t>
            </w:r>
          </w:p>
        </w:tc>
        <w:tc>
          <w:tcPr>
            <w:tcW w:type="dxa" w:w="31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核心类</w:t>
            </w:r>
          </w:p>
        </w:tc>
        <w:tc>
          <w:tcPr>
            <w:tcW w:type="dxa" w:w="49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职责</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auth</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AuthService / AuthTokenFilter / SecurityConfig</w:t>
            </w:r>
          </w:p>
        </w:tc>
        <w:tc>
          <w:tcPr>
            <w:tcW w:type="dxa" w:w="4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认证、会话、角色权限和服务端访问边界</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query</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QueryOrchestrator / SqlGuard / SafeQueryExecutor</w:t>
            </w:r>
          </w:p>
        </w:tc>
        <w:tc>
          <w:tcPr>
            <w:tcW w:type="dxa" w:w="4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NL2SQL 编排、SQL 校验、执行、反馈和导出</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knowledge</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KnowledgeService / QdrantVectorStoreAdapter</w:t>
            </w:r>
          </w:p>
        </w:tc>
        <w:tc>
          <w:tcPr>
            <w:tcW w:type="dxa" w:w="4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文档保存、Tika 解析、分块、向量写入与检索</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semantic</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SemanticService</w:t>
            </w:r>
          </w:p>
        </w:tc>
        <w:tc>
          <w:tcPr>
            <w:tcW w:type="dxa" w:w="4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指标和关系维护、发布与检索</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training</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TrainingService / TrainingEvaluationService</w:t>
            </w:r>
          </w:p>
        </w:tc>
        <w:tc>
          <w:tcPr>
            <w:tcW w:type="dxa" w:w="4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Schema、同义词、标准 SQL、黄金评测和反馈提升</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report</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ReportService</w:t>
            </w:r>
          </w:p>
        </w:tc>
        <w:tc>
          <w:tcPr>
            <w:tcW w:type="dxa" w:w="4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受控多查询编排和报告持久化</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config</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ModelRuntimeService / AiBiProperties</w:t>
            </w:r>
          </w:p>
        </w:tc>
        <w:tc>
          <w:tcPr>
            <w:tcW w:type="dxa" w:w="4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模型路由、配置快照和平台信息</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audit/common</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AuditController / GlobalExceptionHandler</w:t>
            </w:r>
          </w:p>
        </w:tc>
        <w:tc>
          <w:tcPr>
            <w:tcW w:type="dxa" w:w="4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审计查询、统一错误码、Trace ID 与数据库结果标准化</w:t>
            </w:r>
          </w:p>
        </w:tc>
      </w:tr>
    </w:tbl>
    <w:p>
      <w:pPr>
        <w:spacing w:after="40"/>
      </w:pPr>
    </w:p>
    <w:p>
      <w:pPr>
        <w:pStyle w:val="Heading2"/>
        <w:keepNext/>
        <w:pageBreakBefore w:val="0"/>
      </w:pPr>
      <w:r>
        <w:rPr>
          <w:rFonts w:ascii="Arial" w:hAnsi="Arial" w:eastAsia="Microsoft YaHei"/>
          <w:b/>
          <w:color w:val="2E74B5"/>
          <w:sz w:val="26"/>
        </w:rPr>
        <w:t>7.1 事务边界</w:t>
      </w:r>
    </w:p>
    <w:p>
      <w:pPr>
        <w:pStyle w:val="ListBullet"/>
        <w:keepNext w:val="0"/>
        <w:spacing w:before="0" w:after="80" w:line="264" w:lineRule="auto"/>
        <w:ind w:left="720" w:hanging="360"/>
      </w:pPr>
      <w:r>
        <w:rPr>
          <w:rFonts w:ascii="Arial" w:hAnsi="Arial" w:eastAsia="Microsoft YaHei"/>
          <w:i w:val="0"/>
          <w:color w:val="17202A"/>
          <w:sz w:val="22"/>
        </w:rPr>
        <w:t>登录、问答、反馈、训练资产发布等写操作使用 Spring 事务。</w:t>
      </w:r>
    </w:p>
    <w:p>
      <w:pPr>
        <w:pStyle w:val="ListBullet"/>
        <w:keepNext w:val="0"/>
        <w:spacing w:before="0" w:after="80" w:line="264" w:lineRule="auto"/>
        <w:ind w:left="720" w:hanging="360"/>
      </w:pPr>
      <w:r>
        <w:rPr>
          <w:rFonts w:ascii="Arial" w:hAnsi="Arial" w:eastAsia="Microsoft YaHei"/>
          <w:i w:val="0"/>
          <w:color w:val="17202A"/>
          <w:sz w:val="22"/>
        </w:rPr>
        <w:t>外部模型或 Qdrant 调用不宜长期占用数据库事务；生产版应拆成状态机与异步任务。</w:t>
      </w:r>
    </w:p>
    <w:p>
      <w:pPr>
        <w:pStyle w:val="ListBullet"/>
        <w:keepNext w:val="0"/>
        <w:spacing w:before="0" w:after="80" w:line="264" w:lineRule="auto"/>
        <w:ind w:left="720" w:hanging="360"/>
      </w:pPr>
      <w:r>
        <w:rPr>
          <w:rFonts w:ascii="Arial" w:hAnsi="Arial" w:eastAsia="Microsoft YaHei"/>
          <w:i w:val="0"/>
          <w:color w:val="17202A"/>
          <w:sz w:val="22"/>
        </w:rPr>
        <w:t>查询执行失败更新 query_run=FAILED 并记录 error_message；当前审计序列化失败不会阻断成功查询，生产应调整为可靠事件投递。</w:t>
      </w:r>
    </w:p>
    <w:p>
      <w:pPr>
        <w:pStyle w:val="Heading2"/>
        <w:keepNext/>
        <w:pageBreakBefore w:val="0"/>
      </w:pPr>
      <w:r>
        <w:rPr>
          <w:rFonts w:ascii="Arial" w:hAnsi="Arial" w:eastAsia="Microsoft YaHei"/>
          <w:b/>
          <w:color w:val="2E74B5"/>
          <w:sz w:val="26"/>
        </w:rPr>
        <w:t>7.2 错误模型</w:t>
      </w:r>
    </w:p>
    <w:p>
      <w:pPr>
        <w:keepNext w:val="0"/>
        <w:spacing w:before="0" w:after="120" w:line="264" w:lineRule="auto"/>
      </w:pPr>
      <w:r>
        <w:rPr>
          <w:rFonts w:ascii="Arial" w:hAnsi="Arial" w:eastAsia="Microsoft YaHei"/>
          <w:i w:val="0"/>
          <w:color w:val="17202A"/>
          <w:sz w:val="22"/>
        </w:rPr>
        <w:t>业务异常统一返回 code、message 和 traceId。典型错误包括 INVALID_CREDENTIALS、FORBIDDEN、SQL_PARSE_FAILED、SQL_NOT_READ_ONLY、SQL_UNKNOWN_TABLE、SQL_DANGEROUS_FUNCTION、SQL_EXECUTION_FAILED、RESULT_NOT_CONFIRMED。前端只展示可读错误，不暴露服务器堆栈。</w:t>
      </w:r>
    </w:p>
    <w:p>
      <w:pPr>
        <w:pStyle w:val="Heading1"/>
        <w:keepNext/>
        <w:pageBreakBefore/>
      </w:pPr>
      <w:r>
        <w:rPr>
          <w:rFonts w:ascii="Arial" w:hAnsi="Arial" w:eastAsia="Microsoft YaHei"/>
          <w:b/>
          <w:color w:val="2E74B5"/>
          <w:sz w:val="32"/>
        </w:rPr>
        <w:t>8. AI、RAG 与受控 NL2SQL 设计</w:t>
      </w:r>
    </w:p>
    <w:p>
      <w:pPr>
        <w:pStyle w:val="Heading2"/>
        <w:keepNext/>
        <w:pageBreakBefore w:val="0"/>
      </w:pPr>
      <w:r>
        <w:rPr>
          <w:rFonts w:ascii="Arial" w:hAnsi="Arial" w:eastAsia="Microsoft YaHei"/>
          <w:b/>
          <w:color w:val="2E74B5"/>
          <w:sz w:val="26"/>
        </w:rPr>
        <w:t>8.1 受控生成链路</w:t>
      </w:r>
    </w:p>
    <w:tbl>
      <w:tblPr>
        <w:tblW w:type="dxa" w:w="9360"/>
        <w:tblLayout w:type="fixed"/>
        <w:tblLook w:firstColumn="1" w:firstRow="1" w:lastColumn="0" w:lastRow="0" w:noHBand="0" w:noVBand="1" w:val="04A0"/>
        <w:jc w:val="left"/>
        <w:tblInd w:w="120" w:type="dxa"/>
      </w:tblPr>
      <w:tblGrid>
        <w:gridCol w:w="1300"/>
        <w:gridCol w:w="1900"/>
        <w:gridCol w:w="3760"/>
        <w:gridCol w:w="2400"/>
      </w:tblGrid>
      <w:tr>
        <w:trPr>
          <w:trHeight w:hRule="atLeast"/>
          <w:tblHeader w:val="true"/>
        </w:trPr>
        <w:tc>
          <w:tcPr>
            <w:tcW w:type="dxa" w:w="13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阶段</w:t>
            </w:r>
          </w:p>
        </w:tc>
        <w:tc>
          <w:tcPr>
            <w:tcW w:type="dxa" w:w="1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输入</w:t>
            </w:r>
          </w:p>
        </w:tc>
        <w:tc>
          <w:tcPr>
            <w:tcW w:type="dxa" w:w="37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确定性控制</w:t>
            </w:r>
          </w:p>
        </w:tc>
        <w:tc>
          <w:tcPr>
            <w:tcW w:type="dxa" w:w="24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输出</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意图与检索</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问题、domain</w:t>
            </w:r>
          </w:p>
        </w:tc>
        <w:tc>
          <w:tcPr>
            <w:tcW w:type="dxa" w:w="37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TopK、域过滤、已发布资产</w:t>
            </w:r>
          </w:p>
        </w:tc>
        <w:tc>
          <w:tcPr>
            <w:tcW w:type="dxa" w:w="2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知识片段与业务上下文</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标准案例匹配</w:t>
            </w:r>
          </w:p>
        </w:tc>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问题、同义词</w:t>
            </w:r>
          </w:p>
        </w:tc>
        <w:tc>
          <w:tcPr>
            <w:tcW w:type="dxa" w:w="37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最多 3 条；0.90 阈值直接命中</w:t>
            </w:r>
          </w:p>
        </w:tc>
        <w:tc>
          <w:tcPr>
            <w:tcW w:type="dxa" w:w="2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标准 SQL 或 Few-shot</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模型规划</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指标、关系、文档、案例</w:t>
            </w:r>
          </w:p>
        </w:tc>
        <w:tc>
          <w:tcPr>
            <w:tcW w:type="dxa" w:w="37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Oracle 约束、严格 JSON、仅允许已知对象</w:t>
            </w:r>
          </w:p>
        </w:tc>
        <w:tc>
          <w:tcPr>
            <w:tcW w:type="dxa" w:w="2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候选 SQL、解释、假设、置信度</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SQL 门禁</w:t>
            </w:r>
          </w:p>
        </w:tc>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候选 SQL</w:t>
            </w:r>
          </w:p>
        </w:tc>
        <w:tc>
          <w:tcPr>
            <w:tcW w:type="dxa" w:w="37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AST、单语句、SELECT、危险函数、对象白名单</w:t>
            </w:r>
          </w:p>
        </w:tc>
        <w:tc>
          <w:tcPr>
            <w:tcW w:type="dxa" w:w="2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ValidationResult</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数据库执行</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通过校验的 SQL</w:t>
            </w:r>
          </w:p>
        </w:tc>
        <w:tc>
          <w:tcPr>
            <w:tcW w:type="dxa" w:w="37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JDBC 超时、最大行数、只读账号（目标）</w:t>
            </w:r>
          </w:p>
        </w:tc>
        <w:tc>
          <w:tcPr>
            <w:tcW w:type="dxa" w:w="2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结构化结果</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交付与审计</w:t>
            </w:r>
          </w:p>
        </w:tc>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结果、SQL、模型元数据</w:t>
            </w:r>
          </w:p>
        </w:tc>
        <w:tc>
          <w:tcPr>
            <w:tcW w:type="dxa" w:w="37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快照、反馈门禁、导出审计</w:t>
            </w:r>
          </w:p>
        </w:tc>
        <w:tc>
          <w:tcPr>
            <w:tcW w:type="dxa" w:w="2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回答、图表、报告/下载</w:t>
            </w:r>
          </w:p>
        </w:tc>
      </w:tr>
    </w:tbl>
    <w:p>
      <w:pPr>
        <w:spacing w:after="40"/>
      </w:pPr>
    </w:p>
    <w:p>
      <w:pPr>
        <w:pStyle w:val="Heading2"/>
        <w:keepNext/>
        <w:pageBreakBefore w:val="0"/>
      </w:pPr>
      <w:r>
        <w:rPr>
          <w:rFonts w:ascii="Arial" w:hAnsi="Arial" w:eastAsia="Microsoft YaHei"/>
          <w:b/>
          <w:color w:val="2E74B5"/>
          <w:sz w:val="26"/>
        </w:rPr>
        <w:t>8.2 RAG 设计</w:t>
      </w:r>
    </w:p>
    <w:p>
      <w:pPr>
        <w:pStyle w:val="ListBullet"/>
        <w:keepNext w:val="0"/>
        <w:spacing w:before="0" w:after="80" w:line="264" w:lineRule="auto"/>
        <w:ind w:left="720" w:hanging="360"/>
      </w:pPr>
      <w:r>
        <w:rPr>
          <w:rFonts w:ascii="Arial" w:hAnsi="Arial" w:eastAsia="Microsoft YaHei"/>
          <w:i w:val="0"/>
          <w:color w:val="17202A"/>
          <w:sz w:val="22"/>
        </w:rPr>
        <w:t>文档上传上限 20 MB，文件名经 Path.getFileName 清理，目标路径归一化并校验必须位于 storageRoot。</w:t>
      </w:r>
    </w:p>
    <w:p>
      <w:pPr>
        <w:pStyle w:val="ListBullet"/>
        <w:keepNext w:val="0"/>
        <w:spacing w:before="0" w:after="80" w:line="264" w:lineRule="auto"/>
        <w:ind w:left="720" w:hanging="360"/>
      </w:pPr>
      <w:r>
        <w:rPr>
          <w:rFonts w:ascii="Arial" w:hAnsi="Arial" w:eastAsia="Microsoft YaHei"/>
          <w:i w:val="0"/>
          <w:color w:val="17202A"/>
          <w:sz w:val="22"/>
        </w:rPr>
        <w:t>Apache Tika 提取文本；当前按约 900 字符、120 字符重叠分块，保留 domain、fileName、chunkIndex 元数据。</w:t>
      </w:r>
    </w:p>
    <w:p>
      <w:pPr>
        <w:pStyle w:val="ListBullet"/>
        <w:keepNext w:val="0"/>
        <w:spacing w:before="0" w:after="80" w:line="264" w:lineRule="auto"/>
        <w:ind w:left="720" w:hanging="360"/>
      </w:pPr>
      <w:r>
        <w:rPr>
          <w:rFonts w:ascii="Arial" w:hAnsi="Arial" w:eastAsia="Microsoft YaHei"/>
          <w:i w:val="0"/>
          <w:color w:val="17202A"/>
          <w:sz w:val="22"/>
        </w:rPr>
        <w:t>真实模式由 EmbeddingProvider 批量生成向量并写入 Qdrant；检索采用 Cosine 距离。</w:t>
      </w:r>
    </w:p>
    <w:p>
      <w:pPr>
        <w:pStyle w:val="ListBullet"/>
        <w:keepNext w:val="0"/>
        <w:spacing w:before="0" w:after="80" w:line="264" w:lineRule="auto"/>
        <w:ind w:left="720" w:hanging="360"/>
      </w:pPr>
      <w:r>
        <w:rPr>
          <w:rFonts w:ascii="Arial" w:hAnsi="Arial" w:eastAsia="Microsoft YaHei"/>
          <w:i w:val="0"/>
          <w:color w:val="17202A"/>
          <w:sz w:val="22"/>
        </w:rPr>
        <w:t>Qdrant 集合名包含 collectionPrefix、Embedding provider、模型名和 domain，避免不同模型/维度互相污染。</w:t>
      </w:r>
    </w:p>
    <w:p>
      <w:pPr>
        <w:pStyle w:val="ListBullet"/>
        <w:keepNext w:val="0"/>
        <w:spacing w:before="0" w:after="80" w:line="264" w:lineRule="auto"/>
        <w:ind w:left="720" w:hanging="360"/>
      </w:pPr>
      <w:r>
        <w:rPr>
          <w:rFonts w:ascii="Arial" w:hAnsi="Arial" w:eastAsia="Microsoft YaHei"/>
          <w:i w:val="0"/>
          <w:color w:val="17202A"/>
          <w:sz w:val="22"/>
        </w:rPr>
        <w:t>生产增强：文档类型白名单、杀毒/沙箱解析、PII 分类、内容审批、删除/重建、集合 alias 和快照恢复。</w:t>
      </w:r>
    </w:p>
    <w:p>
      <w:pPr>
        <w:pStyle w:val="Heading2"/>
        <w:keepNext/>
        <w:pageBreakBefore w:val="0"/>
      </w:pPr>
      <w:r>
        <w:rPr>
          <w:rFonts w:ascii="Arial" w:hAnsi="Arial" w:eastAsia="Microsoft YaHei"/>
          <w:b/>
          <w:color w:val="2E74B5"/>
          <w:sz w:val="26"/>
        </w:rPr>
        <w:t>8.3 防止多表聚合放大</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FF4CE"/>
          </w:tcPr>
          <w:p>
            <w:pPr>
              <w:spacing w:after="40"/>
            </w:pPr>
            <w:r>
              <w:rPr>
                <w:rFonts w:ascii="Arial" w:hAnsi="Arial" w:eastAsia="Microsoft YaHei"/>
                <w:b/>
                <w:color w:val="9A6700"/>
                <w:sz w:val="21"/>
              </w:rPr>
              <w:t xml:space="preserve">典型规则  </w:t>
            </w:r>
            <w:r>
              <w:rPr>
                <w:rFonts w:ascii="Arial" w:hAnsi="Arial" w:eastAsia="Microsoft YaHei"/>
                <w:color w:val="17202A"/>
                <w:sz w:val="21"/>
              </w:rPr>
              <w:t>退款等一对多事实先按 order_id 聚合，再与订单事实关联；销售额只统计 COMPLETED 订单。此类规则必须进入指标定义、标准 SQL 和黄金问题，而不能只依赖模型“理解”。</w:t>
            </w:r>
          </w:p>
        </w:tc>
      </w:tr>
    </w:tbl>
    <w:p>
      <w:pPr>
        <w:spacing w:after="40"/>
      </w:pPr>
    </w:p>
    <w:p>
      <w:pPr>
        <w:pStyle w:val="Heading1"/>
        <w:keepNext/>
        <w:pageBreakBefore/>
      </w:pPr>
      <w:r>
        <w:rPr>
          <w:rFonts w:ascii="Arial" w:hAnsi="Arial" w:eastAsia="Microsoft YaHei"/>
          <w:b/>
          <w:color w:val="2E74B5"/>
          <w:sz w:val="32"/>
        </w:rPr>
        <w:t>9. Semantic Layer 与训练中心</w:t>
      </w:r>
    </w:p>
    <w:p>
      <w:pPr>
        <w:keepNext w:val="0"/>
        <w:spacing w:before="0" w:after="120" w:line="264" w:lineRule="auto"/>
      </w:pPr>
      <w:r>
        <w:rPr>
          <w:rFonts w:ascii="Arial" w:hAnsi="Arial" w:eastAsia="Microsoft YaHei"/>
          <w:i w:val="0"/>
          <w:color w:val="17202A"/>
          <w:sz w:val="22"/>
        </w:rPr>
        <w:t>Semantic Layer 是数据库字段与业务语言之间的受控翻译层，承载“怎么算、怎么关联、哪些口语指向什么业务对象”。它与 RAG 互补：RAG 负责找到说明，Semantic Layer 负责给出可执行口径。</w:t>
      </w:r>
    </w:p>
    <w:tbl>
      <w:tblPr>
        <w:tblW w:type="dxa" w:w="9360"/>
        <w:tblLayout w:type="fixed"/>
        <w:tblLook w:firstColumn="1" w:firstRow="1" w:lastColumn="0" w:lastRow="0" w:noHBand="0" w:noVBand="1" w:val="04A0"/>
        <w:jc w:val="left"/>
        <w:tblInd w:w="120" w:type="dxa"/>
      </w:tblPr>
      <w:tblGrid>
        <w:gridCol w:w="1500"/>
        <w:gridCol w:w="3000"/>
        <w:gridCol w:w="1900"/>
        <w:gridCol w:w="2960"/>
      </w:tblGrid>
      <w:tr>
        <w:trPr>
          <w:trHeight w:hRule="atLeast"/>
          <w:tblHeader w:val="true"/>
        </w:trPr>
        <w:tc>
          <w:tcPr>
            <w:tcW w:type="dxa" w:w="15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资产类型</w:t>
            </w:r>
          </w:p>
        </w:tc>
        <w:tc>
          <w:tcPr>
            <w:tcW w:type="dxa" w:w="30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关键字段</w:t>
            </w:r>
          </w:p>
        </w:tc>
        <w:tc>
          <w:tcPr>
            <w:tcW w:type="dxa" w:w="1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生命周期</w:t>
            </w:r>
          </w:p>
        </w:tc>
        <w:tc>
          <w:tcPr>
            <w:tcW w:type="dxa" w:w="29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生成时用途</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Schema Asset</w:t>
            </w:r>
          </w:p>
        </w:tc>
        <w:tc>
          <w:tcPr>
            <w:tcW w:type="dxa" w:w="30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domain、dialect、DDL、description</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PUBLISHED</w:t>
            </w:r>
          </w:p>
        </w:tc>
        <w:tc>
          <w:tcPr>
            <w:tcW w:type="dxa" w:w="2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限制表字段和方言</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Metric</w:t>
            </w:r>
          </w:p>
        </w:tc>
        <w:tc>
          <w:tcPr>
            <w:tcW w:type="dxa" w:w="30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code、expression_sql、base_table、version</w:t>
            </w:r>
          </w:p>
        </w:tc>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DRAFT → PUBLISHED</w:t>
            </w:r>
          </w:p>
        </w:tc>
        <w:tc>
          <w:tcPr>
            <w:tcW w:type="dxa" w:w="2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确定指标公式和基础事实表</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Relation</w:t>
            </w:r>
          </w:p>
        </w:tc>
        <w:tc>
          <w:tcPr>
            <w:tcW w:type="dxa" w:w="30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left/right table、join_condition、cardinality</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enabled</w:t>
            </w:r>
          </w:p>
        </w:tc>
        <w:tc>
          <w:tcPr>
            <w:tcW w:type="dxa" w:w="2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选择 Join 路径并识别一对多风险</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Synonym</w:t>
            </w:r>
          </w:p>
        </w:tc>
        <w:tc>
          <w:tcPr>
            <w:tcW w:type="dxa" w:w="30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business_term、synonyms、target_expression</w:t>
            </w:r>
          </w:p>
        </w:tc>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PUBLISHED</w:t>
            </w:r>
          </w:p>
        </w:tc>
        <w:tc>
          <w:tcPr>
            <w:tcW w:type="dxa" w:w="2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扩展业务口语和过滤条件</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SQL Example</w:t>
            </w:r>
          </w:p>
        </w:tc>
        <w:tc>
          <w:tcPr>
            <w:tcW w:type="dxa" w:w="30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question、sql_text、status、hit_count</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DRAFT → PUBLISHED</w:t>
            </w:r>
          </w:p>
        </w:tc>
        <w:tc>
          <w:tcPr>
            <w:tcW w:type="dxa" w:w="2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高相似直达或 Few-shot</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Golden Question</w:t>
            </w:r>
          </w:p>
        </w:tc>
        <w:tc>
          <w:tcPr>
            <w:tcW w:type="dxa" w:w="30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expected_sql / expected_result_json</w:t>
            </w:r>
          </w:p>
        </w:tc>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ENABLED + 运行结果</w:t>
            </w:r>
          </w:p>
        </w:tc>
        <w:tc>
          <w:tcPr>
            <w:tcW w:type="dxa" w:w="2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回归评测和发布门禁</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Feedback</w:t>
            </w:r>
          </w:p>
        </w:tc>
        <w:tc>
          <w:tcPr>
            <w:tcW w:type="dxa" w:w="30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rating、comment、corrected_sql</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反馈 → 草稿 → 审核发布</w:t>
            </w:r>
          </w:p>
        </w:tc>
        <w:tc>
          <w:tcPr>
            <w:tcW w:type="dxa" w:w="2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形成持续改进闭环</w:t>
            </w:r>
          </w:p>
        </w:tc>
      </w:tr>
    </w:tbl>
    <w:p>
      <w:pPr>
        <w:spacing w:after="40"/>
      </w:pPr>
    </w:p>
    <w:p>
      <w:pPr>
        <w:pStyle w:val="Heading2"/>
        <w:keepNext/>
        <w:pageBreakBefore w:val="0"/>
      </w:pPr>
      <w:r>
        <w:rPr>
          <w:rFonts w:ascii="Arial" w:hAnsi="Arial" w:eastAsia="Microsoft YaHei"/>
          <w:b/>
          <w:color w:val="2E74B5"/>
          <w:sz w:val="26"/>
        </w:rPr>
        <w:t>9.1 治理流程</w:t>
      </w:r>
    </w:p>
    <w:p>
      <w:pPr>
        <w:pStyle w:val="ListNumber"/>
        <w:keepNext w:val="0"/>
        <w:spacing w:before="0" w:after="100" w:line="264" w:lineRule="auto"/>
        <w:ind w:left="720" w:hanging="360"/>
      </w:pPr>
      <w:r>
        <w:rPr>
          <w:rFonts w:ascii="Arial" w:hAnsi="Arial" w:eastAsia="Microsoft YaHei"/>
          <w:i w:val="0"/>
          <w:color w:val="17202A"/>
          <w:sz w:val="22"/>
        </w:rPr>
        <w:t>数据 Owner 提交 DDL、数据字典、业务制度和指标定义。</w:t>
      </w:r>
    </w:p>
    <w:p>
      <w:pPr>
        <w:pStyle w:val="ListNumber"/>
        <w:keepNext w:val="0"/>
        <w:spacing w:before="0" w:after="100" w:line="264" w:lineRule="auto"/>
        <w:ind w:left="720" w:hanging="360"/>
      </w:pPr>
      <w:r>
        <w:rPr>
          <w:rFonts w:ascii="Arial" w:hAnsi="Arial" w:eastAsia="Microsoft YaHei"/>
          <w:i w:val="0"/>
          <w:color w:val="17202A"/>
          <w:sz w:val="22"/>
        </w:rPr>
        <w:t>管理员配置关系、基数、同义词、标准 SQL 和黄金问题。</w:t>
      </w:r>
    </w:p>
    <w:p>
      <w:pPr>
        <w:pStyle w:val="ListNumber"/>
        <w:keepNext w:val="0"/>
        <w:spacing w:before="0" w:after="100" w:line="264" w:lineRule="auto"/>
        <w:ind w:left="720" w:hanging="360"/>
      </w:pPr>
      <w:r>
        <w:rPr>
          <w:rFonts w:ascii="Arial" w:hAnsi="Arial" w:eastAsia="Microsoft YaHei"/>
          <w:i w:val="0"/>
          <w:color w:val="17202A"/>
          <w:sz w:val="22"/>
        </w:rPr>
        <w:t>评审人员校验口径、权限、执行计划和敏感字段后发布。</w:t>
      </w:r>
    </w:p>
    <w:p>
      <w:pPr>
        <w:pStyle w:val="ListNumber"/>
        <w:keepNext w:val="0"/>
        <w:spacing w:before="0" w:after="100" w:line="264" w:lineRule="auto"/>
        <w:ind w:left="720" w:hanging="360"/>
      </w:pPr>
      <w:r>
        <w:rPr>
          <w:rFonts w:ascii="Arial" w:hAnsi="Arial" w:eastAsia="Microsoft YaHei"/>
          <w:i w:val="0"/>
          <w:color w:val="17202A"/>
          <w:sz w:val="22"/>
        </w:rPr>
        <w:t>上线前运行黄金集、对抗集和安全拒绝测试；不达标禁止发布。</w:t>
      </w:r>
    </w:p>
    <w:p>
      <w:pPr>
        <w:pStyle w:val="ListNumber"/>
        <w:keepNext w:val="0"/>
        <w:spacing w:before="0" w:after="100" w:line="264" w:lineRule="auto"/>
        <w:ind w:left="720" w:hanging="360"/>
      </w:pPr>
      <w:r>
        <w:rPr>
          <w:rFonts w:ascii="Arial" w:hAnsi="Arial" w:eastAsia="Microsoft YaHei"/>
          <w:i w:val="0"/>
          <w:color w:val="17202A"/>
          <w:sz w:val="22"/>
        </w:rPr>
        <w:t>用户反馈只进入草稿，不直接污染生产知识；复核后发布新版本。</w:t>
      </w:r>
    </w:p>
    <w:p>
      <w:pPr>
        <w:pStyle w:val="ListNumber"/>
        <w:keepNext w:val="0"/>
        <w:spacing w:before="0" w:after="100" w:line="264" w:lineRule="auto"/>
        <w:ind w:left="720" w:hanging="360"/>
      </w:pPr>
      <w:r>
        <w:rPr>
          <w:rFonts w:ascii="Arial" w:hAnsi="Arial" w:eastAsia="Microsoft YaHei"/>
          <w:i w:val="0"/>
          <w:color w:val="17202A"/>
          <w:sz w:val="22"/>
        </w:rPr>
        <w:t>模型或 Embedding 变更时执行独立索引、影子评估、切换和回滚。</w:t>
      </w:r>
    </w:p>
    <w:p>
      <w:pPr>
        <w:keepNext/>
        <w:jc w:val="center"/>
      </w:pPr>
      <w:r>
        <w:drawing>
          <wp:inline xmlns:a="http://schemas.openxmlformats.org/drawingml/2006/main" xmlns:pic="http://schemas.openxmlformats.org/drawingml/2006/picture">
            <wp:extent cx="5897880" cy="3319597"/>
            <wp:docPr id="5" name="Picture 5" descr="图 9-1  聊天模型与向量模型独立路由配置" title="图 9-1  聊天模型与向量模型独立路由配置"/>
            <wp:cNvGraphicFramePr>
              <a:graphicFrameLocks noChangeAspect="1"/>
            </wp:cNvGraphicFramePr>
            <a:graphic>
              <a:graphicData uri="http://schemas.openxmlformats.org/drawingml/2006/picture">
                <pic:pic>
                  <pic:nvPicPr>
                    <pic:cNvPr id="0" name="05-model-runtime.png"/>
                    <pic:cNvPicPr/>
                  </pic:nvPicPr>
                  <pic:blipFill>
                    <a:blip r:embed="rId15"/>
                    <a:stretch>
                      <a:fillRect/>
                    </a:stretch>
                  </pic:blipFill>
                  <pic:spPr>
                    <a:xfrm>
                      <a:off x="0" y="0"/>
                      <a:ext cx="5897880" cy="3319597"/>
                    </a:xfrm>
                    <a:prstGeom prst="rect"/>
                  </pic:spPr>
                </pic:pic>
              </a:graphicData>
            </a:graphic>
          </wp:inline>
        </w:drawing>
      </w:r>
    </w:p>
    <w:p>
      <w:pPr>
        <w:spacing w:before="80" w:after="160"/>
        <w:jc w:val="center"/>
      </w:pPr>
      <w:r>
        <w:rPr>
          <w:rFonts w:ascii="Arial" w:hAnsi="Arial" w:eastAsia="Microsoft YaHei"/>
          <w:i/>
          <w:color w:val="667085"/>
          <w:sz w:val="18"/>
        </w:rPr>
        <w:t>图 9-1  聊天模型与向量模型独立路由配置</w:t>
      </w:r>
    </w:p>
    <w:p>
      <w:pPr>
        <w:pStyle w:val="Heading1"/>
        <w:keepNext/>
        <w:pageBreakBefore/>
      </w:pPr>
      <w:r>
        <w:rPr>
          <w:rFonts w:ascii="Arial" w:hAnsi="Arial" w:eastAsia="Microsoft YaHei"/>
          <w:b/>
          <w:color w:val="2E74B5"/>
          <w:sz w:val="32"/>
        </w:rPr>
        <w:t>10. 智能报告与结果导出</w:t>
      </w:r>
    </w:p>
    <w:p>
      <w:pPr>
        <w:pStyle w:val="Heading2"/>
        <w:keepNext/>
        <w:pageBreakBefore w:val="0"/>
      </w:pPr>
      <w:r>
        <w:rPr>
          <w:rFonts w:ascii="Arial" w:hAnsi="Arial" w:eastAsia="Microsoft YaHei"/>
          <w:b/>
          <w:color w:val="2E74B5"/>
          <w:sz w:val="26"/>
        </w:rPr>
        <w:t>10.1 报告生成</w:t>
      </w:r>
    </w:p>
    <w:p>
      <w:pPr>
        <w:pStyle w:val="ListBullet"/>
        <w:keepNext w:val="0"/>
        <w:spacing w:before="0" w:after="80" w:line="264" w:lineRule="auto"/>
        <w:ind w:left="720" w:hanging="360"/>
      </w:pPr>
      <w:r>
        <w:rPr>
          <w:rFonts w:ascii="Arial" w:hAnsi="Arial" w:eastAsia="Microsoft YaHei"/>
          <w:i w:val="0"/>
          <w:color w:val="17202A"/>
          <w:sz w:val="22"/>
        </w:rPr>
        <w:t>报告请求包含标题和分析要求；ReportService 将主题拆成多个预定义/受控问题并复用 QueryOrchestrator。</w:t>
      </w:r>
    </w:p>
    <w:p>
      <w:pPr>
        <w:pStyle w:val="ListBullet"/>
        <w:keepNext w:val="0"/>
        <w:spacing w:before="0" w:after="80" w:line="264" w:lineRule="auto"/>
        <w:ind w:left="720" w:hanging="360"/>
      </w:pPr>
      <w:r>
        <w:rPr>
          <w:rFonts w:ascii="Arial" w:hAnsi="Arial" w:eastAsia="Microsoft YaHei"/>
          <w:i w:val="0"/>
          <w:color w:val="17202A"/>
          <w:sz w:val="22"/>
        </w:rPr>
        <w:t>每个章节保留问题、SQL、状态、摘要和数据证据，最终组合为 content_json 并持久化 report_job。</w:t>
      </w:r>
    </w:p>
    <w:p>
      <w:pPr>
        <w:pStyle w:val="ListBullet"/>
        <w:keepNext w:val="0"/>
        <w:spacing w:before="0" w:after="80" w:line="264" w:lineRule="auto"/>
        <w:ind w:left="720" w:hanging="360"/>
      </w:pPr>
      <w:r>
        <w:rPr>
          <w:rFonts w:ascii="Arial" w:hAnsi="Arial" w:eastAsia="Microsoft YaHei"/>
          <w:i w:val="0"/>
          <w:color w:val="17202A"/>
          <w:sz w:val="22"/>
        </w:rPr>
        <w:t>当前输出为页面报告；生产目标包括报告编辑、快照冻结、PDF/PPTX 导出、定时调度和审批分发。</w:t>
      </w:r>
    </w:p>
    <w:p>
      <w:pPr>
        <w:pStyle w:val="Heading2"/>
        <w:keepNext/>
        <w:pageBreakBefore w:val="0"/>
      </w:pPr>
      <w:r>
        <w:rPr>
          <w:rFonts w:ascii="Arial" w:hAnsi="Arial" w:eastAsia="Microsoft YaHei"/>
          <w:b/>
          <w:color w:val="2E74B5"/>
          <w:sz w:val="26"/>
        </w:rPr>
        <w:t>10.2 下载门禁</w:t>
      </w:r>
    </w:p>
    <w:p>
      <w:pPr>
        <w:pStyle w:val="ListNumber"/>
        <w:keepNext w:val="0"/>
        <w:spacing w:before="0" w:after="100" w:line="264" w:lineRule="auto"/>
        <w:ind w:left="720" w:hanging="360"/>
      </w:pPr>
      <w:r>
        <w:rPr>
          <w:rFonts w:ascii="Arial" w:hAnsi="Arial" w:eastAsia="Microsoft YaHei"/>
          <w:i w:val="0"/>
          <w:color w:val="17202A"/>
          <w:sz w:val="22"/>
        </w:rPr>
        <w:t>查询必须处于 COMPLETED，并存在 result_json 快照。</w:t>
      </w:r>
    </w:p>
    <w:p>
      <w:pPr>
        <w:pStyle w:val="ListNumber"/>
        <w:keepNext w:val="0"/>
        <w:spacing w:before="0" w:after="100" w:line="264" w:lineRule="auto"/>
        <w:ind w:left="720" w:hanging="360"/>
      </w:pPr>
      <w:r>
        <w:rPr>
          <w:rFonts w:ascii="Arial" w:hAnsi="Arial" w:eastAsia="Microsoft YaHei"/>
          <w:i w:val="0"/>
          <w:color w:val="17202A"/>
          <w:sz w:val="22"/>
        </w:rPr>
        <w:t>用户必须先提交 rating &gt;= 4 的正向反馈，确认结果正确。</w:t>
      </w:r>
    </w:p>
    <w:p>
      <w:pPr>
        <w:pStyle w:val="ListNumber"/>
        <w:keepNext w:val="0"/>
        <w:spacing w:before="0" w:after="100" w:line="264" w:lineRule="auto"/>
        <w:ind w:left="720" w:hanging="360"/>
      </w:pPr>
      <w:r>
        <w:rPr>
          <w:rFonts w:ascii="Arial" w:hAnsi="Arial" w:eastAsia="Microsoft YaHei"/>
          <w:i w:val="0"/>
          <w:color w:val="17202A"/>
          <w:sz w:val="22"/>
        </w:rPr>
        <w:t>服务端从快照生成 XLSX、CSV 或 XML，而不是重新执行 SQL，保证下载内容与确认内容一致。</w:t>
      </w:r>
    </w:p>
    <w:p>
      <w:pPr>
        <w:pStyle w:val="ListNumber"/>
        <w:keepNext w:val="0"/>
        <w:spacing w:before="0" w:after="100" w:line="264" w:lineRule="auto"/>
        <w:ind w:left="720" w:hanging="360"/>
      </w:pPr>
      <w:r>
        <w:rPr>
          <w:rFonts w:ascii="Arial" w:hAnsi="Arial" w:eastAsia="Microsoft YaHei"/>
          <w:i w:val="0"/>
          <w:color w:val="17202A"/>
          <w:sz w:val="22"/>
        </w:rPr>
        <w:t>导出写入 QUERY_EXPORTED 审计事件，记录用户、格式、行数和 queryRunId。</w:t>
      </w:r>
    </w:p>
    <w:p>
      <w:pPr>
        <w:pStyle w:val="Heading1"/>
        <w:keepNext/>
        <w:pageBreakBefore/>
      </w:pPr>
      <w:r>
        <w:rPr>
          <w:rFonts w:ascii="Arial" w:hAnsi="Arial" w:eastAsia="Microsoft YaHei"/>
          <w:b/>
          <w:color w:val="2E74B5"/>
          <w:sz w:val="32"/>
        </w:rPr>
        <w:t>11. 数据库与数据模型</w:t>
      </w:r>
    </w:p>
    <w:p>
      <w:pPr>
        <w:pStyle w:val="Heading2"/>
        <w:keepNext/>
        <w:pageBreakBefore w:val="0"/>
      </w:pPr>
      <w:r>
        <w:rPr>
          <w:rFonts w:ascii="Arial" w:hAnsi="Arial" w:eastAsia="Microsoft YaHei"/>
          <w:b/>
          <w:color w:val="2E74B5"/>
          <w:sz w:val="26"/>
        </w:rPr>
        <w:t>11.1 Oracle Schema 分类</w:t>
      </w:r>
    </w:p>
    <w:tbl>
      <w:tblPr>
        <w:tblW w:type="dxa" w:w="9360"/>
        <w:tblLayout w:type="fixed"/>
        <w:tblLook w:firstColumn="1" w:firstRow="1" w:lastColumn="0" w:lastRow="0" w:noHBand="0" w:noVBand="1" w:val="04A0"/>
        <w:jc w:val="left"/>
        <w:tblInd w:w="120" w:type="dxa"/>
      </w:tblPr>
      <w:tblGrid>
        <w:gridCol w:w="1600"/>
        <w:gridCol w:w="3900"/>
        <w:gridCol w:w="3860"/>
      </w:tblGrid>
      <w:tr>
        <w:trPr>
          <w:trHeight w:hRule="atLeast"/>
          <w:tblHeader w:val="true"/>
        </w:trPr>
        <w:tc>
          <w:tcPr>
            <w:tcW w:type="dxa" w:w="16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分类</w:t>
            </w:r>
          </w:p>
        </w:tc>
        <w:tc>
          <w:tcPr>
            <w:tcW w:type="dxa" w:w="3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主要表</w:t>
            </w:r>
          </w:p>
        </w:tc>
        <w:tc>
          <w:tcPr>
            <w:tcW w:type="dxa" w:w="38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说明</w:t>
            </w:r>
          </w:p>
        </w:tc>
      </w:tr>
      <w:tr>
        <w:trPr>
          <w:trHeight w:hRule="atLeast"/>
        </w:trPr>
        <w:tc>
          <w:tcPr>
            <w:tcW w:type="dxa" w:w="16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身份权限</w:t>
            </w:r>
          </w:p>
        </w:tc>
        <w:tc>
          <w:tcPr>
            <w:tcW w:type="dxa" w:w="3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app_user、app_role、app_permission、app_user_role、app_role_permission、auth_session</w:t>
            </w:r>
          </w:p>
        </w:tc>
        <w:tc>
          <w:tcPr>
            <w:tcW w:type="dxa" w:w="38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本地 RBAC 和可撤销会话</w:t>
            </w:r>
          </w:p>
        </w:tc>
      </w:tr>
      <w:tr>
        <w:trPr>
          <w:trHeight w:hRule="atLeast"/>
        </w:trPr>
        <w:tc>
          <w:tcPr>
            <w:tcW w:type="dxa" w:w="16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问答与审计</w:t>
            </w:r>
          </w:p>
        </w:tc>
        <w:tc>
          <w:tcPr>
            <w:tcW w:type="dxa" w:w="3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query_run、query_feedback、audit_event</w:t>
            </w:r>
          </w:p>
        </w:tc>
        <w:tc>
          <w:tcPr>
            <w:tcW w:type="dxa" w:w="38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问题、SQL、结果快照、反馈和审计</w:t>
            </w:r>
          </w:p>
        </w:tc>
      </w:tr>
      <w:tr>
        <w:trPr>
          <w:trHeight w:hRule="atLeast"/>
        </w:trPr>
        <w:tc>
          <w:tcPr>
            <w:tcW w:type="dxa" w:w="16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语义与知识</w:t>
            </w:r>
          </w:p>
        </w:tc>
        <w:tc>
          <w:tcPr>
            <w:tcW w:type="dxa" w:w="3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semantic_metric、semantic_relation、knowledge_document</w:t>
            </w:r>
          </w:p>
        </w:tc>
        <w:tc>
          <w:tcPr>
            <w:tcW w:type="dxa" w:w="38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业务口径、Join 关系、文档元数据</w:t>
            </w:r>
          </w:p>
        </w:tc>
      </w:tr>
      <w:tr>
        <w:trPr>
          <w:trHeight w:hRule="atLeast"/>
        </w:trPr>
        <w:tc>
          <w:tcPr>
            <w:tcW w:type="dxa" w:w="16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训练治理</w:t>
            </w:r>
          </w:p>
        </w:tc>
        <w:tc>
          <w:tcPr>
            <w:tcW w:type="dxa" w:w="3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schema_asset、semantic_synonym、sql_example、golden_question</w:t>
            </w:r>
          </w:p>
        </w:tc>
        <w:tc>
          <w:tcPr>
            <w:tcW w:type="dxa" w:w="38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训练资产、发布状态与评测</w:t>
            </w:r>
          </w:p>
        </w:tc>
      </w:tr>
      <w:tr>
        <w:trPr>
          <w:trHeight w:hRule="atLeast"/>
        </w:trPr>
        <w:tc>
          <w:tcPr>
            <w:tcW w:type="dxa" w:w="16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智能报告</w:t>
            </w:r>
          </w:p>
        </w:tc>
        <w:tc>
          <w:tcPr>
            <w:tcW w:type="dxa" w:w="3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report_job</w:t>
            </w:r>
          </w:p>
        </w:tc>
        <w:tc>
          <w:tcPr>
            <w:tcW w:type="dxa" w:w="38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报告请求、状态和内容快照</w:t>
            </w:r>
          </w:p>
        </w:tc>
      </w:tr>
      <w:tr>
        <w:trPr>
          <w:trHeight w:hRule="atLeast"/>
        </w:trPr>
        <w:tc>
          <w:tcPr>
            <w:tcW w:type="dxa" w:w="16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业务演示</w:t>
            </w:r>
          </w:p>
        </w:tc>
        <w:tc>
          <w:tcPr>
            <w:tcW w:type="dxa" w:w="3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sales_* 与 f360_* 共 25 张 Foundry 表</w:t>
            </w:r>
          </w:p>
        </w:tc>
        <w:tc>
          <w:tcPr>
            <w:tcW w:type="dxa" w:w="38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销售域、Product/Customer/Application 360 验收数据</w:t>
            </w:r>
          </w:p>
        </w:tc>
      </w:tr>
    </w:tbl>
    <w:p>
      <w:pPr>
        <w:spacing w:after="40"/>
      </w:pPr>
    </w:p>
    <w:p>
      <w:pPr>
        <w:pStyle w:val="Heading2"/>
        <w:keepNext/>
        <w:pageBreakBefore w:val="0"/>
      </w:pPr>
      <w:r>
        <w:rPr>
          <w:rFonts w:ascii="Arial" w:hAnsi="Arial" w:eastAsia="Microsoft YaHei"/>
          <w:b/>
          <w:color w:val="2E74B5"/>
          <w:sz w:val="26"/>
        </w:rPr>
        <w:t>11.2 核心表字段摘要</w:t>
      </w:r>
    </w:p>
    <w:tbl>
      <w:tblPr>
        <w:tblW w:type="dxa" w:w="9360"/>
        <w:tblLayout w:type="fixed"/>
        <w:tblLook w:firstColumn="1" w:firstRow="1" w:lastColumn="0" w:lastRow="0" w:noHBand="0" w:noVBand="1" w:val="04A0"/>
        <w:jc w:val="left"/>
        <w:tblInd w:w="120" w:type="dxa"/>
      </w:tblPr>
      <w:tblGrid>
        <w:gridCol w:w="1500"/>
        <w:gridCol w:w="1900"/>
        <w:gridCol w:w="3560"/>
        <w:gridCol w:w="2400"/>
      </w:tblGrid>
      <w:tr>
        <w:trPr>
          <w:trHeight w:hRule="atLeast"/>
          <w:tblHeader w:val="true"/>
        </w:trPr>
        <w:tc>
          <w:tcPr>
            <w:tcW w:type="dxa" w:w="15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表</w:t>
            </w:r>
          </w:p>
        </w:tc>
        <w:tc>
          <w:tcPr>
            <w:tcW w:type="dxa" w:w="1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主键/关联</w:t>
            </w:r>
          </w:p>
        </w:tc>
        <w:tc>
          <w:tcPr>
            <w:tcW w:type="dxa" w:w="35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关键字段</w:t>
            </w:r>
          </w:p>
        </w:tc>
        <w:tc>
          <w:tcPr>
            <w:tcW w:type="dxa" w:w="24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隔离增强</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query_run</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id</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question、generated_sql、status、result_json、elapsed_ms</w:t>
            </w:r>
          </w:p>
        </w:tc>
        <w:tc>
          <w:tcPr>
            <w:tcW w:type="dxa" w:w="2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增加 tenant_id、user_id、domain_id、policy_snapshot_id</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query_feedback</w:t>
            </w:r>
          </w:p>
        </w:tc>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id → query_run_id</w:t>
            </w:r>
          </w:p>
        </w:tc>
        <w:tc>
          <w:tcPr>
            <w:tcW w:type="dxa" w:w="3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rating、comment、corrected_sql</w:t>
            </w:r>
          </w:p>
        </w:tc>
        <w:tc>
          <w:tcPr>
            <w:tcW w:type="dxa" w:w="2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继承查询 Owner；禁止跨用户反馈</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report_job</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id</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title、request_text、status、content_json</w:t>
            </w:r>
          </w:p>
        </w:tc>
        <w:tc>
          <w:tcPr>
            <w:tcW w:type="dxa" w:w="2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增加 tenant_id、created_by、classification</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knowledge_document</w:t>
            </w:r>
          </w:p>
        </w:tc>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id</w:t>
            </w:r>
          </w:p>
        </w:tc>
        <w:tc>
          <w:tcPr>
            <w:tcW w:type="dxa" w:w="3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file_name、storage_path、status、domain</w:t>
            </w:r>
          </w:p>
        </w:tc>
        <w:tc>
          <w:tcPr>
            <w:tcW w:type="dxa" w:w="2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增加 tenant_id、ACL、checksum、classification</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semantic_metric</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id / code</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expression_sql、base_table、status、version</w:t>
            </w:r>
          </w:p>
        </w:tc>
        <w:tc>
          <w:tcPr>
            <w:tcW w:type="dxa" w:w="2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增加 tenant/domain、审批人与版本有效期</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sql_example</w:t>
            </w:r>
          </w:p>
        </w:tc>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id</w:t>
            </w:r>
          </w:p>
        </w:tc>
        <w:tc>
          <w:tcPr>
            <w:tcW w:type="dxa" w:w="3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question、sql_text、status、hit_count</w:t>
            </w:r>
          </w:p>
        </w:tc>
        <w:tc>
          <w:tcPr>
            <w:tcW w:type="dxa" w:w="2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增加审批流、变更记录和回滚指针</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audit_event</w:t>
            </w:r>
          </w:p>
        </w:tc>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id / trace_id</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event_type、actor、resource、detail</w:t>
            </w:r>
          </w:p>
        </w:tc>
        <w:tc>
          <w:tcPr>
            <w:tcW w:type="dxa" w:w="2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写入不可变审计库/日志平台并强制可靠投递</w:t>
            </w:r>
          </w:p>
        </w:tc>
      </w:tr>
    </w:tbl>
    <w:p>
      <w:pPr>
        <w:spacing w:after="40"/>
      </w:pPr>
    </w:p>
    <w:p>
      <w:pPr>
        <w:pStyle w:val="Heading2"/>
        <w:keepNext/>
        <w:pageBreakBefore w:val="0"/>
      </w:pPr>
      <w:r>
        <w:rPr>
          <w:rFonts w:ascii="Arial" w:hAnsi="Arial" w:eastAsia="Microsoft YaHei"/>
          <w:b/>
          <w:color w:val="2E74B5"/>
          <w:sz w:val="26"/>
        </w:rPr>
        <w:t>11.3 数据一致性与迁移</w:t>
      </w:r>
    </w:p>
    <w:p>
      <w:pPr>
        <w:pStyle w:val="ListBullet"/>
        <w:keepNext w:val="0"/>
        <w:spacing w:before="0" w:after="80" w:line="264" w:lineRule="auto"/>
        <w:ind w:left="720" w:hanging="360"/>
      </w:pPr>
      <w:r>
        <w:rPr>
          <w:rFonts w:ascii="Arial" w:hAnsi="Arial" w:eastAsia="Microsoft YaHei"/>
          <w:i w:val="0"/>
          <w:color w:val="17202A"/>
          <w:sz w:val="22"/>
        </w:rPr>
        <w:t>Flyway 分别维护 H2 mock 迁移和 Oracle 专用迁移，当前版本 V1-V7。</w:t>
      </w:r>
    </w:p>
    <w:p>
      <w:pPr>
        <w:pStyle w:val="ListBullet"/>
        <w:keepNext w:val="0"/>
        <w:spacing w:before="0" w:after="80" w:line="264" w:lineRule="auto"/>
        <w:ind w:left="720" w:hanging="360"/>
      </w:pPr>
      <w:r>
        <w:rPr>
          <w:rFonts w:ascii="Arial" w:hAnsi="Arial" w:eastAsia="Microsoft YaHei"/>
          <w:i w:val="0"/>
          <w:color w:val="17202A"/>
          <w:sz w:val="22"/>
        </w:rPr>
        <w:t>生产库禁止直接对既有业务 Schema 自动建表；建议平台元数据使用独立 Schema，业务库仅授予受控视图 SELECT。</w:t>
      </w:r>
    </w:p>
    <w:p>
      <w:pPr>
        <w:pStyle w:val="ListBullet"/>
        <w:keepNext w:val="0"/>
        <w:spacing w:before="0" w:after="80" w:line="264" w:lineRule="auto"/>
        <w:ind w:left="720" w:hanging="360"/>
      </w:pPr>
      <w:r>
        <w:rPr>
          <w:rFonts w:ascii="Arial" w:hAnsi="Arial" w:eastAsia="Microsoft YaHei"/>
          <w:i w:val="0"/>
          <w:color w:val="17202A"/>
          <w:sz w:val="22"/>
        </w:rPr>
        <w:t>所有训练资产和策略变更应采用乐观锁/版本号、审批状态、唯一约束和审计字段。</w:t>
      </w:r>
    </w:p>
    <w:p>
      <w:pPr>
        <w:pStyle w:val="ListBullet"/>
        <w:keepNext w:val="0"/>
        <w:spacing w:before="0" w:after="80" w:line="264" w:lineRule="auto"/>
        <w:ind w:left="720" w:hanging="360"/>
      </w:pPr>
      <w:r>
        <w:rPr>
          <w:rFonts w:ascii="Arial" w:hAnsi="Arial" w:eastAsia="Microsoft YaHei"/>
          <w:i w:val="0"/>
          <w:color w:val="17202A"/>
          <w:sz w:val="22"/>
        </w:rPr>
        <w:t>Qdrant 与 Oracle 元数据存在跨存储一致性，生产应采用索引任务状态、幂等 upsert、重试和对账。</w:t>
      </w:r>
    </w:p>
    <w:p>
      <w:pPr>
        <w:pStyle w:val="Heading1"/>
        <w:keepNext/>
        <w:pageBreakBefore/>
      </w:pPr>
      <w:r>
        <w:rPr>
          <w:rFonts w:ascii="Arial" w:hAnsi="Arial" w:eastAsia="Microsoft YaHei"/>
          <w:b/>
          <w:color w:val="2E74B5"/>
          <w:sz w:val="32"/>
        </w:rPr>
        <w:t>12. API 与错误模型</w:t>
      </w:r>
    </w:p>
    <w:tbl>
      <w:tblPr>
        <w:tblW w:type="dxa" w:w="9360"/>
        <w:tblLayout w:type="fixed"/>
        <w:tblLook w:firstColumn="1" w:firstRow="1" w:lastColumn="0" w:lastRow="0" w:noHBand="0" w:noVBand="1" w:val="04A0"/>
        <w:jc w:val="left"/>
        <w:tblInd w:w="120" w:type="dxa"/>
      </w:tblPr>
      <w:tblGrid>
        <w:gridCol w:w="1200"/>
        <w:gridCol w:w="3100"/>
        <w:gridCol w:w="1500"/>
        <w:gridCol w:w="3560"/>
      </w:tblGrid>
      <w:tr>
        <w:trPr>
          <w:trHeight w:hRule="atLeast"/>
          <w:tblHeader w:val="true"/>
        </w:trPr>
        <w:tc>
          <w:tcPr>
            <w:tcW w:type="dxa" w:w="12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接口域</w:t>
            </w:r>
          </w:p>
        </w:tc>
        <w:tc>
          <w:tcPr>
            <w:tcW w:type="dxa" w:w="31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主要路径</w:t>
            </w:r>
          </w:p>
        </w:tc>
        <w:tc>
          <w:tcPr>
            <w:tcW w:type="dxa" w:w="15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权限</w:t>
            </w:r>
          </w:p>
        </w:tc>
        <w:tc>
          <w:tcPr>
            <w:tcW w:type="dxa" w:w="35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说明</w:t>
            </w:r>
          </w:p>
        </w:tc>
      </w:tr>
      <w:tr>
        <w:trPr>
          <w:trHeight w:hRule="atLeast"/>
        </w:trPr>
        <w:tc>
          <w:tcPr>
            <w:tcW w:type="dxa" w:w="12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认证</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/api/v1/auth/login|me|logout</w:t>
            </w:r>
          </w:p>
        </w:tc>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登录公开，其余认证</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登录、会话校验与注销</w:t>
            </w:r>
          </w:p>
        </w:tc>
      </w:tr>
      <w:tr>
        <w:trPr>
          <w:trHeight w:hRule="atLeast"/>
        </w:trPr>
        <w:tc>
          <w:tcPr>
            <w:tcW w:type="dxa" w:w="12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问答</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/api/v1/questions、/query-runs、/feedback、/export</w:t>
            </w:r>
          </w:p>
        </w:tc>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DATA_QUERY</w:t>
            </w:r>
          </w:p>
        </w:tc>
        <w:tc>
          <w:tcPr>
            <w:tcW w:type="dxa" w:w="3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问答、历史、反馈、下载</w:t>
            </w:r>
          </w:p>
        </w:tc>
      </w:tr>
      <w:tr>
        <w:trPr>
          <w:trHeight w:hRule="atLeast"/>
        </w:trPr>
        <w:tc>
          <w:tcPr>
            <w:tcW w:type="dxa" w:w="12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报告</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/api/v1/reports</w:t>
            </w:r>
          </w:p>
        </w:tc>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SMART_REPORT</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生成与查询报告</w:t>
            </w:r>
          </w:p>
        </w:tc>
      </w:tr>
      <w:tr>
        <w:trPr>
          <w:trHeight w:hRule="atLeast"/>
        </w:trPr>
        <w:tc>
          <w:tcPr>
            <w:tcW w:type="dxa" w:w="12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训练</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/api/v1/admin/training/**</w:t>
            </w:r>
          </w:p>
        </w:tc>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AI_TRAINING</w:t>
            </w:r>
          </w:p>
        </w:tc>
        <w:tc>
          <w:tcPr>
            <w:tcW w:type="dxa" w:w="3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Schema、同义词、标准 SQL、黄金评测、反馈</w:t>
            </w:r>
          </w:p>
        </w:tc>
      </w:tr>
      <w:tr>
        <w:trPr>
          <w:trHeight w:hRule="atLeast"/>
        </w:trPr>
        <w:tc>
          <w:tcPr>
            <w:tcW w:type="dxa" w:w="12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语义</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/api/v1/admin/semantic/**</w:t>
            </w:r>
          </w:p>
        </w:tc>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AI_TRAINING</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指标、关系和发布</w:t>
            </w:r>
          </w:p>
        </w:tc>
      </w:tr>
      <w:tr>
        <w:trPr>
          <w:trHeight w:hRule="atLeast"/>
        </w:trPr>
        <w:tc>
          <w:tcPr>
            <w:tcW w:type="dxa" w:w="12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知识</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/api/v1/admin/knowledge/**</w:t>
            </w:r>
          </w:p>
        </w:tc>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AI_TRAINING</w:t>
            </w:r>
          </w:p>
        </w:tc>
        <w:tc>
          <w:tcPr>
            <w:tcW w:type="dxa" w:w="3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文档上传、列表与检索</w:t>
            </w:r>
          </w:p>
        </w:tc>
      </w:tr>
      <w:tr>
        <w:trPr>
          <w:trHeight w:hRule="atLeast"/>
        </w:trPr>
        <w:tc>
          <w:tcPr>
            <w:tcW w:type="dxa" w:w="12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模型</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/api/v1/admin/model-runtime</w:t>
            </w:r>
          </w:p>
        </w:tc>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AI_TRAINING</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运行时提供方切换</w:t>
            </w:r>
          </w:p>
        </w:tc>
      </w:tr>
      <w:tr>
        <w:trPr>
          <w:trHeight w:hRule="atLeast"/>
        </w:trPr>
        <w:tc>
          <w:tcPr>
            <w:tcW w:type="dxa" w:w="12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运维</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/actuator/health、/v3/api-docs</w:t>
            </w:r>
          </w:p>
        </w:tc>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当前公开</w:t>
            </w:r>
          </w:p>
        </w:tc>
        <w:tc>
          <w:tcPr>
            <w:tcW w:type="dxa" w:w="3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生产需限制管理网段或关闭</w:t>
            </w:r>
          </w:p>
        </w:tc>
      </w:tr>
    </w:tbl>
    <w:p>
      <w:pPr>
        <w:spacing w:after="40"/>
      </w:pPr>
    </w:p>
    <w:p>
      <w:pPr>
        <w:pStyle w:val="Heading2"/>
        <w:keepNext/>
        <w:pageBreakBefore w:val="0"/>
      </w:pPr>
      <w:r>
        <w:rPr>
          <w:rFonts w:ascii="Arial" w:hAnsi="Arial" w:eastAsia="Microsoft YaHei"/>
          <w:b/>
          <w:color w:val="2E74B5"/>
          <w:sz w:val="26"/>
        </w:rPr>
        <w:t>12.1 API 设计规范</w:t>
      </w:r>
    </w:p>
    <w:p>
      <w:pPr>
        <w:pStyle w:val="ListBullet"/>
        <w:keepNext w:val="0"/>
        <w:spacing w:before="0" w:after="80" w:line="264" w:lineRule="auto"/>
        <w:ind w:left="720" w:hanging="360"/>
      </w:pPr>
      <w:r>
        <w:rPr>
          <w:rFonts w:ascii="Arial" w:hAnsi="Arial" w:eastAsia="Microsoft YaHei"/>
          <w:i w:val="0"/>
          <w:color w:val="17202A"/>
          <w:sz w:val="22"/>
        </w:rPr>
        <w:t>统一使用 /api/v1 版本前缀；JSON UTF-8；时间使用 ISO 8601；导出接口通过 Content-Disposition 返回文件。</w:t>
      </w:r>
    </w:p>
    <w:p>
      <w:pPr>
        <w:pStyle w:val="ListBullet"/>
        <w:keepNext w:val="0"/>
        <w:spacing w:before="0" w:after="80" w:line="264" w:lineRule="auto"/>
        <w:ind w:left="720" w:hanging="360"/>
      </w:pPr>
      <w:r>
        <w:rPr>
          <w:rFonts w:ascii="Arial" w:hAnsi="Arial" w:eastAsia="Microsoft YaHei"/>
          <w:i w:val="0"/>
          <w:color w:val="17202A"/>
          <w:sz w:val="22"/>
        </w:rPr>
        <w:t>所有写接口进行 Bean Validation；错误响应包含稳定 code 和 traceId，禁止把堆栈、数据库连接串和密钥返回前端。</w:t>
      </w:r>
    </w:p>
    <w:p>
      <w:pPr>
        <w:pStyle w:val="ListBullet"/>
        <w:keepNext w:val="0"/>
        <w:spacing w:before="0" w:after="80" w:line="264" w:lineRule="auto"/>
        <w:ind w:left="720" w:hanging="360"/>
      </w:pPr>
      <w:r>
        <w:rPr>
          <w:rFonts w:ascii="Arial" w:hAnsi="Arial" w:eastAsia="Microsoft YaHei"/>
          <w:i w:val="0"/>
          <w:color w:val="17202A"/>
          <w:sz w:val="22"/>
        </w:rPr>
        <w:t>生产增加请求体大小、速率、并发、超时、幂等键、分页和字段级脱敏策略。</w:t>
      </w:r>
    </w:p>
    <w:p>
      <w:pPr>
        <w:pStyle w:val="ListBullet"/>
        <w:keepNext w:val="0"/>
        <w:spacing w:before="0" w:after="80" w:line="264" w:lineRule="auto"/>
        <w:ind w:left="720" w:hanging="360"/>
      </w:pPr>
      <w:r>
        <w:rPr>
          <w:rFonts w:ascii="Arial" w:hAnsi="Arial" w:eastAsia="Microsoft YaHei"/>
          <w:i w:val="0"/>
          <w:color w:val="17202A"/>
          <w:sz w:val="22"/>
        </w:rPr>
        <w:t>Swagger/OpenAPI 只开放于管理网段并要求管理员认证。</w:t>
      </w:r>
    </w:p>
    <w:p>
      <w:pPr>
        <w:pStyle w:val="Heading1"/>
        <w:keepNext/>
        <w:pageBreakBefore/>
      </w:pPr>
      <w:r>
        <w:rPr>
          <w:rFonts w:ascii="Arial" w:hAnsi="Arial" w:eastAsia="Microsoft YaHei"/>
          <w:b/>
          <w:color w:val="2E74B5"/>
          <w:sz w:val="32"/>
        </w:rPr>
        <w:t>13. 身份认证与权限</w:t>
      </w:r>
    </w:p>
    <w:p>
      <w:pPr>
        <w:pStyle w:val="Heading2"/>
        <w:keepNext/>
        <w:pageBreakBefore w:val="0"/>
      </w:pPr>
      <w:r>
        <w:rPr>
          <w:rFonts w:ascii="Arial" w:hAnsi="Arial" w:eastAsia="Microsoft YaHei"/>
          <w:b/>
          <w:color w:val="2E74B5"/>
          <w:sz w:val="26"/>
        </w:rPr>
        <w:t>13.1 当前实现</w:t>
      </w:r>
    </w:p>
    <w:p>
      <w:pPr>
        <w:pStyle w:val="ListBullet"/>
        <w:keepNext w:val="0"/>
        <w:spacing w:before="0" w:after="80" w:line="264" w:lineRule="auto"/>
        <w:ind w:left="720" w:hanging="360"/>
      </w:pPr>
      <w:r>
        <w:rPr>
          <w:rFonts w:ascii="Arial" w:hAnsi="Arial" w:eastAsia="Microsoft YaHei"/>
          <w:i w:val="0"/>
          <w:color w:val="17202A"/>
          <w:sz w:val="22"/>
        </w:rPr>
        <w:t>密码使用 BCrypt；登录成功生成 32 字节 SecureRandom Token，客户端持有原文，数据库仅保存 SHA-256 摘要。</w:t>
      </w:r>
    </w:p>
    <w:p>
      <w:pPr>
        <w:pStyle w:val="ListBullet"/>
        <w:keepNext w:val="0"/>
        <w:spacing w:before="0" w:after="80" w:line="264" w:lineRule="auto"/>
        <w:ind w:left="720" w:hanging="360"/>
      </w:pPr>
      <w:r>
        <w:rPr>
          <w:rFonts w:ascii="Arial" w:hAnsi="Arial" w:eastAsia="Microsoft YaHei"/>
          <w:i w:val="0"/>
          <w:color w:val="17202A"/>
          <w:sz w:val="22"/>
        </w:rPr>
        <w:t>会话默认 12 小时，可注销、过期或随用户禁用失效；服务端为 STATELESS，不使用容器 Session。</w:t>
      </w:r>
    </w:p>
    <w:p>
      <w:pPr>
        <w:pStyle w:val="ListBullet"/>
        <w:keepNext w:val="0"/>
        <w:spacing w:before="0" w:after="80" w:line="264" w:lineRule="auto"/>
        <w:ind w:left="720" w:hanging="360"/>
      </w:pPr>
      <w:r>
        <w:rPr>
          <w:rFonts w:ascii="Arial" w:hAnsi="Arial" w:eastAsia="Microsoft YaHei"/>
          <w:i w:val="0"/>
          <w:color w:val="17202A"/>
          <w:sz w:val="22"/>
        </w:rPr>
        <w:t>DATA_QUERY、SMART_REPORT、AI_TRAINING 三项权限在 SecurityConfig 服务端强制校验；前端路由仅用于体验优化。</w:t>
      </w:r>
    </w:p>
    <w:p>
      <w:pPr>
        <w:pStyle w:val="ListBullet"/>
        <w:keepNext w:val="0"/>
        <w:spacing w:before="0" w:after="80" w:line="264" w:lineRule="auto"/>
        <w:ind w:left="720" w:hanging="360"/>
      </w:pPr>
      <w:r>
        <w:rPr>
          <w:rFonts w:ascii="Arial" w:hAnsi="Arial" w:eastAsia="Microsoft YaHei"/>
          <w:i w:val="0"/>
          <w:color w:val="17202A"/>
          <w:sz w:val="22"/>
        </w:rPr>
        <w:t>当前验收账号和默认密码只适用于本机测试，生产部署前必须删除、禁用或改造。</w:t>
      </w:r>
    </w:p>
    <w:tbl>
      <w:tblPr>
        <w:tblW w:type="dxa" w:w="9360"/>
        <w:tblLayout w:type="fixed"/>
        <w:tblLook w:firstColumn="1" w:firstRow="1" w:lastColumn="0" w:lastRow="0" w:noHBand="0" w:noVBand="1" w:val="04A0"/>
        <w:jc w:val="left"/>
        <w:tblInd w:w="120" w:type="dxa"/>
      </w:tblPr>
      <w:tblGrid>
        <w:gridCol w:w="2200"/>
        <w:gridCol w:w="2380"/>
        <w:gridCol w:w="2380"/>
        <w:gridCol w:w="2400"/>
      </w:tblGrid>
      <w:tr>
        <w:trPr>
          <w:trHeight w:hRule="atLeast"/>
          <w:tblHeader w:val="true"/>
        </w:trPr>
        <w:tc>
          <w:tcPr>
            <w:tcW w:type="dxa" w:w="22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角色</w:t>
            </w:r>
          </w:p>
        </w:tc>
        <w:tc>
          <w:tcPr>
            <w:tcW w:type="dxa" w:w="238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DATA_QUERY</w:t>
            </w:r>
          </w:p>
        </w:tc>
        <w:tc>
          <w:tcPr>
            <w:tcW w:type="dxa" w:w="238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SMART_REPORT</w:t>
            </w:r>
          </w:p>
        </w:tc>
        <w:tc>
          <w:tcPr>
            <w:tcW w:type="dxa" w:w="24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AI_TRAINING</w:t>
            </w:r>
          </w:p>
        </w:tc>
      </w:tr>
      <w:tr>
        <w:trPr>
          <w:trHeight w:hRule="atLeast"/>
        </w:trPr>
        <w:tc>
          <w:tcPr>
            <w:tcW w:type="dxa" w:w="22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ANALYST</w:t>
            </w:r>
          </w:p>
        </w:tc>
        <w:tc>
          <w:tcPr>
            <w:tcW w:type="dxa" w:w="238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允许</w:t>
            </w:r>
          </w:p>
        </w:tc>
        <w:tc>
          <w:tcPr>
            <w:tcW w:type="dxa" w:w="238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拒绝</w:t>
            </w:r>
          </w:p>
        </w:tc>
        <w:tc>
          <w:tcPr>
            <w:tcW w:type="dxa" w:w="2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拒绝</w:t>
            </w:r>
          </w:p>
        </w:tc>
      </w:tr>
      <w:tr>
        <w:trPr>
          <w:trHeight w:hRule="atLeast"/>
        </w:trPr>
        <w:tc>
          <w:tcPr>
            <w:tcW w:type="dxa" w:w="22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REPORTER</w:t>
            </w:r>
          </w:p>
        </w:tc>
        <w:tc>
          <w:tcPr>
            <w:tcW w:type="dxa" w:w="238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允许</w:t>
            </w:r>
          </w:p>
        </w:tc>
        <w:tc>
          <w:tcPr>
            <w:tcW w:type="dxa" w:w="238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允许</w:t>
            </w:r>
          </w:p>
        </w:tc>
        <w:tc>
          <w:tcPr>
            <w:tcW w:type="dxa" w:w="2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拒绝</w:t>
            </w:r>
          </w:p>
        </w:tc>
      </w:tr>
      <w:tr>
        <w:trPr>
          <w:trHeight w:hRule="atLeast"/>
        </w:trPr>
        <w:tc>
          <w:tcPr>
            <w:tcW w:type="dxa" w:w="22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AI_ADMIN</w:t>
            </w:r>
          </w:p>
        </w:tc>
        <w:tc>
          <w:tcPr>
            <w:tcW w:type="dxa" w:w="238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允许</w:t>
            </w:r>
          </w:p>
        </w:tc>
        <w:tc>
          <w:tcPr>
            <w:tcW w:type="dxa" w:w="238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允许</w:t>
            </w:r>
          </w:p>
        </w:tc>
        <w:tc>
          <w:tcPr>
            <w:tcW w:type="dxa" w:w="2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允许</w:t>
            </w:r>
          </w:p>
        </w:tc>
      </w:tr>
    </w:tbl>
    <w:p>
      <w:pPr>
        <w:spacing w:after="40"/>
      </w:pPr>
    </w:p>
    <w:p>
      <w:pPr>
        <w:pStyle w:val="Heading2"/>
        <w:keepNext/>
        <w:pageBreakBefore w:val="0"/>
      </w:pPr>
      <w:r>
        <w:rPr>
          <w:rFonts w:ascii="Arial" w:hAnsi="Arial" w:eastAsia="Microsoft YaHei"/>
          <w:b/>
          <w:color w:val="2E74B5"/>
          <w:sz w:val="26"/>
        </w:rPr>
        <w:t>13.2 生产增强</w:t>
      </w:r>
    </w:p>
    <w:p>
      <w:pPr>
        <w:pStyle w:val="ListBullet"/>
        <w:keepNext w:val="0"/>
        <w:spacing w:before="0" w:after="80" w:line="264" w:lineRule="auto"/>
        <w:ind w:left="720" w:hanging="360"/>
      </w:pPr>
      <w:r>
        <w:rPr>
          <w:rFonts w:ascii="Arial" w:hAnsi="Arial" w:eastAsia="Microsoft YaHei"/>
          <w:i w:val="0"/>
          <w:color w:val="17202A"/>
          <w:sz w:val="22"/>
        </w:rPr>
        <w:t>接入企业 OIDC/SAML/LDAP，启用 MFA、账号生命周期、失败锁定和风险登录策略。</w:t>
      </w:r>
    </w:p>
    <w:p>
      <w:pPr>
        <w:pStyle w:val="ListBullet"/>
        <w:keepNext w:val="0"/>
        <w:spacing w:before="0" w:after="80" w:line="264" w:lineRule="auto"/>
        <w:ind w:left="720" w:hanging="360"/>
      </w:pPr>
      <w:r>
        <w:rPr>
          <w:rFonts w:ascii="Arial" w:hAnsi="Arial" w:eastAsia="Microsoft YaHei"/>
          <w:i w:val="0"/>
          <w:color w:val="17202A"/>
          <w:sz w:val="22"/>
        </w:rPr>
        <w:t>从 RBAC 扩展到 RBAC + ABAC：角色决定功能，部门/区域/客户/数据等级决定数据范围。</w:t>
      </w:r>
    </w:p>
    <w:p>
      <w:pPr>
        <w:pStyle w:val="ListBullet"/>
        <w:keepNext w:val="0"/>
        <w:spacing w:before="0" w:after="80" w:line="264" w:lineRule="auto"/>
        <w:ind w:left="720" w:hanging="360"/>
      </w:pPr>
      <w:r>
        <w:rPr>
          <w:rFonts w:ascii="Arial" w:hAnsi="Arial" w:eastAsia="Microsoft YaHei"/>
          <w:i w:val="0"/>
          <w:color w:val="17202A"/>
          <w:sz w:val="22"/>
        </w:rPr>
        <w:t>Token 放入 HttpOnly、Secure、SameSite Cookie 或企业网关会话，降低 localStorage 被 XSS 读取的风险。</w:t>
      </w:r>
    </w:p>
    <w:p>
      <w:pPr>
        <w:pStyle w:val="ListBullet"/>
        <w:keepNext w:val="0"/>
        <w:spacing w:before="0" w:after="80" w:line="264" w:lineRule="auto"/>
        <w:ind w:left="720" w:hanging="360"/>
      </w:pPr>
      <w:r>
        <w:rPr>
          <w:rFonts w:ascii="Arial" w:hAnsi="Arial" w:eastAsia="Microsoft YaHei"/>
          <w:i w:val="0"/>
          <w:color w:val="17202A"/>
          <w:sz w:val="22"/>
        </w:rPr>
        <w:t>高风险训练发布、策略变更、导出敏感数据实行双人复核和短时提权。</w:t>
      </w:r>
    </w:p>
    <w:p>
      <w:pPr>
        <w:pStyle w:val="Heading1"/>
        <w:keepNext/>
        <w:pageBreakBefore/>
      </w:pPr>
      <w:r>
        <w:rPr>
          <w:rFonts w:ascii="Arial" w:hAnsi="Arial" w:eastAsia="Microsoft YaHei"/>
          <w:b/>
          <w:color w:val="2E74B5"/>
          <w:sz w:val="32"/>
        </w:rPr>
        <w:t>14. 安全体系设计</w:t>
      </w:r>
    </w:p>
    <w:p>
      <w:pPr>
        <w:pStyle w:val="Heading2"/>
        <w:keepNext/>
        <w:pageBreakBefore w:val="0"/>
      </w:pPr>
      <w:r>
        <w:rPr>
          <w:rFonts w:ascii="Arial" w:hAnsi="Arial" w:eastAsia="Microsoft YaHei"/>
          <w:b/>
          <w:color w:val="2E74B5"/>
          <w:sz w:val="26"/>
        </w:rPr>
        <w:t>14.1 威胁模型</w:t>
      </w:r>
    </w:p>
    <w:tbl>
      <w:tblPr>
        <w:tblW w:type="dxa" w:w="9360"/>
        <w:tblLayout w:type="fixed"/>
        <w:tblLook w:firstColumn="1" w:firstRow="1" w:lastColumn="0" w:lastRow="0" w:noHBand="0" w:noVBand="1" w:val="04A0"/>
        <w:jc w:val="left"/>
        <w:tblInd w:w="120" w:type="dxa"/>
      </w:tblPr>
      <w:tblGrid>
        <w:gridCol w:w="1500"/>
        <w:gridCol w:w="1800"/>
        <w:gridCol w:w="2900"/>
        <w:gridCol w:w="3160"/>
      </w:tblGrid>
      <w:tr>
        <w:trPr>
          <w:trHeight w:hRule="atLeast"/>
          <w:tblHeader w:val="true"/>
        </w:trPr>
        <w:tc>
          <w:tcPr>
            <w:tcW w:type="dxa" w:w="15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6"/>
              </w:rPr>
              <w:t>威胁</w:t>
            </w:r>
          </w:p>
        </w:tc>
        <w:tc>
          <w:tcPr>
            <w:tcW w:type="dxa" w:w="18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6"/>
              </w:rPr>
              <w:t>攻击面</w:t>
            </w:r>
          </w:p>
        </w:tc>
        <w:tc>
          <w:tcPr>
            <w:tcW w:type="dxa" w:w="2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6"/>
              </w:rPr>
              <w:t>当前控制</w:t>
            </w:r>
          </w:p>
        </w:tc>
        <w:tc>
          <w:tcPr>
            <w:tcW w:type="dxa" w:w="31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6"/>
              </w:rPr>
              <w:t>目标增强</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越权访问</w:t>
            </w:r>
          </w:p>
        </w:tc>
        <w:tc>
          <w:tcPr>
            <w:tcW w:type="dxa" w:w="1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页面/API/历史查询</w:t>
            </w:r>
          </w:p>
        </w:tc>
        <w:tc>
          <w:tcPr>
            <w:tcW w:type="dxa" w:w="2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模块 RBAC、401/403</w:t>
            </w:r>
          </w:p>
        </w:tc>
        <w:tc>
          <w:tcPr>
            <w:tcW w:type="dxa" w:w="31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租户/Owner/ABAC、对象级鉴权</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SQL 注入/危险 SQL</w:t>
            </w:r>
          </w:p>
        </w:tc>
        <w:tc>
          <w:tcPr>
            <w:tcW w:type="dxa" w:w="1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模型输出、修正 SQL</w:t>
            </w:r>
          </w:p>
        </w:tc>
        <w:tc>
          <w:tcPr>
            <w:tcW w:type="dxa" w:w="2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JSqlParser、单 SELECT、白名单、危险函数</w:t>
            </w:r>
          </w:p>
        </w:tc>
        <w:tc>
          <w:tcPr>
            <w:tcW w:type="dxa" w:w="31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AST 重写、只读事务、EXPLAIN 成本门禁</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数据外泄</w:t>
            </w:r>
          </w:p>
        </w:tc>
        <w:tc>
          <w:tcPr>
            <w:tcW w:type="dxa" w:w="1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结果、日志、导出、模型上下文</w:t>
            </w:r>
          </w:p>
        </w:tc>
        <w:tc>
          <w:tcPr>
            <w:tcW w:type="dxa" w:w="2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最大行数、确认后导出、API Key 不回前端</w:t>
            </w:r>
          </w:p>
        </w:tc>
        <w:tc>
          <w:tcPr>
            <w:tcW w:type="dxa" w:w="31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字段脱敏、DLP、分级水印、出口控制</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Prompt Injection</w:t>
            </w:r>
          </w:p>
        </w:tc>
        <w:tc>
          <w:tcPr>
            <w:tcW w:type="dxa" w:w="1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上传文档、用户问题</w:t>
            </w:r>
          </w:p>
        </w:tc>
        <w:tc>
          <w:tcPr>
            <w:tcW w:type="dxa" w:w="2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受控上下文与 SQL 门禁</w:t>
            </w:r>
          </w:p>
        </w:tc>
        <w:tc>
          <w:tcPr>
            <w:tcW w:type="dxa" w:w="31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内容隔离标记、指令分层、攻击评测、敏感词策略</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恶意文件</w:t>
            </w:r>
          </w:p>
        </w:tc>
        <w:tc>
          <w:tcPr>
            <w:tcW w:type="dxa" w:w="1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知识文档上传</w:t>
            </w:r>
          </w:p>
        </w:tc>
        <w:tc>
          <w:tcPr>
            <w:tcW w:type="dxa" w:w="2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文件大小、路径归一化</w:t>
            </w:r>
          </w:p>
        </w:tc>
        <w:tc>
          <w:tcPr>
            <w:tcW w:type="dxa" w:w="31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类型白名单、AV/CDR、沙箱解析、配额</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凭据泄露</w:t>
            </w:r>
          </w:p>
        </w:tc>
        <w:tc>
          <w:tcPr>
            <w:tcW w:type="dxa" w:w="1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环境变量、日志、配置文件</w:t>
            </w:r>
          </w:p>
        </w:tc>
        <w:tc>
          <w:tcPr>
            <w:tcW w:type="dxa" w:w="2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密钥服务端配置且 Git 忽略</w:t>
            </w:r>
          </w:p>
        </w:tc>
        <w:tc>
          <w:tcPr>
            <w:tcW w:type="dxa" w:w="31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Vault/KMS、轮换、最小权限、日志脱敏</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供应链</w:t>
            </w:r>
          </w:p>
        </w:tc>
        <w:tc>
          <w:tcPr>
            <w:tcW w:type="dxa" w:w="1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JAR/npm/Qdrant/模型</w:t>
            </w:r>
          </w:p>
        </w:tc>
        <w:tc>
          <w:tcPr>
            <w:tcW w:type="dxa" w:w="2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离线依赖和 SHA-256</w:t>
            </w:r>
          </w:p>
        </w:tc>
        <w:tc>
          <w:tcPr>
            <w:tcW w:type="dxa" w:w="31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SBOM、签名、漏洞扫描、来源审批</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审计规避</w:t>
            </w:r>
          </w:p>
        </w:tc>
        <w:tc>
          <w:tcPr>
            <w:tcW w:type="dxa" w:w="1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查询/导出链路</w:t>
            </w:r>
          </w:p>
        </w:tc>
        <w:tc>
          <w:tcPr>
            <w:tcW w:type="dxa" w:w="2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audit_event</w:t>
            </w:r>
          </w:p>
        </w:tc>
        <w:tc>
          <w:tcPr>
            <w:tcW w:type="dxa" w:w="31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不可变存储、可靠事件、告警、保留策略</w:t>
            </w:r>
          </w:p>
        </w:tc>
      </w:tr>
    </w:tbl>
    <w:p>
      <w:pPr>
        <w:spacing w:after="40"/>
      </w:pPr>
    </w:p>
    <w:p>
      <w:pPr>
        <w:pStyle w:val="Heading2"/>
        <w:keepNext/>
        <w:pageBreakBefore w:val="0"/>
      </w:pPr>
      <w:r>
        <w:rPr>
          <w:rFonts w:ascii="Arial" w:hAnsi="Arial" w:eastAsia="Microsoft YaHei"/>
          <w:b/>
          <w:color w:val="2E74B5"/>
          <w:sz w:val="26"/>
        </w:rPr>
        <w:t>14.2 纵深防御</w:t>
      </w:r>
    </w:p>
    <w:p>
      <w:pPr>
        <w:pStyle w:val="ListNumber"/>
        <w:keepNext w:val="0"/>
        <w:spacing w:before="0" w:after="100" w:line="264" w:lineRule="auto"/>
        <w:ind w:left="720" w:hanging="360"/>
      </w:pPr>
      <w:r>
        <w:rPr>
          <w:rFonts w:ascii="Arial" w:hAnsi="Arial" w:eastAsia="Microsoft YaHei"/>
          <w:i w:val="0"/>
          <w:color w:val="17202A"/>
          <w:sz w:val="22"/>
        </w:rPr>
        <w:t>网络层：用户区、应用区、AI 服务区、数据区和运维区分段；端口白名单和东西向访问控制。</w:t>
      </w:r>
    </w:p>
    <w:p>
      <w:pPr>
        <w:pStyle w:val="ListNumber"/>
        <w:keepNext w:val="0"/>
        <w:spacing w:before="0" w:after="100" w:line="264" w:lineRule="auto"/>
        <w:ind w:left="720" w:hanging="360"/>
      </w:pPr>
      <w:r>
        <w:rPr>
          <w:rFonts w:ascii="Arial" w:hAnsi="Arial" w:eastAsia="Microsoft YaHei"/>
          <w:i w:val="0"/>
          <w:color w:val="17202A"/>
          <w:sz w:val="22"/>
        </w:rPr>
        <w:t>身份层：SSO/MFA、最小权限、短时令牌、管理员双人复核。</w:t>
      </w:r>
    </w:p>
    <w:p>
      <w:pPr>
        <w:pStyle w:val="ListNumber"/>
        <w:keepNext w:val="0"/>
        <w:spacing w:before="0" w:after="100" w:line="264" w:lineRule="auto"/>
        <w:ind w:left="720" w:hanging="360"/>
      </w:pPr>
      <w:r>
        <w:rPr>
          <w:rFonts w:ascii="Arial" w:hAnsi="Arial" w:eastAsia="Microsoft YaHei"/>
          <w:i w:val="0"/>
          <w:color w:val="17202A"/>
          <w:sz w:val="22"/>
        </w:rPr>
        <w:t>应用层：输入校验、安全头、限流、CSRF/XSS/文件上传控制、统一异常。</w:t>
      </w:r>
    </w:p>
    <w:p>
      <w:pPr>
        <w:pStyle w:val="ListNumber"/>
        <w:keepNext w:val="0"/>
        <w:spacing w:before="0" w:after="100" w:line="264" w:lineRule="auto"/>
        <w:ind w:left="720" w:hanging="360"/>
      </w:pPr>
      <w:r>
        <w:rPr>
          <w:rFonts w:ascii="Arial" w:hAnsi="Arial" w:eastAsia="Microsoft YaHei"/>
          <w:i w:val="0"/>
          <w:color w:val="17202A"/>
          <w:sz w:val="22"/>
        </w:rPr>
        <w:t>AI 层：可信上下文、模型路由白名单、Prompt 模板版本、输出结构验证、红队评测。</w:t>
      </w:r>
    </w:p>
    <w:p>
      <w:pPr>
        <w:pStyle w:val="ListNumber"/>
        <w:keepNext w:val="0"/>
        <w:spacing w:before="0" w:after="100" w:line="264" w:lineRule="auto"/>
        <w:ind w:left="720" w:hanging="360"/>
      </w:pPr>
      <w:r>
        <w:rPr>
          <w:rFonts w:ascii="Arial" w:hAnsi="Arial" w:eastAsia="Microsoft YaHei"/>
          <w:i w:val="0"/>
          <w:color w:val="17202A"/>
          <w:sz w:val="22"/>
        </w:rPr>
        <w:t>数据层：业务只读账号、受控视图、行列策略、脱敏、查询成本/行数/超时门禁。</w:t>
      </w:r>
    </w:p>
    <w:p>
      <w:pPr>
        <w:pStyle w:val="ListNumber"/>
        <w:keepNext w:val="0"/>
        <w:spacing w:before="0" w:after="100" w:line="264" w:lineRule="auto"/>
        <w:ind w:left="720" w:hanging="360"/>
      </w:pPr>
      <w:r>
        <w:rPr>
          <w:rFonts w:ascii="Arial" w:hAnsi="Arial" w:eastAsia="Microsoft YaHei"/>
          <w:i w:val="0"/>
          <w:color w:val="17202A"/>
          <w:sz w:val="22"/>
        </w:rPr>
        <w:t>审计层：问题、上下文版本、Prompt 版本、模型、SQL、结果摘要、策略快照和导出全链路记录。</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DECEC"/>
          </w:tcPr>
          <w:p>
            <w:pPr>
              <w:spacing w:after="40"/>
            </w:pPr>
            <w:r>
              <w:rPr>
                <w:rFonts w:ascii="Arial" w:hAnsi="Arial" w:eastAsia="Microsoft YaHei"/>
                <w:b/>
                <w:color w:val="B42318"/>
                <w:sz w:val="21"/>
              </w:rPr>
              <w:t xml:space="preserve">安全边界  </w:t>
            </w:r>
            <w:r>
              <w:rPr>
                <w:rFonts w:ascii="Arial" w:hAnsi="Arial" w:eastAsia="Microsoft YaHei"/>
                <w:color w:val="17202A"/>
                <w:sz w:val="21"/>
              </w:rPr>
              <w:t>模型返回的任何 SQL、解释、置信度都属于不可信输入；只有通过服务端确定性校验并在最小权限数据库账号下执行的查询才可被视为平台输出。</w:t>
            </w:r>
          </w:p>
        </w:tc>
      </w:tr>
    </w:tbl>
    <w:p>
      <w:pPr>
        <w:spacing w:after="40"/>
      </w:pPr>
    </w:p>
    <w:p>
      <w:pPr>
        <w:pStyle w:val="Heading1"/>
        <w:keepNext/>
        <w:pageBreakBefore/>
      </w:pPr>
      <w:r>
        <w:rPr>
          <w:rFonts w:ascii="Arial" w:hAnsi="Arial" w:eastAsia="Microsoft YaHei"/>
          <w:b/>
          <w:color w:val="2E74B5"/>
          <w:sz w:val="32"/>
        </w:rPr>
        <w:t>15. 数据隔离设计</w:t>
      </w:r>
    </w:p>
    <w:p>
      <w:pPr>
        <w:pStyle w:val="Heading2"/>
        <w:keepNext/>
        <w:pageBreakBefore w:val="0"/>
      </w:pPr>
      <w:r>
        <w:rPr>
          <w:rFonts w:ascii="Arial" w:hAnsi="Arial" w:eastAsia="Microsoft YaHei"/>
          <w:b/>
          <w:color w:val="2E74B5"/>
          <w:sz w:val="26"/>
        </w:rPr>
        <w:t>15.1 当前隔离基线与缺口</w:t>
      </w:r>
    </w:p>
    <w:tbl>
      <w:tblPr>
        <w:tblW w:type="dxa" w:w="9360"/>
        <w:tblLayout w:type="fixed"/>
        <w:tblLook w:firstColumn="1" w:firstRow="1" w:lastColumn="0" w:lastRow="0" w:noHBand="0" w:noVBand="1" w:val="04A0"/>
        <w:jc w:val="left"/>
        <w:tblInd w:w="120" w:type="dxa"/>
      </w:tblPr>
      <w:tblGrid>
        <w:gridCol w:w="1900"/>
        <w:gridCol w:w="3900"/>
        <w:gridCol w:w="3560"/>
      </w:tblGrid>
      <w:tr>
        <w:trPr>
          <w:trHeight w:hRule="atLeast"/>
          <w:tblHeader w:val="true"/>
        </w:trPr>
        <w:tc>
          <w:tcPr>
            <w:tcW w:type="dxa" w:w="1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隔离维度</w:t>
            </w:r>
          </w:p>
        </w:tc>
        <w:tc>
          <w:tcPr>
            <w:tcW w:type="dxa" w:w="3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当前状态</w:t>
            </w:r>
          </w:p>
        </w:tc>
        <w:tc>
          <w:tcPr>
            <w:tcW w:type="dxa" w:w="35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风险结论</w:t>
            </w:r>
          </w:p>
        </w:tc>
      </w:tr>
      <w:tr>
        <w:trPr>
          <w:trHeight w:hRule="atLeast"/>
        </w:trPr>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功能隔离</w:t>
            </w:r>
          </w:p>
        </w:tc>
        <w:tc>
          <w:tcPr>
            <w:tcW w:type="dxa" w:w="3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三类服务端权限已实现</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可用于 MVP；不能替代数据范围权限</w:t>
            </w:r>
          </w:p>
        </w:tc>
      </w:tr>
      <w:tr>
        <w:trPr>
          <w:trHeight w:hRule="atLeast"/>
        </w:trPr>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知识域隔离</w:t>
            </w:r>
          </w:p>
        </w:tc>
        <w:tc>
          <w:tcPr>
            <w:tcW w:type="dxa" w:w="3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Qdrant 按 provider/model/domain 建集合</w:t>
            </w:r>
          </w:p>
        </w:tc>
        <w:tc>
          <w:tcPr>
            <w:tcW w:type="dxa" w:w="3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能防模型索引混用，但尚无 tenant/ACL</w:t>
            </w:r>
          </w:p>
        </w:tc>
      </w:tr>
      <w:tr>
        <w:trPr>
          <w:trHeight w:hRule="atLeast"/>
        </w:trPr>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查询归属</w:t>
            </w:r>
          </w:p>
        </w:tc>
        <w:tc>
          <w:tcPr>
            <w:tcW w:type="dxa" w:w="3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query_run 尚无 user_id/tenant_id；历史按全局时间返回</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生产不可接受，存在横向读取风险</w:t>
            </w:r>
          </w:p>
        </w:tc>
      </w:tr>
      <w:tr>
        <w:trPr>
          <w:trHeight w:hRule="atLeast"/>
        </w:trPr>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报告归属</w:t>
            </w:r>
          </w:p>
        </w:tc>
        <w:tc>
          <w:tcPr>
            <w:tcW w:type="dxa" w:w="3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report_job 尚无 created_by/tenant_id</w:t>
            </w:r>
          </w:p>
        </w:tc>
        <w:tc>
          <w:tcPr>
            <w:tcW w:type="dxa" w:w="3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生产不可接受</w:t>
            </w:r>
          </w:p>
        </w:tc>
      </w:tr>
      <w:tr>
        <w:trPr>
          <w:trHeight w:hRule="atLeast"/>
        </w:trPr>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业务数据行列</w:t>
            </w:r>
          </w:p>
        </w:tc>
        <w:tc>
          <w:tcPr>
            <w:tcW w:type="dxa" w:w="3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尚未注入区域/部门/客户/字段策略</w:t>
            </w:r>
          </w:p>
        </w:tc>
        <w:tc>
          <w:tcPr>
            <w:tcW w:type="dxa" w:w="3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必须在接真实业务数据前完成</w:t>
            </w:r>
          </w:p>
        </w:tc>
      </w:tr>
      <w:tr>
        <w:trPr>
          <w:trHeight w:hRule="atLeast"/>
        </w:trPr>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数据源隔离</w:t>
            </w:r>
          </w:p>
        </w:tc>
        <w:tc>
          <w:tcPr>
            <w:tcW w:type="dxa" w:w="3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当前单数据源同时承载平台和演示业务表</w:t>
            </w:r>
          </w:p>
        </w:tc>
        <w:tc>
          <w:tcPr>
            <w:tcW w:type="dxa" w:w="3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生产需拆分元数据库与业务只读数据源</w:t>
            </w:r>
          </w:p>
        </w:tc>
      </w:tr>
    </w:tbl>
    <w:p>
      <w:pPr>
        <w:spacing w:after="40"/>
      </w:pPr>
    </w:p>
    <w:p>
      <w:pPr>
        <w:pStyle w:val="Heading2"/>
        <w:keepNext/>
        <w:pageBreakBefore w:val="0"/>
      </w:pPr>
      <w:r>
        <w:rPr>
          <w:rFonts w:ascii="Arial" w:hAnsi="Arial" w:eastAsia="Microsoft YaHei"/>
          <w:b/>
          <w:color w:val="2E74B5"/>
          <w:sz w:val="26"/>
        </w:rPr>
        <w:t>15.2 目标多层隔离模型</w:t>
      </w:r>
    </w:p>
    <w:tbl>
      <w:tblPr>
        <w:tblW w:type="dxa" w:w="9360"/>
        <w:tblLayout w:type="fixed"/>
        <w:tblLook w:firstColumn="1" w:firstRow="1" w:lastColumn="0" w:lastRow="0" w:noHBand="0" w:noVBand="1" w:val="04A0"/>
        <w:jc w:val="left"/>
        <w:tblInd w:w="120" w:type="dxa"/>
      </w:tblPr>
      <w:tblGrid>
        <w:gridCol w:w="1900"/>
        <w:gridCol w:w="7460"/>
      </w:tblGrid>
      <w:tr>
        <w:trPr>
          <w:trHeight w:hRule="atLeast"/>
          <w:tblHeader w:val="true"/>
        </w:trPr>
        <w:tc>
          <w:tcPr>
            <w:tcW w:type="dxa" w:w="1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边界</w:t>
            </w:r>
          </w:p>
        </w:tc>
        <w:tc>
          <w:tcPr>
            <w:tcW w:type="dxa" w:w="74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关键设计</w:t>
            </w:r>
          </w:p>
        </w:tc>
      </w:tr>
      <w:tr>
        <w:trPr>
          <w:trHeight w:hRule="atLeast"/>
        </w:trPr>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租户边界</w:t>
            </w:r>
          </w:p>
        </w:tc>
        <w:tc>
          <w:tcPr>
            <w:tcW w:type="dxa" w:w="7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所有业务表和向量 Payload 带 tenant_id；集合或分区策略由数据规模与合规等级决定</w:t>
            </w:r>
          </w:p>
        </w:tc>
      </w:tr>
      <w:tr>
        <w:trPr>
          <w:trHeight w:hRule="atLeast"/>
        </w:trPr>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用户/组织边界</w:t>
            </w:r>
          </w:p>
        </w:tc>
        <w:tc>
          <w:tcPr>
            <w:tcW w:type="dxa" w:w="7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query/report/history/export 必须校验 created_by 或授权共享关系；禁止仅按可猜测 ID 查询</w:t>
            </w:r>
          </w:p>
        </w:tc>
      </w:tr>
      <w:tr>
        <w:trPr>
          <w:trHeight w:hRule="atLeast"/>
        </w:trPr>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领域边界</w:t>
            </w:r>
          </w:p>
        </w:tc>
        <w:tc>
          <w:tcPr>
            <w:tcW w:type="dxa" w:w="7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domain_id 关联 Schema、指标、关系、知识、标准 SQL、数据源和策略，禁止跨域拼接</w:t>
            </w:r>
          </w:p>
        </w:tc>
      </w:tr>
      <w:tr>
        <w:trPr>
          <w:trHeight w:hRule="atLeast"/>
        </w:trPr>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数据行边界</w:t>
            </w:r>
          </w:p>
        </w:tc>
        <w:tc>
          <w:tcPr>
            <w:tcW w:type="dxa" w:w="7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Policy Engine 根据用户属性生成策略 AST；与模型 SQL AST 合并后再次校验</w:t>
            </w:r>
          </w:p>
        </w:tc>
      </w:tr>
      <w:tr>
        <w:trPr>
          <w:trHeight w:hRule="atLeast"/>
        </w:trPr>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数据列边界</w:t>
            </w:r>
          </w:p>
        </w:tc>
        <w:tc>
          <w:tcPr>
            <w:tcW w:type="dxa" w:w="7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敏感字段只通过授权视图暴露；结果层按分类执行掩码、哈希或拒绝</w:t>
            </w:r>
          </w:p>
        </w:tc>
      </w:tr>
      <w:tr>
        <w:trPr>
          <w:trHeight w:hRule="atLeast"/>
        </w:trPr>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数据源边界</w:t>
            </w:r>
          </w:p>
        </w:tc>
        <w:tc>
          <w:tcPr>
            <w:tcW w:type="dxa" w:w="7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平台元数据库账号只能管理平台表；业务执行账号只能 SELECT 审核视图，禁止 DDL/DML</w:t>
            </w:r>
          </w:p>
        </w:tc>
      </w:tr>
      <w:tr>
        <w:trPr>
          <w:trHeight w:hRule="atLeast"/>
        </w:trPr>
        <w:tc>
          <w:tcPr>
            <w:tcW w:type="dxa" w:w="1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向量边界</w:t>
            </w:r>
          </w:p>
        </w:tc>
        <w:tc>
          <w:tcPr>
            <w:tcW w:type="dxa" w:w="7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collection/partition/payload filter 同时包含 tenant、domain、classification、ACL 和 embedding_version</w:t>
            </w:r>
          </w:p>
        </w:tc>
      </w:tr>
      <w:tr>
        <w:trPr>
          <w:trHeight w:hRule="atLeast"/>
        </w:trPr>
        <w:tc>
          <w:tcPr>
            <w:tcW w:type="dxa" w:w="1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导出边界</w:t>
            </w:r>
          </w:p>
        </w:tc>
        <w:tc>
          <w:tcPr>
            <w:tcW w:type="dxa" w:w="7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按用户/租户/分类校验，限制格式/行数，敏感导出审批、水印和审计</w:t>
            </w:r>
          </w:p>
        </w:tc>
      </w:tr>
    </w:tbl>
    <w:p>
      <w:pPr>
        <w:spacing w:after="40"/>
      </w:pPr>
    </w:p>
    <w:p>
      <w:pPr>
        <w:pStyle w:val="Heading2"/>
        <w:keepNext/>
        <w:pageBreakBefore w:val="0"/>
      </w:pPr>
      <w:r>
        <w:rPr>
          <w:rFonts w:ascii="Arial" w:hAnsi="Arial" w:eastAsia="Microsoft YaHei"/>
          <w:b/>
          <w:color w:val="2E74B5"/>
          <w:sz w:val="26"/>
        </w:rPr>
        <w:t>15.3 策略注入流程</w:t>
      </w:r>
    </w:p>
    <w:p>
      <w:pPr>
        <w:pStyle w:val="ListNumber"/>
        <w:keepNext w:val="0"/>
        <w:spacing w:before="0" w:after="100" w:line="264" w:lineRule="auto"/>
        <w:ind w:left="720" w:hanging="360"/>
      </w:pPr>
      <w:r>
        <w:rPr>
          <w:rFonts w:ascii="Arial" w:hAnsi="Arial" w:eastAsia="Microsoft YaHei"/>
          <w:i w:val="0"/>
          <w:color w:val="17202A"/>
          <w:sz w:val="22"/>
        </w:rPr>
        <w:t>认证上下文解析用户、租户、部门、区域、角色和数据等级。</w:t>
      </w:r>
    </w:p>
    <w:p>
      <w:pPr>
        <w:pStyle w:val="ListNumber"/>
        <w:keepNext w:val="0"/>
        <w:spacing w:before="0" w:after="100" w:line="264" w:lineRule="auto"/>
        <w:ind w:left="720" w:hanging="360"/>
      </w:pPr>
      <w:r>
        <w:rPr>
          <w:rFonts w:ascii="Arial" w:hAnsi="Arial" w:eastAsia="Microsoft YaHei"/>
          <w:i w:val="0"/>
          <w:color w:val="17202A"/>
          <w:sz w:val="22"/>
        </w:rPr>
        <w:t>Policy Engine 根据 domain、目的和数据资产计算允许表、列、行过滤器和最大结果范围。</w:t>
      </w:r>
    </w:p>
    <w:p>
      <w:pPr>
        <w:pStyle w:val="ListNumber"/>
        <w:keepNext w:val="0"/>
        <w:spacing w:before="0" w:after="100" w:line="264" w:lineRule="auto"/>
        <w:ind w:left="720" w:hanging="360"/>
      </w:pPr>
      <w:r>
        <w:rPr>
          <w:rFonts w:ascii="Arial" w:hAnsi="Arial" w:eastAsia="Microsoft YaHei"/>
          <w:i w:val="0"/>
          <w:color w:val="17202A"/>
          <w:sz w:val="22"/>
        </w:rPr>
        <w:t>模型只看到授权后的 Schema/指标/关系；不把未授权对象放入 Prompt。</w:t>
      </w:r>
    </w:p>
    <w:p>
      <w:pPr>
        <w:pStyle w:val="ListNumber"/>
        <w:keepNext w:val="0"/>
        <w:spacing w:before="0" w:after="100" w:line="264" w:lineRule="auto"/>
        <w:ind w:left="720" w:hanging="360"/>
      </w:pPr>
      <w:r>
        <w:rPr>
          <w:rFonts w:ascii="Arial" w:hAnsi="Arial" w:eastAsia="Microsoft YaHei"/>
          <w:i w:val="0"/>
          <w:color w:val="17202A"/>
          <w:sz w:val="22"/>
        </w:rPr>
        <w:t>SQLGuard 解析候选 SQL，验证对象集合；Policy Rewriter 将行过滤器合并到 AST。</w:t>
      </w:r>
    </w:p>
    <w:p>
      <w:pPr>
        <w:pStyle w:val="ListNumber"/>
        <w:keepNext w:val="0"/>
        <w:spacing w:before="0" w:after="100" w:line="264" w:lineRule="auto"/>
        <w:ind w:left="720" w:hanging="360"/>
      </w:pPr>
      <w:r>
        <w:rPr>
          <w:rFonts w:ascii="Arial" w:hAnsi="Arial" w:eastAsia="Microsoft YaHei"/>
          <w:i w:val="0"/>
          <w:color w:val="17202A"/>
          <w:sz w:val="22"/>
        </w:rPr>
        <w:t>重写后的 SQL 再次解析和验证，并在专用只读数据源执行。</w:t>
      </w:r>
    </w:p>
    <w:p>
      <w:pPr>
        <w:pStyle w:val="ListNumber"/>
        <w:keepNext w:val="0"/>
        <w:spacing w:before="0" w:after="100" w:line="264" w:lineRule="auto"/>
        <w:ind w:left="720" w:hanging="360"/>
      </w:pPr>
      <w:r>
        <w:rPr>
          <w:rFonts w:ascii="Arial" w:hAnsi="Arial" w:eastAsia="Microsoft YaHei"/>
          <w:i w:val="0"/>
          <w:color w:val="17202A"/>
          <w:sz w:val="22"/>
        </w:rPr>
        <w:t>结果按列分类脱敏；审计记录策略版本、授权依据和实际返回范围。</w:t>
      </w:r>
    </w:p>
    <w:p>
      <w:pPr>
        <w:pStyle w:val="Heading1"/>
        <w:keepNext/>
        <w:pageBreakBefore/>
      </w:pPr>
      <w:r>
        <w:rPr>
          <w:rFonts w:ascii="Arial" w:hAnsi="Arial" w:eastAsia="Microsoft YaHei"/>
          <w:b/>
          <w:color w:val="2E74B5"/>
          <w:sz w:val="32"/>
        </w:rPr>
        <w:t>16. 可控 AI 与模型治理</w:t>
      </w:r>
    </w:p>
    <w:p>
      <w:pPr>
        <w:pStyle w:val="Heading2"/>
        <w:keepNext/>
        <w:pageBreakBefore w:val="0"/>
      </w:pPr>
      <w:r>
        <w:rPr>
          <w:rFonts w:ascii="Arial" w:hAnsi="Arial" w:eastAsia="Microsoft YaHei"/>
          <w:b/>
          <w:color w:val="2E74B5"/>
          <w:sz w:val="26"/>
        </w:rPr>
        <w:t>16.1 可控 AI 定义</w:t>
      </w:r>
    </w:p>
    <w:p>
      <w:pPr>
        <w:keepNext w:val="0"/>
        <w:spacing w:before="0" w:after="120" w:line="264" w:lineRule="auto"/>
      </w:pPr>
      <w:r>
        <w:rPr>
          <w:rFonts w:ascii="Arial" w:hAnsi="Arial" w:eastAsia="Microsoft YaHei"/>
          <w:i w:val="0"/>
          <w:color w:val="17202A"/>
          <w:sz w:val="22"/>
        </w:rPr>
        <w:t>本系统将“可控 AI”定义为：模型的输入范围、可用工具、输出结构、执行权限、失败路径、版本变更和评测结果均可由人和确定性系统配置、验证、审计和回滚。可控不等于模型永不出错，而是错误不会直接获得高权限执行能力。</w:t>
      </w:r>
    </w:p>
    <w:tbl>
      <w:tblPr>
        <w:tblW w:type="dxa" w:w="9360"/>
        <w:tblLayout w:type="fixed"/>
        <w:tblLook w:firstColumn="1" w:firstRow="1" w:lastColumn="0" w:lastRow="0" w:noHBand="0" w:noVBand="1" w:val="04A0"/>
        <w:jc w:val="left"/>
        <w:tblInd w:w="120" w:type="dxa"/>
      </w:tblPr>
      <w:tblGrid>
        <w:gridCol w:w="1500"/>
        <w:gridCol w:w="4400"/>
        <w:gridCol w:w="3460"/>
      </w:tblGrid>
      <w:tr>
        <w:trPr>
          <w:trHeight w:hRule="atLeast"/>
          <w:tblHeader w:val="true"/>
        </w:trPr>
        <w:tc>
          <w:tcPr>
            <w:tcW w:type="dxa" w:w="15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控制面</w:t>
            </w:r>
          </w:p>
        </w:tc>
        <w:tc>
          <w:tcPr>
            <w:tcW w:type="dxa" w:w="44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控制机制</w:t>
            </w:r>
          </w:p>
        </w:tc>
        <w:tc>
          <w:tcPr>
            <w:tcW w:type="dxa" w:w="34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审核证据</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输入</w:t>
            </w:r>
          </w:p>
        </w:tc>
        <w:tc>
          <w:tcPr>
            <w:tcW w:type="dxa" w:w="4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授权 Schema、已发布指标/关系、TopK 文档、标准 SQL</w:t>
            </w:r>
          </w:p>
        </w:tc>
        <w:tc>
          <w:tcPr>
            <w:tcW w:type="dxa" w:w="3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资产版本、检索片段 ID、Policy Snapshot</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生成</w:t>
            </w:r>
          </w:p>
        </w:tc>
        <w:tc>
          <w:tcPr>
            <w:tcW w:type="dxa" w:w="4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固定 System Prompt、Oracle 方言、严格 JSON、Provider/Model 白名单</w:t>
            </w:r>
          </w:p>
        </w:tc>
        <w:tc>
          <w:tcPr>
            <w:tcW w:type="dxa" w:w="3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Prompt 版本、模型 ID、参数</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输出</w:t>
            </w:r>
          </w:p>
        </w:tc>
        <w:tc>
          <w:tcPr>
            <w:tcW w:type="dxa" w:w="4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JSON Parser、SQL AST、只读/白名单/危险函数、置信度</w:t>
            </w:r>
          </w:p>
        </w:tc>
        <w:tc>
          <w:tcPr>
            <w:tcW w:type="dxa" w:w="3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校验结果与拒绝码</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执行</w:t>
            </w:r>
          </w:p>
        </w:tc>
        <w:tc>
          <w:tcPr>
            <w:tcW w:type="dxa" w:w="4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只读数据源、最大行数、超时、Fetch Size、成本门禁（目标）</w:t>
            </w:r>
          </w:p>
        </w:tc>
        <w:tc>
          <w:tcPr>
            <w:tcW w:type="dxa" w:w="3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SQL、执行时长、表集合、行数</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反馈</w:t>
            </w:r>
          </w:p>
        </w:tc>
        <w:tc>
          <w:tcPr>
            <w:tcW w:type="dxa" w:w="4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正向确认开放下载；负向反馈进入草稿而非直接学习</w:t>
            </w:r>
          </w:p>
        </w:tc>
        <w:tc>
          <w:tcPr>
            <w:tcW w:type="dxa" w:w="34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反馈、修正 SQL、审批记录</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变更</w:t>
            </w:r>
          </w:p>
        </w:tc>
        <w:tc>
          <w:tcPr>
            <w:tcW w:type="dxa" w:w="4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模型/Embedding 独立版本、独立集合、黄金集回归、灰度/回滚</w:t>
            </w:r>
          </w:p>
        </w:tc>
        <w:tc>
          <w:tcPr>
            <w:tcW w:type="dxa" w:w="34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评测报告、发布单、回滚点</w:t>
            </w:r>
          </w:p>
        </w:tc>
      </w:tr>
    </w:tbl>
    <w:p>
      <w:pPr>
        <w:spacing w:after="40"/>
      </w:pPr>
    </w:p>
    <w:p>
      <w:pPr>
        <w:pStyle w:val="Heading2"/>
        <w:keepNext/>
        <w:pageBreakBefore w:val="0"/>
      </w:pPr>
      <w:r>
        <w:rPr>
          <w:rFonts w:ascii="Arial" w:hAnsi="Arial" w:eastAsia="Microsoft YaHei"/>
          <w:b/>
          <w:color w:val="2E74B5"/>
          <w:sz w:val="26"/>
        </w:rPr>
        <w:t>16.2 评测体系</w:t>
      </w:r>
    </w:p>
    <w:p>
      <w:pPr>
        <w:pStyle w:val="ListBullet"/>
        <w:keepNext w:val="0"/>
        <w:spacing w:before="0" w:after="80" w:line="264" w:lineRule="auto"/>
        <w:ind w:left="720" w:hanging="360"/>
      </w:pPr>
      <w:r>
        <w:rPr>
          <w:rFonts w:ascii="Arial" w:hAnsi="Arial" w:eastAsia="Microsoft YaHei"/>
          <w:i w:val="0"/>
          <w:color w:val="17202A"/>
          <w:sz w:val="22"/>
        </w:rPr>
        <w:t>正确性：SQL 可执行率、结果完全匹配率、表集合、Join 路径、指标口径、时间过滤、排序与 TopN。</w:t>
      </w:r>
    </w:p>
    <w:p>
      <w:pPr>
        <w:pStyle w:val="ListBullet"/>
        <w:keepNext w:val="0"/>
        <w:spacing w:before="0" w:after="80" w:line="264" w:lineRule="auto"/>
        <w:ind w:left="720" w:hanging="360"/>
      </w:pPr>
      <w:r>
        <w:rPr>
          <w:rFonts w:ascii="Arial" w:hAnsi="Arial" w:eastAsia="Microsoft YaHei"/>
          <w:i w:val="0"/>
          <w:color w:val="17202A"/>
          <w:sz w:val="22"/>
        </w:rPr>
        <w:t>安全性：写操作拒绝率、未授权表拒绝率、多语句拒绝、危险函数拒绝、Prompt Injection 和数据外泄测试。</w:t>
      </w:r>
    </w:p>
    <w:p>
      <w:pPr>
        <w:pStyle w:val="ListBullet"/>
        <w:keepNext w:val="0"/>
        <w:spacing w:before="0" w:after="80" w:line="264" w:lineRule="auto"/>
        <w:ind w:left="720" w:hanging="360"/>
      </w:pPr>
      <w:r>
        <w:rPr>
          <w:rFonts w:ascii="Arial" w:hAnsi="Arial" w:eastAsia="Microsoft YaHei"/>
          <w:i w:val="0"/>
          <w:color w:val="17202A"/>
          <w:sz w:val="22"/>
        </w:rPr>
        <w:t>稳定性：同一问题多次生成一致性、模型切换回归、Embedding 变更召回率、超时率和错误类型分布。</w:t>
      </w:r>
    </w:p>
    <w:p>
      <w:pPr>
        <w:pStyle w:val="ListBullet"/>
        <w:keepNext w:val="0"/>
        <w:spacing w:before="0" w:after="80" w:line="264" w:lineRule="auto"/>
        <w:ind w:left="720" w:hanging="360"/>
      </w:pPr>
      <w:r>
        <w:rPr>
          <w:rFonts w:ascii="Arial" w:hAnsi="Arial" w:eastAsia="Microsoft YaHei"/>
          <w:i w:val="0"/>
          <w:color w:val="17202A"/>
          <w:sz w:val="22"/>
        </w:rPr>
        <w:t>业务性：数据 Owner 复核通过率、用户正向反馈率、修正率和标准 SQL 命中率。</w:t>
      </w:r>
    </w:p>
    <w:p>
      <w:pPr>
        <w:pStyle w:val="Heading1"/>
        <w:keepNext/>
        <w:pageBreakBefore/>
      </w:pPr>
      <w:r>
        <w:rPr>
          <w:rFonts w:ascii="Arial" w:hAnsi="Arial" w:eastAsia="Microsoft YaHei"/>
          <w:b/>
          <w:color w:val="2E74B5"/>
          <w:sz w:val="32"/>
        </w:rPr>
        <w:t>17. 部署、配置与运维</w:t>
      </w:r>
    </w:p>
    <w:p>
      <w:pPr>
        <w:pStyle w:val="Heading2"/>
        <w:keepNext/>
        <w:pageBreakBefore w:val="0"/>
      </w:pPr>
      <w:r>
        <w:rPr>
          <w:rFonts w:ascii="Arial" w:hAnsi="Arial" w:eastAsia="Microsoft YaHei"/>
          <w:b/>
          <w:color w:val="2E74B5"/>
          <w:sz w:val="26"/>
        </w:rPr>
        <w:t>17.1 生产推荐拓扑</w:t>
      </w:r>
    </w:p>
    <w:tbl>
      <w:tblPr>
        <w:tblW w:type="dxa" w:w="9360"/>
        <w:tblLayout w:type="fixed"/>
        <w:tblLook w:firstColumn="1" w:firstRow="1" w:lastColumn="0" w:lastRow="0" w:noHBand="0" w:noVBand="1" w:val="04A0"/>
        <w:jc w:val="left"/>
        <w:tblInd w:w="120" w:type="dxa"/>
      </w:tblPr>
      <w:tblGrid>
        <w:gridCol w:w="1500"/>
        <w:gridCol w:w="3800"/>
        <w:gridCol w:w="4060"/>
      </w:tblGrid>
      <w:tr>
        <w:trPr>
          <w:trHeight w:hRule="atLeast"/>
          <w:tblHeader w:val="true"/>
        </w:trPr>
        <w:tc>
          <w:tcPr>
            <w:tcW w:type="dxa" w:w="15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区域</w:t>
            </w:r>
          </w:p>
        </w:tc>
        <w:tc>
          <w:tcPr>
            <w:tcW w:type="dxa" w:w="38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组件</w:t>
            </w:r>
          </w:p>
        </w:tc>
        <w:tc>
          <w:tcPr>
            <w:tcW w:type="dxa" w:w="40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访问规则</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用户访问区</w:t>
            </w:r>
          </w:p>
        </w:tc>
        <w:tc>
          <w:tcPr>
            <w:tcW w:type="dxa" w:w="3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浏览器 / 内网门户</w:t>
            </w:r>
          </w:p>
        </w:tc>
        <w:tc>
          <w:tcPr>
            <w:tcW w:type="dxa" w:w="4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仅访问 HTTPS 入口</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应用区</w:t>
            </w:r>
          </w:p>
        </w:tc>
        <w:tc>
          <w:tcPr>
            <w:tcW w:type="dxa" w:w="3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静态前端服务、Spring Boot 多实例</w:t>
            </w:r>
          </w:p>
        </w:tc>
        <w:tc>
          <w:tcPr>
            <w:tcW w:type="dxa" w:w="40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前端只转发 /api；应用不对用户开放管理端口</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AI 服务区</w:t>
            </w:r>
          </w:p>
        </w:tc>
        <w:tc>
          <w:tcPr>
            <w:tcW w:type="dxa" w:w="3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内网聊天模型网关、Embedding 服务、Qdrant</w:t>
            </w:r>
          </w:p>
        </w:tc>
        <w:tc>
          <w:tcPr>
            <w:tcW w:type="dxa" w:w="4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仅允许应用服务访问；Qdrant 启用 API Key/TLS</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数据区</w:t>
            </w:r>
          </w:p>
        </w:tc>
        <w:tc>
          <w:tcPr>
            <w:tcW w:type="dxa" w:w="3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Oracle 平台 Schema、业务只读数据源/视图</w:t>
            </w:r>
          </w:p>
        </w:tc>
        <w:tc>
          <w:tcPr>
            <w:tcW w:type="dxa" w:w="40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业务账号只读；数据库不暴露给前端和模型</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运维区</w:t>
            </w:r>
          </w:p>
        </w:tc>
        <w:tc>
          <w:tcPr>
            <w:tcW w:type="dxa" w:w="3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日志、指标、告警、备份、制品库</w:t>
            </w:r>
          </w:p>
        </w:tc>
        <w:tc>
          <w:tcPr>
            <w:tcW w:type="dxa" w:w="4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管理员专网、最小权限、审计</w:t>
            </w:r>
          </w:p>
        </w:tc>
      </w:tr>
    </w:tbl>
    <w:p>
      <w:pPr>
        <w:spacing w:after="40"/>
      </w:pPr>
    </w:p>
    <w:p>
      <w:pPr>
        <w:pStyle w:val="Heading2"/>
        <w:keepNext/>
        <w:pageBreakBefore w:val="0"/>
      </w:pPr>
      <w:r>
        <w:rPr>
          <w:rFonts w:ascii="Arial" w:hAnsi="Arial" w:eastAsia="Microsoft YaHei"/>
          <w:b/>
          <w:color w:val="2E74B5"/>
          <w:sz w:val="26"/>
        </w:rPr>
        <w:t>17.2 无外网部署</w:t>
      </w:r>
    </w:p>
    <w:p>
      <w:pPr>
        <w:pStyle w:val="ListBullet"/>
        <w:keepNext w:val="0"/>
        <w:spacing w:before="0" w:after="80" w:line="264" w:lineRule="auto"/>
        <w:ind w:left="720" w:hanging="360"/>
      </w:pPr>
      <w:r>
        <w:rPr>
          <w:rFonts w:ascii="Arial" w:hAnsi="Arial" w:eastAsia="Microsoft YaHei"/>
          <w:i w:val="0"/>
          <w:color w:val="17202A"/>
          <w:sz w:val="22"/>
        </w:rPr>
        <w:t>Windows：JDK 17、Oracle 19c、Qdrant、Spring Boot JAR；前端可使用项目内 Node 静态服务，无需 Nginx。</w:t>
      </w:r>
    </w:p>
    <w:p>
      <w:pPr>
        <w:pStyle w:val="ListBullet"/>
        <w:keepNext w:val="0"/>
        <w:spacing w:before="0" w:after="80" w:line="264" w:lineRule="auto"/>
        <w:ind w:left="720" w:hanging="360"/>
      </w:pPr>
      <w:r>
        <w:rPr>
          <w:rFonts w:ascii="Arial" w:hAnsi="Arial" w:eastAsia="Microsoft YaHei"/>
          <w:i w:val="0"/>
          <w:color w:val="17202A"/>
          <w:sz w:val="22"/>
        </w:rPr>
        <w:t>CentOS 7：JDK 17、Oracle 客户端网络可达、Qdrant 二进制、systemd 服务；可选 Nginx，缺失时使用项目 Node 静态服务。</w:t>
      </w:r>
    </w:p>
    <w:p>
      <w:pPr>
        <w:pStyle w:val="ListBullet"/>
        <w:keepNext w:val="0"/>
        <w:spacing w:before="0" w:after="80" w:line="264" w:lineRule="auto"/>
        <w:ind w:left="720" w:hanging="360"/>
      </w:pPr>
      <w:r>
        <w:rPr>
          <w:rFonts w:ascii="Arial" w:hAnsi="Arial" w:eastAsia="Microsoft YaHei"/>
          <w:i w:val="0"/>
          <w:color w:val="17202A"/>
          <w:sz w:val="22"/>
        </w:rPr>
        <w:t>项目已携带 Maven 3.9.11 和约 302.72 MB 离线仓库，可完成 clean test package；前端 node_modules 也需完整复制。</w:t>
      </w:r>
    </w:p>
    <w:p>
      <w:pPr>
        <w:pStyle w:val="ListBullet"/>
        <w:keepNext w:val="0"/>
        <w:spacing w:before="0" w:after="80" w:line="264" w:lineRule="auto"/>
        <w:ind w:left="720" w:hanging="360"/>
      </w:pPr>
      <w:r>
        <w:rPr>
          <w:rFonts w:ascii="Arial" w:hAnsi="Arial" w:eastAsia="Microsoft YaHei"/>
          <w:i w:val="0"/>
          <w:color w:val="17202A"/>
          <w:sz w:val="22"/>
        </w:rPr>
        <w:t>内网模型通过 OpenAI-compatible/企业网关地址配置；不要求 Ollama。聊天模型和向量模型可分别配置。</w:t>
      </w:r>
    </w:p>
    <w:p>
      <w:pPr>
        <w:pStyle w:val="Heading2"/>
        <w:keepNext/>
        <w:pageBreakBefore w:val="0"/>
      </w:pPr>
      <w:r>
        <w:rPr>
          <w:rFonts w:ascii="Arial" w:hAnsi="Arial" w:eastAsia="Microsoft YaHei"/>
          <w:b/>
          <w:color w:val="2E74B5"/>
          <w:sz w:val="26"/>
        </w:rPr>
        <w:t>17.3 关键配置</w:t>
      </w:r>
    </w:p>
    <w:tbl>
      <w:tblPr>
        <w:tblW w:type="dxa" w:w="9360"/>
        <w:tblLayout w:type="fixed"/>
        <w:tblLook w:firstColumn="1" w:firstRow="1" w:lastColumn="0" w:lastRow="0" w:noHBand="0" w:noVBand="1" w:val="04A0"/>
        <w:jc w:val="left"/>
        <w:tblInd w:w="120" w:type="dxa"/>
      </w:tblPr>
      <w:tblGrid>
        <w:gridCol w:w="1500"/>
        <w:gridCol w:w="3800"/>
        <w:gridCol w:w="4060"/>
      </w:tblGrid>
      <w:tr>
        <w:trPr>
          <w:trHeight w:hRule="atLeast"/>
          <w:tblHeader w:val="true"/>
        </w:trPr>
        <w:tc>
          <w:tcPr>
            <w:tcW w:type="dxa" w:w="15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类别</w:t>
            </w:r>
          </w:p>
        </w:tc>
        <w:tc>
          <w:tcPr>
            <w:tcW w:type="dxa" w:w="38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关键配置</w:t>
            </w:r>
          </w:p>
        </w:tc>
        <w:tc>
          <w:tcPr>
            <w:tcW w:type="dxa" w:w="40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安全要求</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Oracle</w:t>
            </w:r>
          </w:p>
        </w:tc>
        <w:tc>
          <w:tcPr>
            <w:tcW w:type="dxa" w:w="3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DB_URL、DB_USERNAME、DB_PASSWORD、FLYWAY_ENABLED</w:t>
            </w:r>
          </w:p>
        </w:tc>
        <w:tc>
          <w:tcPr>
            <w:tcW w:type="dxa" w:w="4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密码由 Secret 管理；平台库与业务只读库分离</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模型</w:t>
            </w:r>
          </w:p>
        </w:tc>
        <w:tc>
          <w:tcPr>
            <w:tcW w:type="dxa" w:w="3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AI_CHAT_PROVIDER、QWEN_API_BASE_URL、模型 ID</w:t>
            </w:r>
          </w:p>
        </w:tc>
        <w:tc>
          <w:tcPr>
            <w:tcW w:type="dxa" w:w="40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地址白名单；Token 不返回前端、不写日志</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Embedding/Qdrant</w:t>
            </w:r>
          </w:p>
        </w:tc>
        <w:tc>
          <w:tcPr>
            <w:tcW w:type="dxa" w:w="3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向量模型、维度、QDRANT_BASE_URL、API Key</w:t>
            </w:r>
          </w:p>
        </w:tc>
        <w:tc>
          <w:tcPr>
            <w:tcW w:type="dxa" w:w="4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维度变化新建集合；备份快照；TLS/API Key</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查询</w:t>
            </w:r>
          </w:p>
        </w:tc>
        <w:tc>
          <w:tcPr>
            <w:tcW w:type="dxa" w:w="3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QUERY_MAX_LIMIT、QUERY_TIMEOUT_SECONDS</w:t>
            </w:r>
          </w:p>
        </w:tc>
        <w:tc>
          <w:tcPr>
            <w:tcW w:type="dxa" w:w="40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按域和角色配置更严格上限</w:t>
            </w:r>
          </w:p>
        </w:tc>
      </w:tr>
      <w:tr>
        <w:trPr>
          <w:trHeight w:hRule="atLeast"/>
        </w:trPr>
        <w:tc>
          <w:tcPr>
            <w:tcW w:type="dxa" w:w="1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会话</w:t>
            </w:r>
          </w:p>
        </w:tc>
        <w:tc>
          <w:tcPr>
            <w:tcW w:type="dxa" w:w="3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AUTH_SESSION_HOURS</w:t>
            </w:r>
          </w:p>
        </w:tc>
        <w:tc>
          <w:tcPr>
            <w:tcW w:type="dxa" w:w="40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生产缩短有效期，配合 SSO/MFA 和撤销</w:t>
            </w:r>
          </w:p>
        </w:tc>
      </w:tr>
      <w:tr>
        <w:trPr>
          <w:trHeight w:hRule="atLeast"/>
        </w:trPr>
        <w:tc>
          <w:tcPr>
            <w:tcW w:type="dxa" w:w="1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文件</w:t>
            </w:r>
          </w:p>
        </w:tc>
        <w:tc>
          <w:tcPr>
            <w:tcW w:type="dxa" w:w="3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STORAGE_ROOT、上传大小</w:t>
            </w:r>
          </w:p>
        </w:tc>
        <w:tc>
          <w:tcPr>
            <w:tcW w:type="dxa" w:w="40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独立目录、最小权限、病毒扫描、配额与备份</w:t>
            </w:r>
          </w:p>
        </w:tc>
      </w:tr>
    </w:tbl>
    <w:p>
      <w:pPr>
        <w:spacing w:after="40"/>
      </w:pPr>
    </w:p>
    <w:p>
      <w:pPr>
        <w:pStyle w:val="Heading2"/>
        <w:keepNext/>
        <w:pageBreakBefore w:val="0"/>
      </w:pPr>
      <w:r>
        <w:rPr>
          <w:rFonts w:ascii="Arial" w:hAnsi="Arial" w:eastAsia="Microsoft YaHei"/>
          <w:b/>
          <w:color w:val="2E74B5"/>
          <w:sz w:val="26"/>
        </w:rPr>
        <w:t>17.4 可观测性与备份</w:t>
      </w:r>
    </w:p>
    <w:p>
      <w:pPr>
        <w:pStyle w:val="ListBullet"/>
        <w:keepNext w:val="0"/>
        <w:spacing w:before="0" w:after="80" w:line="264" w:lineRule="auto"/>
        <w:ind w:left="720" w:hanging="360"/>
      </w:pPr>
      <w:r>
        <w:rPr>
          <w:rFonts w:ascii="Arial" w:hAnsi="Arial" w:eastAsia="Microsoft YaHei"/>
          <w:i w:val="0"/>
          <w:color w:val="17202A"/>
          <w:sz w:val="22"/>
        </w:rPr>
        <w:t>指标：请求量、P95/P99 延时、模型耗时、Qdrant 耗时、Oracle 耗时、SQL 拒绝原因、评测通过率。</w:t>
      </w:r>
    </w:p>
    <w:p>
      <w:pPr>
        <w:pStyle w:val="ListBullet"/>
        <w:keepNext w:val="0"/>
        <w:spacing w:before="0" w:after="80" w:line="264" w:lineRule="auto"/>
        <w:ind w:left="720" w:hanging="360"/>
      </w:pPr>
      <w:r>
        <w:rPr>
          <w:rFonts w:ascii="Arial" w:hAnsi="Arial" w:eastAsia="Microsoft YaHei"/>
          <w:i w:val="0"/>
          <w:color w:val="17202A"/>
          <w:sz w:val="22"/>
        </w:rPr>
        <w:t>日志：结构化 traceId、user、tenant、domain、provider/model、queryRunId；禁止记录密码、Token、API Key 和未脱敏结果。</w:t>
      </w:r>
    </w:p>
    <w:p>
      <w:pPr>
        <w:pStyle w:val="ListBullet"/>
        <w:keepNext w:val="0"/>
        <w:spacing w:before="0" w:after="80" w:line="264" w:lineRule="auto"/>
        <w:ind w:left="720" w:hanging="360"/>
      </w:pPr>
      <w:r>
        <w:rPr>
          <w:rFonts w:ascii="Arial" w:hAnsi="Arial" w:eastAsia="Microsoft YaHei"/>
          <w:i w:val="0"/>
          <w:color w:val="17202A"/>
          <w:sz w:val="22"/>
        </w:rPr>
        <w:t>告警：异常拒绝率、连续模型失败、向量维度错误、数据库连接耗尽、敏感导出、审计投递失败。</w:t>
      </w:r>
    </w:p>
    <w:p>
      <w:pPr>
        <w:pStyle w:val="ListBullet"/>
        <w:keepNext w:val="0"/>
        <w:spacing w:before="0" w:after="80" w:line="264" w:lineRule="auto"/>
        <w:ind w:left="720" w:hanging="360"/>
      </w:pPr>
      <w:r>
        <w:rPr>
          <w:rFonts w:ascii="Arial" w:hAnsi="Arial" w:eastAsia="Microsoft YaHei"/>
          <w:i w:val="0"/>
          <w:color w:val="17202A"/>
          <w:sz w:val="22"/>
        </w:rPr>
        <w:t>备份：Oracle RMAN/逻辑备份、Qdrant Snapshot、知识原文、配置和制品；定期恢复演练并记录 RTO/RPO。</w:t>
      </w:r>
    </w:p>
    <w:p>
      <w:pPr>
        <w:pStyle w:val="Heading1"/>
        <w:keepNext/>
        <w:pageBreakBefore/>
      </w:pPr>
      <w:r>
        <w:rPr>
          <w:rFonts w:ascii="Arial" w:hAnsi="Arial" w:eastAsia="Microsoft YaHei"/>
          <w:b/>
          <w:color w:val="2E74B5"/>
          <w:sz w:val="32"/>
        </w:rPr>
        <w:t>18. 风险差距与实施路线</w:t>
      </w:r>
    </w:p>
    <w:p>
      <w:pPr>
        <w:pStyle w:val="Heading2"/>
        <w:keepNext/>
        <w:pageBreakBefore w:val="0"/>
      </w:pPr>
      <w:r>
        <w:rPr>
          <w:rFonts w:ascii="Arial" w:hAnsi="Arial" w:eastAsia="Microsoft YaHei"/>
          <w:b/>
          <w:color w:val="2E74B5"/>
          <w:sz w:val="26"/>
        </w:rPr>
        <w:t>18.1 生产化差距</w:t>
      </w:r>
    </w:p>
    <w:tbl>
      <w:tblPr>
        <w:tblW w:type="dxa" w:w="9360"/>
        <w:tblLayout w:type="fixed"/>
        <w:tblLook w:firstColumn="1" w:firstRow="1" w:lastColumn="0" w:lastRow="0" w:noHBand="0" w:noVBand="1" w:val="04A0"/>
        <w:jc w:val="left"/>
        <w:tblInd w:w="120" w:type="dxa"/>
      </w:tblPr>
      <w:tblGrid>
        <w:gridCol w:w="900"/>
        <w:gridCol w:w="3100"/>
        <w:gridCol w:w="2500"/>
        <w:gridCol w:w="2860"/>
      </w:tblGrid>
      <w:tr>
        <w:trPr>
          <w:trHeight w:hRule="atLeast"/>
          <w:tblHeader w:val="true"/>
        </w:trPr>
        <w:tc>
          <w:tcPr>
            <w:tcW w:type="dxa" w:w="9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6"/>
              </w:rPr>
              <w:t>优先级</w:t>
            </w:r>
          </w:p>
        </w:tc>
        <w:tc>
          <w:tcPr>
            <w:tcW w:type="dxa" w:w="31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6"/>
              </w:rPr>
              <w:t>差距</w:t>
            </w:r>
          </w:p>
        </w:tc>
        <w:tc>
          <w:tcPr>
            <w:tcW w:type="dxa" w:w="25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6"/>
              </w:rPr>
              <w:t>影响</w:t>
            </w:r>
          </w:p>
        </w:tc>
        <w:tc>
          <w:tcPr>
            <w:tcW w:type="dxa" w:w="28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6"/>
              </w:rPr>
              <w:t>建议完成条件</w:t>
            </w:r>
          </w:p>
        </w:tc>
      </w:tr>
      <w:tr>
        <w:trPr>
          <w:trHeight w:hRule="atLeast"/>
        </w:trPr>
        <w:tc>
          <w:tcPr>
            <w:tcW w:type="dxa" w:w="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P0</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query/report/knowledge 缺少 tenant_id 和 Owner 校验</w:t>
            </w:r>
          </w:p>
        </w:tc>
        <w:tc>
          <w:tcPr>
            <w:tcW w:type="dxa" w:w="2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横向越权</w:t>
            </w:r>
          </w:p>
        </w:tc>
        <w:tc>
          <w:tcPr>
            <w:tcW w:type="dxa" w:w="28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接入真实业务数据前完成并覆盖越权测试</w:t>
            </w:r>
          </w:p>
        </w:tc>
      </w:tr>
      <w:tr>
        <w:trPr>
          <w:trHeight w:hRule="atLeast"/>
        </w:trPr>
        <w:tc>
          <w:tcPr>
            <w:tcW w:type="dxa" w:w="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P0</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单数据源且未使用业务只读视图</w:t>
            </w:r>
          </w:p>
        </w:tc>
        <w:tc>
          <w:tcPr>
            <w:tcW w:type="dxa" w:w="2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权限扩大、误用平台账号</w:t>
            </w:r>
          </w:p>
        </w:tc>
        <w:tc>
          <w:tcPr>
            <w:tcW w:type="dxa" w:w="28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拆分数据源、账号与连接池</w:t>
            </w:r>
          </w:p>
        </w:tc>
      </w:tr>
      <w:tr>
        <w:trPr>
          <w:trHeight w:hRule="atLeast"/>
        </w:trPr>
        <w:tc>
          <w:tcPr>
            <w:tcW w:type="dxa" w:w="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P0</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无行列级 Policy Engine 和 AST 注入</w:t>
            </w:r>
          </w:p>
        </w:tc>
        <w:tc>
          <w:tcPr>
            <w:tcW w:type="dxa" w:w="2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用户可能看到超范围数据</w:t>
            </w:r>
          </w:p>
        </w:tc>
        <w:tc>
          <w:tcPr>
            <w:tcW w:type="dxa" w:w="28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策略版本化、重写后再校验</w:t>
            </w:r>
          </w:p>
        </w:tc>
      </w:tr>
      <w:tr>
        <w:trPr>
          <w:trHeight w:hRule="atLeast"/>
        </w:trPr>
        <w:tc>
          <w:tcPr>
            <w:tcW w:type="dxa" w:w="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P0</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审计写入失败可被忽略</w:t>
            </w:r>
          </w:p>
        </w:tc>
        <w:tc>
          <w:tcPr>
            <w:tcW w:type="dxa" w:w="2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证据链不完整</w:t>
            </w:r>
          </w:p>
        </w:tc>
        <w:tc>
          <w:tcPr>
            <w:tcW w:type="dxa" w:w="28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可靠事件/事务外盒 + 不可变审计</w:t>
            </w:r>
          </w:p>
        </w:tc>
      </w:tr>
      <w:tr>
        <w:trPr>
          <w:trHeight w:hRule="atLeast"/>
        </w:trPr>
        <w:tc>
          <w:tcPr>
            <w:tcW w:type="dxa" w:w="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P0</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上传缺少 AV、类型白名单和内容安全</w:t>
            </w:r>
          </w:p>
        </w:tc>
        <w:tc>
          <w:tcPr>
            <w:tcW w:type="dxa" w:w="2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恶意文件/Prompt Injection</w:t>
            </w:r>
          </w:p>
        </w:tc>
        <w:tc>
          <w:tcPr>
            <w:tcW w:type="dxa" w:w="28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隔离解析、病毒扫描和发布审批</w:t>
            </w:r>
          </w:p>
        </w:tc>
      </w:tr>
      <w:tr>
        <w:trPr>
          <w:trHeight w:hRule="atLeast"/>
        </w:trPr>
        <w:tc>
          <w:tcPr>
            <w:tcW w:type="dxa" w:w="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P1</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本地账号、公开 Swagger、健康详情</w:t>
            </w:r>
          </w:p>
        </w:tc>
        <w:tc>
          <w:tcPr>
            <w:tcW w:type="dxa" w:w="2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攻击面扩大</w:t>
            </w:r>
          </w:p>
        </w:tc>
        <w:tc>
          <w:tcPr>
            <w:tcW w:type="dxa" w:w="28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SSO/MFA、关闭公开管理接口</w:t>
            </w:r>
          </w:p>
        </w:tc>
      </w:tr>
      <w:tr>
        <w:trPr>
          <w:trHeight w:hRule="atLeast"/>
        </w:trPr>
        <w:tc>
          <w:tcPr>
            <w:tcW w:type="dxa" w:w="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P1</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无 EXPLAIN 成本门禁和并发隔离</w:t>
            </w:r>
          </w:p>
        </w:tc>
        <w:tc>
          <w:tcPr>
            <w:tcW w:type="dxa" w:w="2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数据库资源耗尽</w:t>
            </w:r>
          </w:p>
        </w:tc>
        <w:tc>
          <w:tcPr>
            <w:tcW w:type="dxa" w:w="28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成本阈值、限流、熔断和队列</w:t>
            </w:r>
          </w:p>
        </w:tc>
      </w:tr>
      <w:tr>
        <w:trPr>
          <w:trHeight w:hRule="atLeast"/>
        </w:trPr>
        <w:tc>
          <w:tcPr>
            <w:tcW w:type="dxa" w:w="9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P1</w:t>
            </w:r>
          </w:p>
        </w:tc>
        <w:tc>
          <w:tcPr>
            <w:tcW w:type="dxa" w:w="31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知识/指标审批与回滚不完整</w:t>
            </w:r>
          </w:p>
        </w:tc>
        <w:tc>
          <w:tcPr>
            <w:tcW w:type="dxa" w:w="25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错误口径快速扩散</w:t>
            </w:r>
          </w:p>
        </w:tc>
        <w:tc>
          <w:tcPr>
            <w:tcW w:type="dxa" w:w="28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双人审批、版本 diff、回滚、血缘</w:t>
            </w:r>
          </w:p>
        </w:tc>
      </w:tr>
      <w:tr>
        <w:trPr>
          <w:trHeight w:hRule="atLeast"/>
        </w:trPr>
        <w:tc>
          <w:tcPr>
            <w:tcW w:type="dxa" w:w="9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P2</w:t>
            </w:r>
          </w:p>
        </w:tc>
        <w:tc>
          <w:tcPr>
            <w:tcW w:type="dxa" w:w="31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报告编辑、PPTX/PDF、定时分发未完成</w:t>
            </w:r>
          </w:p>
        </w:tc>
        <w:tc>
          <w:tcPr>
            <w:tcW w:type="dxa" w:w="25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产品体验不完整</w:t>
            </w:r>
          </w:p>
        </w:tc>
        <w:tc>
          <w:tcPr>
            <w:tcW w:type="dxa" w:w="28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6"/>
              </w:rPr>
              <w:t>按业务优先级迭代</w:t>
            </w:r>
          </w:p>
        </w:tc>
      </w:tr>
    </w:tbl>
    <w:p>
      <w:pPr>
        <w:spacing w:after="40"/>
      </w:pPr>
    </w:p>
    <w:p>
      <w:pPr>
        <w:pStyle w:val="Heading2"/>
        <w:keepNext/>
        <w:pageBreakBefore w:val="0"/>
      </w:pPr>
      <w:r>
        <w:rPr>
          <w:rFonts w:ascii="Arial" w:hAnsi="Arial" w:eastAsia="Microsoft YaHei"/>
          <w:b/>
          <w:color w:val="2E74B5"/>
          <w:sz w:val="26"/>
        </w:rPr>
        <w:t>18.2 建议实施阶段</w:t>
      </w:r>
    </w:p>
    <w:tbl>
      <w:tblPr>
        <w:tblW w:type="dxa" w:w="9360"/>
        <w:tblLayout w:type="fixed"/>
        <w:tblLook w:firstColumn="1" w:firstRow="1" w:lastColumn="0" w:lastRow="0" w:noHBand="0" w:noVBand="1" w:val="04A0"/>
        <w:jc w:val="left"/>
        <w:tblInd w:w="120" w:type="dxa"/>
      </w:tblPr>
      <w:tblGrid>
        <w:gridCol w:w="1800"/>
        <w:gridCol w:w="4200"/>
        <w:gridCol w:w="3360"/>
      </w:tblGrid>
      <w:tr>
        <w:trPr>
          <w:trHeight w:hRule="atLeast"/>
          <w:tblHeader w:val="true"/>
        </w:trPr>
        <w:tc>
          <w:tcPr>
            <w:tcW w:type="dxa" w:w="18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阶段</w:t>
            </w:r>
          </w:p>
        </w:tc>
        <w:tc>
          <w:tcPr>
            <w:tcW w:type="dxa" w:w="42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重点</w:t>
            </w:r>
          </w:p>
        </w:tc>
        <w:tc>
          <w:tcPr>
            <w:tcW w:type="dxa" w:w="33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退出条件</w:t>
            </w:r>
          </w:p>
        </w:tc>
      </w:tr>
      <w:tr>
        <w:trPr>
          <w:trHeight w:hRule="atLeast"/>
        </w:trPr>
        <w:tc>
          <w:tcPr>
            <w:tcW w:type="dxa" w:w="1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阶段 0：安全基线</w:t>
            </w:r>
          </w:p>
        </w:tc>
        <w:tc>
          <w:tcPr>
            <w:tcW w:type="dxa" w:w="42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SSO、租户/Owner、双数据源、只读视图、Policy Engine、审计可靠性</w:t>
            </w:r>
          </w:p>
        </w:tc>
        <w:tc>
          <w:tcPr>
            <w:tcW w:type="dxa" w:w="33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安全评审 P0 清零</w:t>
            </w:r>
          </w:p>
        </w:tc>
      </w:tr>
      <w:tr>
        <w:trPr>
          <w:trHeight w:hRule="atLeast"/>
        </w:trPr>
        <w:tc>
          <w:tcPr>
            <w:tcW w:type="dxa" w:w="1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阶段 1：受控试点</w:t>
            </w:r>
          </w:p>
        </w:tc>
        <w:tc>
          <w:tcPr>
            <w:tcW w:type="dxa" w:w="42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选定单一业务域，建立指标/关系/黄金集，限制用户和数据范围</w:t>
            </w:r>
          </w:p>
        </w:tc>
        <w:tc>
          <w:tcPr>
            <w:tcW w:type="dxa" w:w="33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质量、安全、性能指标达标</w:t>
            </w:r>
          </w:p>
        </w:tc>
      </w:tr>
      <w:tr>
        <w:trPr>
          <w:trHeight w:hRule="atLeast"/>
        </w:trPr>
        <w:tc>
          <w:tcPr>
            <w:tcW w:type="dxa" w:w="1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阶段 2：规模化治理</w:t>
            </w:r>
          </w:p>
        </w:tc>
        <w:tc>
          <w:tcPr>
            <w:tcW w:type="dxa" w:w="42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审批、版本、血缘、模型注册、集合切换、监控告警</w:t>
            </w:r>
          </w:p>
        </w:tc>
        <w:tc>
          <w:tcPr>
            <w:tcW w:type="dxa" w:w="33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可重复发布和回滚</w:t>
            </w:r>
          </w:p>
        </w:tc>
      </w:tr>
      <w:tr>
        <w:trPr>
          <w:trHeight w:hRule="atLeast"/>
        </w:trPr>
        <w:tc>
          <w:tcPr>
            <w:tcW w:type="dxa" w:w="1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阶段 3：产品增强</w:t>
            </w:r>
          </w:p>
        </w:tc>
        <w:tc>
          <w:tcPr>
            <w:tcW w:type="dxa" w:w="42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多域、多数据源、报告编辑/导出/调度、运营分析</w:t>
            </w:r>
          </w:p>
        </w:tc>
        <w:tc>
          <w:tcPr>
            <w:tcW w:type="dxa" w:w="33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稳定服务与持续优化</w:t>
            </w:r>
          </w:p>
        </w:tc>
      </w:tr>
    </w:tbl>
    <w:p>
      <w:pPr>
        <w:spacing w:after="40"/>
      </w:pPr>
    </w:p>
    <w:p>
      <w:pPr>
        <w:pStyle w:val="Heading2"/>
        <w:keepNext/>
        <w:pageBreakBefore w:val="0"/>
      </w:pPr>
      <w:r>
        <w:rPr>
          <w:rFonts w:ascii="Arial" w:hAnsi="Arial" w:eastAsia="Microsoft YaHei"/>
          <w:b/>
          <w:color w:val="2E74B5"/>
          <w:sz w:val="26"/>
        </w:rPr>
        <w:t>18.3 上线决策门</w:t>
      </w:r>
    </w:p>
    <w:tbl>
      <w:tblPr>
        <w:tblW w:type="dxa" w:w="9360"/>
        <w:jc w:val="left"/>
        <w:tblLayout w:type="fixed"/>
        <w:tblLook w:firstColumn="1" w:firstRow="1" w:lastColumn="0" w:lastRow="0" w:noHBand="0" w:noVBand="1" w:val="04A0"/>
        <w:tblInd w:w="120" w:type="dxa"/>
      </w:tblPr>
      <w:tblGrid>
        <w:gridCol w:w="9360"/>
      </w:tblGrid>
      <w:tr>
        <w:trPr>
          <w:trHeight w:hRule="atLeast"/>
        </w:trPr>
        <w:tc>
          <w:tcPr>
            <w:tcW w:type="dxa" w:w="9360"/>
            <w:tcMar>
              <w:top w:w="80" w:type="dxa"/>
              <w:start w:w="120" w:type="dxa"/>
              <w:bottom w:w="80" w:type="dxa"/>
              <w:end w:w="120" w:type="dxa"/>
            </w:tcMar>
            <w:vAlign w:val="center"/>
            <w:shd w:fill="FDECEC"/>
          </w:tcPr>
          <w:p>
            <w:pPr>
              <w:spacing w:after="40"/>
            </w:pPr>
            <w:r>
              <w:rPr>
                <w:rFonts w:ascii="Arial" w:hAnsi="Arial" w:eastAsia="Microsoft YaHei"/>
                <w:b/>
                <w:color w:val="B42318"/>
                <w:sz w:val="21"/>
              </w:rPr>
              <w:t xml:space="preserve">上线前必须通过  </w:t>
            </w:r>
            <w:r>
              <w:rPr>
                <w:rFonts w:ascii="Arial" w:hAnsi="Arial" w:eastAsia="Microsoft YaHei"/>
                <w:color w:val="17202A"/>
                <w:sz w:val="21"/>
              </w:rPr>
              <w:t>越权测试、只读数据库权限验证、黄金集回归、攻击性 SQL 拒绝、Prompt Injection 红队、敏感数据脱敏、审计完整性、备份恢复和容量压测。任何 P0 未关闭不得接入真实敏感业务数据。</w:t>
            </w:r>
          </w:p>
        </w:tc>
      </w:tr>
    </w:tbl>
    <w:p>
      <w:pPr>
        <w:spacing w:after="40"/>
      </w:pPr>
    </w:p>
    <w:p>
      <w:pPr>
        <w:pStyle w:val="Heading1"/>
        <w:keepNext/>
        <w:pageBreakBefore/>
      </w:pPr>
      <w:r>
        <w:rPr>
          <w:rFonts w:ascii="Arial" w:hAnsi="Arial" w:eastAsia="Microsoft YaHei"/>
          <w:b/>
          <w:color w:val="2E74B5"/>
          <w:sz w:val="32"/>
        </w:rPr>
        <w:t>附录 A. 技术栈与工具</w:t>
      </w:r>
    </w:p>
    <w:tbl>
      <w:tblPr>
        <w:tblW w:type="dxa" w:w="9360"/>
        <w:tblLayout w:type="fixed"/>
        <w:tblLook w:firstColumn="1" w:firstRow="1" w:lastColumn="0" w:lastRow="0" w:noHBand="0" w:noVBand="1" w:val="04A0"/>
        <w:jc w:val="left"/>
        <w:tblInd w:w="120" w:type="dxa"/>
      </w:tblPr>
      <w:tblGrid>
        <w:gridCol w:w="1300"/>
        <w:gridCol w:w="4300"/>
        <w:gridCol w:w="3760"/>
      </w:tblGrid>
      <w:tr>
        <w:trPr>
          <w:trHeight w:hRule="atLeast"/>
          <w:tblHeader w:val="true"/>
        </w:trPr>
        <w:tc>
          <w:tcPr>
            <w:tcW w:type="dxa" w:w="13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层级</w:t>
            </w:r>
          </w:p>
        </w:tc>
        <w:tc>
          <w:tcPr>
            <w:tcW w:type="dxa" w:w="43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技术/工具</w:t>
            </w:r>
          </w:p>
        </w:tc>
        <w:tc>
          <w:tcPr>
            <w:tcW w:type="dxa" w:w="37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用途</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前端</w:t>
            </w:r>
          </w:p>
        </w:tc>
        <w:tc>
          <w:tcPr>
            <w:tcW w:type="dxa" w:w="4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Vue 3.5.18、TypeScript 5.9、Vite 7.1、Element Plus、Pinia、Vue Router、Axios、ECharts 6</w:t>
            </w:r>
          </w:p>
        </w:tc>
        <w:tc>
          <w:tcPr>
            <w:tcW w:type="dxa" w:w="37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Web 工作台、权限路由、图表和 API 客户端</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后端</w:t>
            </w:r>
          </w:p>
        </w:tc>
        <w:tc>
          <w:tcPr>
            <w:tcW w:type="dxa" w:w="4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Java 17、Spring Boot 3.5.9、Spring MVC/Security/JDBC/Actuator/Validation</w:t>
            </w:r>
          </w:p>
        </w:tc>
        <w:tc>
          <w:tcPr>
            <w:tcW w:type="dxa" w:w="37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业务服务、认证授权、数据库访问和健康监控</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AI</w:t>
            </w:r>
          </w:p>
        </w:tc>
        <w:tc>
          <w:tcPr>
            <w:tcW w:type="dxa" w:w="4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可插拔 LLM Provider、内网模型网关 / Qwen-compatible API</w:t>
            </w:r>
          </w:p>
        </w:tc>
        <w:tc>
          <w:tcPr>
            <w:tcW w:type="dxa" w:w="37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SQL 规划与模型路由</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知识</w:t>
            </w:r>
          </w:p>
        </w:tc>
        <w:tc>
          <w:tcPr>
            <w:tcW w:type="dxa" w:w="4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Apache Tika 3.3.2、Embedding Provider、Qdrant</w:t>
            </w:r>
          </w:p>
        </w:tc>
        <w:tc>
          <w:tcPr>
            <w:tcW w:type="dxa" w:w="37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文档解析、向量化和相似检索</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SQL</w:t>
            </w:r>
          </w:p>
        </w:tc>
        <w:tc>
          <w:tcPr>
            <w:tcW w:type="dxa" w:w="4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JSqlParser 5.3、Oracle JDBC ojdbc11</w:t>
            </w:r>
          </w:p>
        </w:tc>
        <w:tc>
          <w:tcPr>
            <w:tcW w:type="dxa" w:w="37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AST 校验和 Oracle 执行</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数据</w:t>
            </w:r>
          </w:p>
        </w:tc>
        <w:tc>
          <w:tcPr>
            <w:tcW w:type="dxa" w:w="4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Oracle Database 19c、Flyway</w:t>
            </w:r>
          </w:p>
        </w:tc>
        <w:tc>
          <w:tcPr>
            <w:tcW w:type="dxa" w:w="37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平台元数据、演示业务数据和版本迁移</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报告</w:t>
            </w:r>
          </w:p>
        </w:tc>
        <w:tc>
          <w:tcPr>
            <w:tcW w:type="dxa" w:w="4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Apache POI 5.5.1、CSV/XML 标准库</w:t>
            </w:r>
          </w:p>
        </w:tc>
        <w:tc>
          <w:tcPr>
            <w:tcW w:type="dxa" w:w="37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查询结果导出</w:t>
            </w:r>
          </w:p>
        </w:tc>
      </w:tr>
      <w:tr>
        <w:trPr>
          <w:trHeight w:hRule="atLeast"/>
        </w:trPr>
        <w:tc>
          <w:tcPr>
            <w:tcW w:type="dxa" w:w="1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测试</w:t>
            </w:r>
          </w:p>
        </w:tc>
        <w:tc>
          <w:tcPr>
            <w:tcW w:type="dxa" w:w="43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JUnit 5、Spring Boot Test、H2 Oracle Mode、冒烟脚本</w:t>
            </w:r>
          </w:p>
        </w:tc>
        <w:tc>
          <w:tcPr>
            <w:tcW w:type="dxa" w:w="37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单元、集成、权限和端到端验收</w:t>
            </w:r>
          </w:p>
        </w:tc>
      </w:tr>
      <w:tr>
        <w:trPr>
          <w:trHeight w:hRule="atLeast"/>
        </w:trPr>
        <w:tc>
          <w:tcPr>
            <w:tcW w:type="dxa" w:w="1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交付</w:t>
            </w:r>
          </w:p>
        </w:tc>
        <w:tc>
          <w:tcPr>
            <w:tcW w:type="dxa" w:w="43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Maven 3.9.11 离线仓库、npm/node_modules、PowerShell、systemd</w:t>
            </w:r>
          </w:p>
        </w:tc>
        <w:tc>
          <w:tcPr>
            <w:tcW w:type="dxa" w:w="37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无网二次开发、构建、启动和迁移</w:t>
            </w:r>
          </w:p>
        </w:tc>
      </w:tr>
    </w:tbl>
    <w:p>
      <w:pPr>
        <w:spacing w:after="40"/>
      </w:pPr>
    </w:p>
    <w:p>
      <w:pPr>
        <w:pStyle w:val="Heading1"/>
        <w:keepNext/>
        <w:pageBreakBefore/>
      </w:pPr>
      <w:r>
        <w:rPr>
          <w:rFonts w:ascii="Arial" w:hAnsi="Arial" w:eastAsia="Microsoft YaHei"/>
          <w:b/>
          <w:color w:val="2E74B5"/>
          <w:sz w:val="32"/>
        </w:rPr>
        <w:t>附录 B. 验收与安全检查清单</w:t>
      </w:r>
    </w:p>
    <w:tbl>
      <w:tblPr>
        <w:tblW w:type="dxa" w:w="9360"/>
        <w:tblLayout w:type="fixed"/>
        <w:tblLook w:firstColumn="1" w:firstRow="1" w:lastColumn="0" w:lastRow="0" w:noHBand="0" w:noVBand="1" w:val="04A0"/>
        <w:jc w:val="left"/>
        <w:tblInd w:w="120" w:type="dxa"/>
      </w:tblPr>
      <w:tblGrid>
        <w:gridCol w:w="1400"/>
        <w:gridCol w:w="5960"/>
        <w:gridCol w:w="2000"/>
      </w:tblGrid>
      <w:tr>
        <w:trPr>
          <w:trHeight w:hRule="atLeast"/>
          <w:tblHeader w:val="true"/>
        </w:trPr>
        <w:tc>
          <w:tcPr>
            <w:tcW w:type="dxa" w:w="14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检查域</w:t>
            </w:r>
          </w:p>
        </w:tc>
        <w:tc>
          <w:tcPr>
            <w:tcW w:type="dxa" w:w="59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通过标准</w:t>
            </w:r>
          </w:p>
        </w:tc>
        <w:tc>
          <w:tcPr>
            <w:tcW w:type="dxa" w:w="20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7"/>
              </w:rPr>
              <w:t>结果</w:t>
            </w:r>
          </w:p>
        </w:tc>
      </w:tr>
      <w:tr>
        <w:trPr>
          <w:trHeight w:hRule="atLeast"/>
        </w:trPr>
        <w:tc>
          <w:tcPr>
            <w:tcW w:type="dxa" w:w="1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身份</w:t>
            </w:r>
          </w:p>
        </w:tc>
        <w:tc>
          <w:tcPr>
            <w:tcW w:type="dxa" w:w="5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验收账号已禁用；SSO/MFA；管理员最小权限；会话可撤销</w:t>
            </w:r>
          </w:p>
        </w:tc>
        <w:tc>
          <w:tcPr>
            <w:tcW w:type="dxa" w:w="20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r>
        <w:trPr>
          <w:trHeight w:hRule="atLeast"/>
        </w:trPr>
        <w:tc>
          <w:tcPr>
            <w:tcW w:type="dxa" w:w="1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授权</w:t>
            </w:r>
          </w:p>
        </w:tc>
        <w:tc>
          <w:tcPr>
            <w:tcW w:type="dxa" w:w="5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功能、租户、Owner、Domain、表、行、列、导出权限均有负向用例</w:t>
            </w:r>
          </w:p>
        </w:tc>
        <w:tc>
          <w:tcPr>
            <w:tcW w:type="dxa" w:w="20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r>
        <w:trPr>
          <w:trHeight w:hRule="atLeast"/>
        </w:trPr>
        <w:tc>
          <w:tcPr>
            <w:tcW w:type="dxa" w:w="1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数据库</w:t>
            </w:r>
          </w:p>
        </w:tc>
        <w:tc>
          <w:tcPr>
            <w:tcW w:type="dxa" w:w="5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平台与业务账号分离；业务账号仅 SELECT 视图；DDL/DML 实测拒绝</w:t>
            </w:r>
          </w:p>
        </w:tc>
        <w:tc>
          <w:tcPr>
            <w:tcW w:type="dxa" w:w="20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r>
        <w:trPr>
          <w:trHeight w:hRule="atLeast"/>
        </w:trPr>
        <w:tc>
          <w:tcPr>
            <w:tcW w:type="dxa" w:w="1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SQL</w:t>
            </w:r>
          </w:p>
        </w:tc>
        <w:tc>
          <w:tcPr>
            <w:tcW w:type="dxa" w:w="5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单语句、写操作、未知表、危险函数、超时、超行、成本门禁均测试</w:t>
            </w:r>
          </w:p>
        </w:tc>
        <w:tc>
          <w:tcPr>
            <w:tcW w:type="dxa" w:w="20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r>
        <w:trPr>
          <w:trHeight w:hRule="atLeast"/>
        </w:trPr>
        <w:tc>
          <w:tcPr>
            <w:tcW w:type="dxa" w:w="1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AI</w:t>
            </w:r>
          </w:p>
        </w:tc>
        <w:tc>
          <w:tcPr>
            <w:tcW w:type="dxa" w:w="5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Prompt 版本固定；模型白名单；黄金集/攻击集达标；可回滚</w:t>
            </w:r>
          </w:p>
        </w:tc>
        <w:tc>
          <w:tcPr>
            <w:tcW w:type="dxa" w:w="20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r>
        <w:trPr>
          <w:trHeight w:hRule="atLeast"/>
        </w:trPr>
        <w:tc>
          <w:tcPr>
            <w:tcW w:type="dxa" w:w="1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RAG</w:t>
            </w:r>
          </w:p>
        </w:tc>
        <w:tc>
          <w:tcPr>
            <w:tcW w:type="dxa" w:w="5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文档审批、病毒扫描、分类、ACL、删除、重建、Embedding 版本隔离</w:t>
            </w:r>
          </w:p>
        </w:tc>
        <w:tc>
          <w:tcPr>
            <w:tcW w:type="dxa" w:w="20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r>
        <w:trPr>
          <w:trHeight w:hRule="atLeast"/>
        </w:trPr>
        <w:tc>
          <w:tcPr>
            <w:tcW w:type="dxa" w:w="1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结果</w:t>
            </w:r>
          </w:p>
        </w:tc>
        <w:tc>
          <w:tcPr>
            <w:tcW w:type="dxa" w:w="5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敏感字段脱敏；下载审批/水印；结果快照与确认一致</w:t>
            </w:r>
          </w:p>
        </w:tc>
        <w:tc>
          <w:tcPr>
            <w:tcW w:type="dxa" w:w="20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r>
        <w:trPr>
          <w:trHeight w:hRule="atLeast"/>
        </w:trPr>
        <w:tc>
          <w:tcPr>
            <w:tcW w:type="dxa" w:w="1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审计</w:t>
            </w:r>
          </w:p>
        </w:tc>
        <w:tc>
          <w:tcPr>
            <w:tcW w:type="dxa" w:w="5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问题、策略、模型、SQL、结果摘要、导出完整且不可篡改</w:t>
            </w:r>
          </w:p>
        </w:tc>
        <w:tc>
          <w:tcPr>
            <w:tcW w:type="dxa" w:w="20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r>
        <w:trPr>
          <w:trHeight w:hRule="atLeast"/>
        </w:trPr>
        <w:tc>
          <w:tcPr>
            <w:tcW w:type="dxa" w:w="1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网络</w:t>
            </w:r>
          </w:p>
        </w:tc>
        <w:tc>
          <w:tcPr>
            <w:tcW w:type="dxa" w:w="5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TLS、端口白名单、Qdrant/模型/Oracle 不对用户网开放</w:t>
            </w:r>
          </w:p>
        </w:tc>
        <w:tc>
          <w:tcPr>
            <w:tcW w:type="dxa" w:w="20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r>
        <w:trPr>
          <w:trHeight w:hRule="atLeast"/>
        </w:trPr>
        <w:tc>
          <w:tcPr>
            <w:tcW w:type="dxa" w:w="14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供应链</w:t>
            </w:r>
          </w:p>
        </w:tc>
        <w:tc>
          <w:tcPr>
            <w:tcW w:type="dxa" w:w="59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SBOM、离线包 SHA-256、制品签名、依赖漏洞和许可证审查</w:t>
            </w:r>
          </w:p>
        </w:tc>
        <w:tc>
          <w:tcPr>
            <w:tcW w:type="dxa" w:w="20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r>
        <w:trPr>
          <w:trHeight w:hRule="atLeast"/>
        </w:trPr>
        <w:tc>
          <w:tcPr>
            <w:tcW w:type="dxa" w:w="14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运维</w:t>
            </w:r>
          </w:p>
        </w:tc>
        <w:tc>
          <w:tcPr>
            <w:tcW w:type="dxa" w:w="59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监控告警、容量压测、备份恢复、RTO/RPO、应急预案和定期演练</w:t>
            </w:r>
          </w:p>
        </w:tc>
        <w:tc>
          <w:tcPr>
            <w:tcW w:type="dxa" w:w="20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7"/>
              </w:rPr>
              <w:t>□ 通过  □ 不通过  □ 不适用</w:t>
            </w:r>
          </w:p>
        </w:tc>
      </w:tr>
    </w:tbl>
    <w:p>
      <w:pPr>
        <w:spacing w:after="40"/>
      </w:pPr>
    </w:p>
    <w:p>
      <w:pPr>
        <w:pStyle w:val="Heading1"/>
        <w:keepNext/>
        <w:pageBreakBefore/>
      </w:pPr>
      <w:r>
        <w:rPr>
          <w:rFonts w:ascii="Arial" w:hAnsi="Arial" w:eastAsia="Microsoft YaHei"/>
          <w:b/>
          <w:color w:val="2E74B5"/>
          <w:sz w:val="32"/>
        </w:rPr>
        <w:t>附录 C. 评审结论模板</w:t>
      </w:r>
    </w:p>
    <w:tbl>
      <w:tblPr>
        <w:tblW w:type="dxa" w:w="9360"/>
        <w:tblLayout w:type="fixed"/>
        <w:tblLook w:firstColumn="1" w:firstRow="1" w:lastColumn="0" w:lastRow="0" w:noHBand="0" w:noVBand="1" w:val="04A0"/>
        <w:jc w:val="left"/>
        <w:tblInd w:w="120" w:type="dxa"/>
      </w:tblPr>
      <w:tblGrid>
        <w:gridCol w:w="2800"/>
        <w:gridCol w:w="6560"/>
      </w:tblGrid>
      <w:tr>
        <w:trPr>
          <w:trHeight w:hRule="atLeast"/>
          <w:tblHeader w:val="true"/>
        </w:trPr>
        <w:tc>
          <w:tcPr>
            <w:tcW w:type="dxa" w:w="280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评审项</w:t>
            </w:r>
          </w:p>
        </w:tc>
        <w:tc>
          <w:tcPr>
            <w:tcW w:type="dxa" w:w="6560"/>
            <w:tcMar>
              <w:top w:w="80" w:type="dxa"/>
              <w:start w:w="120" w:type="dxa"/>
              <w:bottom w:w="80" w:type="dxa"/>
              <w:end w:w="120" w:type="dxa"/>
            </w:tcMar>
            <w:vAlign w:val="center"/>
            <w:shd w:fill="16324F"/>
          </w:tcPr>
          <w:p>
            <w:pPr>
              <w:spacing w:before="0" w:after="0" w:line="269" w:lineRule="auto"/>
              <w:jc w:val="left"/>
            </w:pPr>
            <w:r/>
            <w:r>
              <w:rPr>
                <w:rFonts w:ascii="Arial" w:hAnsi="Arial" w:eastAsia="Microsoft YaHei"/>
                <w:b/>
                <w:color w:val="FFFFFF"/>
                <w:sz w:val="18"/>
              </w:rPr>
              <w:t>结论/意见</w:t>
            </w:r>
          </w:p>
        </w:tc>
      </w:tr>
      <w:tr>
        <w:trPr>
          <w:trHeight w:hRule="atLeast"/>
        </w:trPr>
        <w:tc>
          <w:tcPr>
            <w:tcW w:type="dxa" w:w="2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产品价值与业务边界</w:t>
            </w:r>
          </w:p>
        </w:tc>
        <w:tc>
          <w:tcPr>
            <w:tcW w:type="dxa" w:w="6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r>
          </w:p>
        </w:tc>
      </w:tr>
      <w:tr>
        <w:trPr>
          <w:trHeight w:hRule="atLeast"/>
        </w:trPr>
        <w:tc>
          <w:tcPr>
            <w:tcW w:type="dxa" w:w="2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总体架构合理性</w:t>
            </w:r>
          </w:p>
        </w:tc>
        <w:tc>
          <w:tcPr>
            <w:tcW w:type="dxa" w:w="6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r>
          </w:p>
        </w:tc>
      </w:tr>
      <w:tr>
        <w:trPr>
          <w:trHeight w:hRule="atLeast"/>
        </w:trPr>
        <w:tc>
          <w:tcPr>
            <w:tcW w:type="dxa" w:w="2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数据隔离与权限</w:t>
            </w:r>
          </w:p>
        </w:tc>
        <w:tc>
          <w:tcPr>
            <w:tcW w:type="dxa" w:w="6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r>
          </w:p>
        </w:tc>
      </w:tr>
      <w:tr>
        <w:trPr>
          <w:trHeight w:hRule="atLeast"/>
        </w:trPr>
        <w:tc>
          <w:tcPr>
            <w:tcW w:type="dxa" w:w="2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可控 AI 与模型治理</w:t>
            </w:r>
          </w:p>
        </w:tc>
        <w:tc>
          <w:tcPr>
            <w:tcW w:type="dxa" w:w="6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r>
          </w:p>
        </w:tc>
      </w:tr>
      <w:tr>
        <w:trPr>
          <w:trHeight w:hRule="atLeast"/>
        </w:trPr>
        <w:tc>
          <w:tcPr>
            <w:tcW w:type="dxa" w:w="2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安全风险与整改条件</w:t>
            </w:r>
          </w:p>
        </w:tc>
        <w:tc>
          <w:tcPr>
            <w:tcW w:type="dxa" w:w="6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r>
          </w:p>
        </w:tc>
      </w:tr>
      <w:tr>
        <w:trPr>
          <w:trHeight w:hRule="atLeast"/>
        </w:trPr>
        <w:tc>
          <w:tcPr>
            <w:tcW w:type="dxa" w:w="280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试点范围与上线条件</w:t>
            </w:r>
          </w:p>
        </w:tc>
        <w:tc>
          <w:tcPr>
            <w:tcW w:type="dxa" w:w="6560"/>
            <w:shd w:fill="FAFBFC"/>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r>
          </w:p>
        </w:tc>
      </w:tr>
      <w:tr>
        <w:trPr>
          <w:trHeight w:hRule="atLeast"/>
        </w:trPr>
        <w:tc>
          <w:tcPr>
            <w:tcW w:type="dxa" w:w="280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最终结论</w:t>
            </w:r>
          </w:p>
        </w:tc>
        <w:tc>
          <w:tcPr>
            <w:tcW w:type="dxa" w:w="6560"/>
            <w:tcMar>
              <w:top w:w="80" w:type="dxa"/>
              <w:start w:w="120" w:type="dxa"/>
              <w:bottom w:w="80" w:type="dxa"/>
              <w:end w:w="120" w:type="dxa"/>
            </w:tcMar>
            <w:vAlign w:val="center"/>
          </w:tcPr>
          <w:p>
            <w:pPr>
              <w:spacing w:before="0" w:after="0" w:line="269" w:lineRule="auto"/>
              <w:jc w:val="left"/>
            </w:pPr>
            <w:r/>
            <w:r>
              <w:rPr>
                <w:rFonts w:ascii="Arial" w:hAnsi="Arial" w:eastAsia="Microsoft YaHei"/>
                <w:b w:val="0"/>
                <w:color w:val="17202A"/>
                <w:sz w:val="18"/>
              </w:rPr>
              <w:t>□ 通过  □ 有条件通过  □ 不通过</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color w:val="667085"/>
        <w:sz w:val="18"/>
      </w:rPr>
      <w:t xml:space="preserve">内部评审材料  |  第 </w:t>
    </w:r>
    <w:r>
      <w:rPr>
        <w:rFonts w:ascii="Arial" w:hAnsi="Arial" w:eastAsia="Microsoft YaHei"/>
        <w:color w:val="667085"/>
        <w:sz w:val="18"/>
      </w:rPr>
      <w:fldChar w:fldCharType="begin"/>
      <w:instrText xml:space="preserve">PAGE</w:instrText>
      <w:fldChar w:fldCharType="end"/>
    </w:r>
    <w:r>
      <w:rPr>
        <w:rFonts w:ascii="Arial" w:hAnsi="Arial" w:eastAsia="Microsoft YaHei"/>
        <w:color w:val="667085"/>
        <w:sz w:val="18"/>
      </w:rPr>
      <w:t xml:space="preserve"> 页 / 共 </w:t>
    </w:r>
    <w:r>
      <w:rPr>
        <w:rFonts w:ascii="Arial" w:hAnsi="Arial" w:eastAsia="Microsoft YaHei"/>
        <w:color w:val="667085"/>
        <w:sz w:val="18"/>
      </w:rPr>
      <w:fldChar w:fldCharType="begin"/>
      <w:instrText xml:space="preserve">NUMPAGES</w:instrText>
      <w:fldChar w:fldCharType="end"/>
    </w:r>
    <w:r>
      <w:rPr>
        <w:rFonts w:ascii="Arial" w:hAnsi="Arial" w:eastAsia="Microsoft YaHe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Microsoft YaHei"/>
        <w:b/>
        <w:color w:val="667085"/>
        <w:sz w:val="17"/>
      </w:rPr>
      <w:t>企业级 AI BI / 受控 NL2SQL 平台 | 系统详细设计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Microsoft YaHei" w:eastAsia="Microsoft YaHe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Microsoft YaHei" w:hAnsi="Microsoft YaHe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contextualSpacing/>
    </w:pPr>
    <w:rPr>
      <w:rFonts w:ascii="Microsoft YaHei" w:hAnsi="Microsoft YaHei" w:eastAsia="Microsoft YaHei"/>
      <w:sz w:val="22"/>
    </w:rPr>
  </w:style>
  <w:style w:type="paragraph" w:styleId="ListBullet2">
    <w:name w:val="List Bullet 2"/>
    <w:basedOn w:val="Normal"/>
    <w:uiPriority w:val="99"/>
    <w:unhideWhenUsed/>
    <w:rsid w:val="00326F90"/>
    <w:pPr>
      <w:numPr>
        <w:numId w:val="2"/>
      </w:numPr>
      <w:spacing w:after="80" w:line="280" w:lineRule="auto"/>
      <w:contextualSpacing/>
    </w:pPr>
    <w:rPr>
      <w:rFonts w:ascii="Microsoft YaHei" w:hAnsi="Microsoft YaHei" w:eastAsia="Microsoft YaHe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0" w:lineRule="auto"/>
      <w:contextualSpacing/>
    </w:pPr>
    <w:rPr>
      <w:rFonts w:ascii="Microsoft YaHei" w:hAnsi="Microsoft YaHe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企业级 AI BI / 受控 NL2SQL 平台系统详细设计说明书</dc:title>
  <dc:subject>总体架构、功能、数据模型、安全、数据隔离、可控 AI 与实施路线</dc:subject>
  <dc:creator>AI 企业数据智能平台项目组</dc:creator>
  <cp:keywords>AI BI, NL2SQL, Oracle, Qdrant, RAG, Semantic Layer, 安全, 数据隔离</cp:keywords>
  <dc:description>generated by python-docx</dc:description>
  <cp:lastModifiedBy/>
  <cp:revision>1</cp:revision>
  <dcterms:created xsi:type="dcterms:W3CDTF">2013-12-23T23:15:00Z</dcterms:created>
  <dcterms:modified xsi:type="dcterms:W3CDTF">2013-12-23T23:15:00Z</dcterms:modified>
  <cp:category/>
</cp:coreProperties>
</file>