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36"/>
        </w:rPr>
        <w:t>Отчет об анализе технического задания</w:t>
      </w:r>
    </w:p>
    <w:p>
      <w:pPr>
        <w:pStyle w:val="Heading1"/>
      </w:pPr>
      <w:r>
        <w:rPr>
          <w:color w:val="003366"/>
        </w:rPr>
        <w:t>Информация об анализе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Дата анализа:</w:t>
            </w:r>
          </w:p>
        </w:tc>
        <w:tc>
          <w:tcPr>
            <w:tcW w:type="dxa" w:w="4320"/>
          </w:tcPr>
          <w:p>
            <w:r>
              <w:t>08.12.2025 21:34:33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Исходный документ:</w:t>
            </w:r>
          </w:p>
        </w:tc>
        <w:tc>
          <w:tcPr>
            <w:tcW w:type="dxa" w:w="4320"/>
          </w:tcPr>
          <w:p>
            <w:r>
              <w:t>ТЗ Электронный журнал_v2.1.docx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Модель анализа:</w:t>
            </w:r>
          </w:p>
        </w:tc>
        <w:tc>
          <w:tcPr>
            <w:tcW w:type="dxa" w:w="4320"/>
          </w:tcPr>
          <w:p>
            <w:r>
              <w:t>Qwen/Qwen2.5-72B-Instruct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Количество критериев: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/>
    <w:p>
      <w:pPr>
        <w:pStyle w:val="Heading1"/>
      </w:pPr>
      <w:r>
        <w:rPr>
          <w:color w:val="003366"/>
        </w:rPr>
        <w:t>Использованные критерии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Важность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Полнота функциональных требований</w:t>
            </w:r>
          </w:p>
        </w:tc>
        <w:tc>
          <w:tcPr>
            <w:tcW w:type="dxa" w:w="2160"/>
          </w:tcPr>
          <w:p>
            <w:r>
              <w:t>Оценка того, насколько подробно описано, что должна делать система, включая объекты, бизнес-логику, роли и отчётность.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Детализация объектов</w:t>
            </w:r>
          </w:p>
        </w:tc>
        <w:tc>
          <w:tcPr>
            <w:tcW w:type="dxa" w:w="2160"/>
          </w:tcPr>
          <w:p>
            <w:r>
              <w:t>Наличие описания всех сущностей (например, журналы, карточки клиентов) до уровня атрибутов и типов данных.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Бизнес-логика</w:t>
            </w:r>
          </w:p>
        </w:tc>
        <w:tc>
          <w:tcPr>
            <w:tcW w:type="dxa" w:w="2160"/>
          </w:tcPr>
          <w:p>
            <w:r>
              <w:t>Наличие прописанных правил поведения системы: статусная модель, условия переходов, валидация ввода и другие правила обработки данных.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Ролевая модель</w:t>
            </w:r>
          </w:p>
        </w:tc>
        <w:tc>
          <w:tcPr>
            <w:tcW w:type="dxa" w:w="2160"/>
          </w:tcPr>
          <w:p>
            <w:r>
              <w:t>Наличие матрицы прав доступа: кто видит данные, кто может редактировать и кто может удалять информацию.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Отчетность</w:t>
            </w:r>
          </w:p>
        </w:tc>
        <w:tc>
          <w:tcPr>
            <w:tcW w:type="dxa" w:w="2160"/>
          </w:tcPr>
          <w:p>
            <w:r>
              <w:t>Перечень видов отчётов, их формы и источники данных, необходимых для контроля и анализа.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Технические и архитектурные требования</w:t>
            </w:r>
          </w:p>
        </w:tc>
        <w:tc>
          <w:tcPr>
            <w:tcW w:type="dxa" w:w="2160"/>
          </w:tcPr>
          <w:p>
            <w:r>
              <w:t>Критерии, определяющие жизнеспособность и реализуемость решения с точки зрения технологий и архитектуры.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Стек технологий</w:t>
            </w:r>
          </w:p>
        </w:tc>
        <w:tc>
          <w:tcPr>
            <w:tcW w:type="dxa" w:w="2160"/>
          </w:tcPr>
          <w:p>
            <w:r>
              <w:t>Определённость по платформе, операционным системам и требованиям к клиентским рабочим местам.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Интеграции</w:t>
            </w:r>
          </w:p>
        </w:tc>
        <w:tc>
          <w:tcPr>
            <w:tcW w:type="dxa" w:w="2160"/>
          </w:tcPr>
          <w:p>
            <w:r>
              <w:t>Наличие описания интеграций (системы учёта, каталоги пользователей и др.) с указанием протоколов, форматов данных, направления и частоты обмена.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Инфраструктура</w:t>
            </w:r>
          </w:p>
        </w:tc>
        <w:tc>
          <w:tcPr>
            <w:tcW w:type="dxa" w:w="2160"/>
          </w:tcPr>
          <w:p>
            <w:r>
              <w:t>Наличие требований к вычислительным ресурсам (CPU, RAM, диск) и месту размещения серверов.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Мобильность</w:t>
            </w:r>
          </w:p>
        </w:tc>
        <w:tc>
          <w:tcPr>
            <w:tcW w:type="dxa" w:w="2160"/>
          </w:tcPr>
          <w:p>
            <w:r>
              <w:t>Наличие требований к работе с мобильных устройств, адаптивности интерфейса и поддержке офлайн-режима.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Нефункциональные требования</w:t>
            </w:r>
          </w:p>
        </w:tc>
        <w:tc>
          <w:tcPr>
            <w:tcW w:type="dxa" w:w="2160"/>
          </w:tcPr>
          <w:p>
            <w:r>
              <w:t>Критерии качества системы (производительность, надёжность, безопасность, масштабируемость), влияющие на пользовательский опыт и риски.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Производительность</w:t>
            </w:r>
          </w:p>
        </w:tc>
        <w:tc>
          <w:tcPr>
            <w:tcW w:type="dxa" w:w="2160"/>
          </w:tcPr>
          <w:p>
            <w:r>
              <w:t>Определённость количественных показателей: время отклика, число одновременных пользователей, объём базы данных и другие метрики скорости работы.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Надежность</w:t>
            </w:r>
          </w:p>
        </w:tc>
        <w:tc>
          <w:tcPr>
            <w:tcW w:type="dxa" w:w="2160"/>
          </w:tcPr>
          <w:p>
            <w:r>
              <w:t>Наличие показателей времени восстановления и допустимой потери данных, обеспечивающих устойчивость работы системы.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Безопасность</w:t>
            </w:r>
          </w:p>
        </w:tc>
        <w:tc>
          <w:tcPr>
            <w:tcW w:type="dxa" w:w="2160"/>
          </w:tcPr>
          <w:p>
            <w:r>
              <w:t>Наличие требований к шифрованию, аутентификации и соответствию профильным нормативным актам по защите информации.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Масштабируемость</w:t>
            </w:r>
          </w:p>
        </w:tc>
        <w:tc>
          <w:tcPr>
            <w:tcW w:type="dxa" w:w="2160"/>
          </w:tcPr>
          <w:p>
            <w:r>
              <w:t>Возможность увеличения производительности и пропускной способности системы при росте нагрузки.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Организация проекта и приемка</w:t>
            </w:r>
          </w:p>
        </w:tc>
        <w:tc>
          <w:tcPr>
            <w:tcW w:type="dxa" w:w="2160"/>
          </w:tcPr>
          <w:p>
            <w:r>
              <w:t>Критерии, определяющие структуру проекта, контроль результатов и юридическую защищённость заказчика.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Этапность</w:t>
            </w:r>
          </w:p>
        </w:tc>
        <w:tc>
          <w:tcPr>
            <w:tcW w:type="dxa" w:w="2160"/>
          </w:tcPr>
          <w:p>
            <w:r>
              <w:t>Разбиение проекта на этапы с чётко определёнными результатами (например, MVP, опытная эксплуатация, промышленная эксплуатация).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Критерии приемки</w:t>
            </w:r>
          </w:p>
        </w:tc>
        <w:tc>
          <w:tcPr>
            <w:tcW w:type="dxa" w:w="2160"/>
          </w:tcPr>
          <w:p>
            <w:r>
              <w:t>Наличие методики испытаний и классификатора ошибок по степени влияния на работу системы.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Миграция данных</w:t>
            </w:r>
          </w:p>
        </w:tc>
        <w:tc>
          <w:tcPr>
            <w:tcW w:type="dxa" w:w="2160"/>
          </w:tcPr>
          <w:p>
            <w:r>
              <w:t>Описание процесса переноса исторических данных, правил их очистки и проверки качества.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Интеллектуальная собственность</w:t>
            </w:r>
          </w:p>
        </w:tc>
        <w:tc>
          <w:tcPr>
            <w:tcW w:type="dxa" w:w="2160"/>
          </w:tcPr>
          <w:p>
            <w:r>
              <w:t>Фиксация порядка передачи исключительных прав и исходных кодов по результатам проекта.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Нормативное соответствие</w:t>
            </w:r>
          </w:p>
        </w:tc>
        <w:tc>
          <w:tcPr>
            <w:tcW w:type="dxa" w:w="2160"/>
          </w:tcPr>
          <w:p>
            <w:r>
              <w:t>Критерии проверки соответствия решения действующему законодательству и отраслевым нормативным актам.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Законодательство</w:t>
            </w:r>
          </w:p>
        </w:tc>
        <w:tc>
          <w:tcPr>
            <w:tcW w:type="dxa" w:w="2160"/>
          </w:tcPr>
          <w:p>
            <w:r>
              <w:t>Учёт требований профильных законов и ведомственных приказов, регламентирующих работу с информацией и документами.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Лицензирование</w:t>
            </w:r>
          </w:p>
        </w:tc>
        <w:tc>
          <w:tcPr>
            <w:tcW w:type="dxa" w:w="2160"/>
          </w:tcPr>
          <w:p>
            <w:r>
              <w:t>Отсутствие противоречий и неопределённостей в лицензионной политике и моделях распространения решения.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Требования к Исполнителю</w:t>
            </w:r>
          </w:p>
        </w:tc>
        <w:tc>
          <w:tcPr>
            <w:tcW w:type="dxa" w:w="2160"/>
          </w:tcPr>
          <w:p>
            <w:r>
              <w:t>Критерии отбора подрядчика, позволяющие отсеять неквалифицированных исполнителей.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Квалификация</w:t>
            </w:r>
          </w:p>
        </w:tc>
        <w:tc>
          <w:tcPr>
            <w:tcW w:type="dxa" w:w="2160"/>
          </w:tcPr>
          <w:p>
            <w:r>
              <w:t>Наличие у исполнителя требуемых статусов партнёра и/или сертификации специалистов по используемым технологиям.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Опыт</w:t>
            </w:r>
          </w:p>
        </w:tc>
        <w:tc>
          <w:tcPr>
            <w:tcW w:type="dxa" w:w="2160"/>
          </w:tcPr>
          <w:p>
            <w:r>
              <w:t>Подтверждённый опыт реализации аналогичных проектов с сопоставимым масштабом и сложностью.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pPr>
        <w:pStyle w:val="Heading1"/>
      </w:pPr>
      <w:r>
        <w:rPr>
          <w:color w:val="003366"/>
        </w:rPr>
        <w:t>Результаты анализа</w:t>
      </w:r>
    </w:p>
    <w:p>
      <w:pPr>
        <w:spacing w:line="360" w:lineRule="auto"/>
      </w:pPr>
      <w:r>
        <w:t>❌ Ошибка API: 504 Server Error: Gateway Time-out for url: https://router.huggingface.co/novita/v3/openai/chat/completions</w:t>
      </w:r>
    </w:p>
    <w:p/>
    <w:p>
      <w:pPr>
        <w:pStyle w:val="Heading1"/>
      </w:pPr>
      <w:r>
        <w:rPr>
          <w:color w:val="003366"/>
        </w:rPr>
        <w:t>Рекомендации</w:t>
      </w:r>
    </w:p>
    <w:p>
      <w:pPr>
        <w:spacing w:line="360" w:lineRule="auto"/>
      </w:pPr>
      <w:r>
        <w:t>1. Внимательно изучите все замечания, отмеченные как ❌ (Не выполнено)</w:t>
        <w:br/>
        <w:t>2. Приоритизируйте исправления по важности критериев (Важность 3 = критичное)</w:t>
        <w:br/>
        <w:t>3. После внесения изменений рекомендуется провести повторный анализ</w:t>
        <w:br/>
        <w:t>4. Убедитесь, что все требования с высокой важностью полностью выполнены</w:t>
      </w:r>
    </w:p>
    <w:p/>
    <w:p>
      <w:pPr>
        <w:jc w:val="center"/>
      </w:pPr>
      <w:r>
        <w:rPr>
          <w:i/>
          <w:color w:val="808080"/>
          <w:sz w:val="18"/>
        </w:rPr>
        <w:t>Отчет сгенерирован автоматически системой анализа ТЗ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