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48"/>
        </w:rPr>
        <w:t>Biotech Narrative Whitespace Briefing — Skew C (Deals/Finance/Commercial)</w:t>
      </w:r>
    </w:p>
    <w:p>
      <w:pPr>
        <w:jc w:val="center"/>
      </w:pPr>
      <w:r>
        <w:rPr>
          <w:color w:val="2D3A8C"/>
          <w:sz w:val="28"/>
        </w:rPr>
        <w:t>Media Intelligence Report</w:t>
      </w:r>
    </w:p>
    <w:p>
      <w:pPr>
        <w:pStyle w:val="NWEBody"/>
        <w:jc w:val="center"/>
      </w:pPr>
      <w:r>
        <w:t>Date Range: 2026-02-23 — 2026-03-02</w:t>
      </w:r>
    </w:p>
    <w:p>
      <w:pPr>
        <w:pStyle w:val="NWEDataNotes"/>
        <w:jc w:val="center"/>
      </w:pPr>
      <w:r>
        <w:t>Run ID: 770ba5e4-7758-4768-98ab-2eed0b771bc9</w:t>
      </w:r>
    </w:p>
    <w:p>
      <w:r>
        <w:br w:type="page"/>
      </w:r>
    </w:p>
    <w:p>
      <w:pPr>
        <w:pStyle w:val="NWEHeading1"/>
      </w:pPr>
      <w:r>
        <w:t>Table of Contents</w:t>
      </w:r>
    </w:p>
    <w:p>
      <w:pPr/>
      <w:r>
        <w:fldChar w:fldCharType="begin"/>
      </w:r>
      <w:r>
        <w:instrText xml:space="preserve"> TOC \o "1-2" \h \z \u </w:instrText>
      </w:r>
      <w:r>
        <w:fldChar w:fldCharType="separate"/>
      </w:r>
      <w:r>
        <w:rPr>
          <w:color w:val="999999"/>
          <w:sz w:val="18"/>
        </w:rPr>
        <w:t>(Updating...)</w:t>
      </w:r>
      <w:r>
        <w:fldChar w:fldCharType="end"/>
      </w:r>
    </w:p>
    <w:p>
      <w:r>
        <w:br w:type="page"/>
      </w:r>
    </w:p>
    <w:p>
      <w:pPr>
        <w:pStyle w:val="NWEHeading1"/>
      </w:pPr>
      <w:r>
        <w:t>Executive Summary</w:t>
      </w:r>
    </w:p>
    <w:p>
      <w:pPr>
        <w:pStyle w:val="NWEBody"/>
      </w:pPr>
      <w:r>
        <w:t>What's dominating: "Biotech Industry Navigates Innovation, Deals, and Regulatory Pressures" — The biotech and pharma landscape is marked by a wave of major licensing deals, clinical trial advances and setbacks, regulatory scrutiny, workforce restructuring, and ongoing debates over drug pricing and innovation policy. (60.0% of coverage)</w:t>
      </w:r>
    </w:p>
    <w:p>
      <w:pPr>
        <w:pStyle w:val="NWEBody"/>
      </w:pPr>
      <w:r>
        <w:t>Competitor positioning: Readability spread of 7.2 grade levels (argenx highest, United Therapeutics lowest). Hedging density delta of 0.0127 (argenx highest, Regeneron lowest).</w:t>
      </w:r>
    </w:p>
    <w:p>
      <w:pPr>
        <w:pStyle w:val="NWEHeading1"/>
      </w:pPr>
      <w:r>
        <w:t>Macro Media Narratives</w:t>
      </w:r>
    </w:p>
    <w:p>
      <w:pPr>
        <w:pStyle w:val="NWEDataNotes"/>
      </w:pPr>
      <w:r>
        <w:t>Clustering: K=3, silhouette=0.2059</w:t>
      </w:r>
    </w:p>
    <w:p>
      <w:pPr>
        <w:pStyle w:val="NWEHeading2"/>
      </w:pPr>
      <w:r>
        <w:t>Cluster 2: Biotech Industry Navigates Innovation, Deals, and Regulatory Pressures</w:t>
      </w:r>
    </w:p>
    <w:p>
      <w:pPr>
        <w:pStyle w:val="NWEBody"/>
      </w:pPr>
      <w:r>
        <w:t>The biotech and pharma landscape is marked by a wave of major licensing deals, clinical trial advances and setbacks, regulatory scrutiny, workforce restructuring, and ongoing debates over drug pricing and innovation policy.</w:t>
      </w:r>
    </w:p>
    <w:p>
      <w:pPr>
        <w:pStyle w:val="NWEDataNotes"/>
      </w:pPr>
      <w:r>
        <w:t>Coverage: 60.0% (45 articles)</w:t>
      </w:r>
    </w:p>
    <w:p>
      <w:pPr>
        <w:pStyle w:val="NWEBody"/>
      </w:pPr>
      <w:r>
        <w:t>Representative headlines:</w:t>
      </w:r>
    </w:p>
    <w:p>
      <w:pPr>
        <w:pStyle w:val="NWEBody"/>
      </w:pPr>
      <w:r>
        <w:t xml:space="preserve">  - STAT+: Will Novo Nordisk’s slashing of obesity drug prices save patients’ money? It depends</w:t>
      </w:r>
    </w:p>
    <w:p>
      <w:pPr>
        <w:pStyle w:val="NWEBody"/>
      </w:pPr>
      <w:r>
        <w:t xml:space="preserve">  - STAT+: GSK picks up pulmonary hypertension drug with 35Pharma acquisition</w:t>
      </w:r>
    </w:p>
    <w:p>
      <w:pPr>
        <w:pStyle w:val="NWEBody"/>
      </w:pPr>
      <w:r>
        <w:t xml:space="preserve">  - Lilly Bests Novo Again, Rare Disease Week Goes Regulatory, More CDC Leadership Upheaval</w:t>
      </w:r>
    </w:p>
    <w:p>
      <w:pPr>
        <w:pStyle w:val="NWEBody"/>
      </w:pPr>
      <w:r>
        <w:t xml:space="preserve">  - Slate, Alveus Raise Hefty Series A Hauls for Migraine, Obesity Drugs</w:t>
      </w:r>
    </w:p>
    <w:p>
      <w:pPr>
        <w:pStyle w:val="NWEBody"/>
      </w:pPr>
      <w:r>
        <w:t xml:space="preserve">  - Harbour Cofunds Cancer Startup, Hands Off Clinical-Stage Antibody</w:t>
      </w:r>
    </w:p>
    <w:p>
      <w:pPr>
        <w:pStyle w:val="NWEHeading2"/>
      </w:pPr>
      <w:r>
        <w:t>Cluster 0: Biotech Dealmaking, Leadership Shifts, and Regulatory Moves</w:t>
      </w:r>
    </w:p>
    <w:p>
      <w:pPr>
        <w:pStyle w:val="NWEBody"/>
      </w:pPr>
      <w:r>
        <w:t>The biotech and pharma landscape is marked by major acquisitions, fundraising rounds, pipeline pivots, and executive changes, alongside active regulatory developments from the SEC and health agencies.</w:t>
      </w:r>
    </w:p>
    <w:p>
      <w:pPr>
        <w:pStyle w:val="NWEDataNotes"/>
      </w:pPr>
      <w:r>
        <w:t>Coverage: 24.0% (18 articles)</w:t>
      </w:r>
    </w:p>
    <w:p>
      <w:pPr>
        <w:pStyle w:val="NWEBody"/>
      </w:pPr>
      <w:r>
        <w:t>Representative headlines:</w:t>
      </w:r>
    </w:p>
    <w:p>
      <w:pPr>
        <w:pStyle w:val="NWEBody"/>
      </w:pPr>
      <w:r>
        <w:t xml:space="preserve">  - STAT+: Lobbying firms with close ties to Trump draw pharma industry clients</w:t>
      </w:r>
    </w:p>
    <w:p>
      <w:pPr>
        <w:pStyle w:val="NWEBody"/>
      </w:pPr>
      <w:r>
        <w:t xml:space="preserve">  - STAT+: Gilead to buy Arcellx in nearly $8B deal</w:t>
      </w:r>
    </w:p>
    <w:p>
      <w:pPr>
        <w:pStyle w:val="NWEBody"/>
      </w:pPr>
      <w:r>
        <w:t xml:space="preserve">  - STAT+: Gossamer lung disease drug fails late-stage study, but company will still seek FDA approval</w:t>
      </w:r>
    </w:p>
    <w:p>
      <w:pPr>
        <w:pStyle w:val="NWEBody"/>
      </w:pPr>
      <w:r>
        <w:t xml:space="preserve">  - Gilead Doubles Down on CAR T With $7.8B Arcellx Acquisition</w:t>
      </w:r>
    </w:p>
    <w:p>
      <w:pPr>
        <w:pStyle w:val="NWEBody"/>
      </w:pPr>
      <w:r>
        <w:t xml:space="preserve">  - STAT+: Novo’s next-gen obesity drug stumbles in Lilly comparison study</w:t>
      </w:r>
    </w:p>
    <w:p>
      <w:pPr>
        <w:pStyle w:val="NWEHeading2"/>
      </w:pPr>
      <w:r>
        <w:t>Cluster 1: Drug Pricing, FDA Policy, and Pharma Industry Battles</w:t>
      </w:r>
    </w:p>
    <w:p>
      <w:pPr>
        <w:pStyle w:val="NWEBody"/>
      </w:pPr>
      <w:r>
        <w:t>The cluster reflects a turbulent landscape of FDA regulatory decisions, drug pricing debates, and pharmaceutical industry legal and competitive conflicts involving major players like Novo Nordisk, Bayer, J&amp;J, AbbVie, and GSK.</w:t>
      </w:r>
    </w:p>
    <w:p>
      <w:pPr>
        <w:pStyle w:val="NWEDataNotes"/>
      </w:pPr>
      <w:r>
        <w:t>Coverage: 16.0% (12 articles)</w:t>
      </w:r>
    </w:p>
    <w:p>
      <w:pPr>
        <w:pStyle w:val="NWEBody"/>
      </w:pPr>
      <w:r>
        <w:t>Representative headlines:</w:t>
      </w:r>
    </w:p>
    <w:p>
      <w:pPr>
        <w:pStyle w:val="NWEBody"/>
      </w:pPr>
      <w:r>
        <w:t xml:space="preserve">  - Charles River sells manufacturing and discovery businesses to fulfill promised pivot</w:t>
      </w:r>
    </w:p>
    <w:p>
      <w:pPr>
        <w:pStyle w:val="NWEBody"/>
      </w:pPr>
      <w:r>
        <w:t xml:space="preserve">  - FDA slams ExThera with warning letter over controversial blood filter device</w:t>
      </w:r>
    </w:p>
    <w:p>
      <w:pPr>
        <w:pStyle w:val="NWEBody"/>
      </w:pPr>
      <w:r>
        <w:t xml:space="preserve">  - Quantum Surgical snaps up J&amp;J's NeuWave Medical for its microwave ablation technology</w:t>
      </w:r>
    </w:p>
    <w:p>
      <w:pPr>
        <w:pStyle w:val="NWEBody"/>
      </w:pPr>
      <w:r>
        <w:t xml:space="preserve">  - Thermo Fisher unveils test to aid in dosing of antirejection drug</w:t>
      </w:r>
    </w:p>
    <w:p>
      <w:pPr>
        <w:pStyle w:val="NWEBody"/>
      </w:pPr>
      <w:r>
        <w:t xml:space="preserve">  - Sarepta CEO Doug Ingram to retire after a decade of Duchenne breakthroughs and controversies</w:t>
      </w:r>
    </w:p>
    <w:p>
      <w:pPr>
        <w:pStyle w:val="NWEHeading1"/>
      </w:pPr>
      <w:r>
        <w:t>Competitor Share of Voice</w:t>
      </w:r>
    </w:p>
    <w:p>
      <w:pPr>
        <w:pStyle w:val="NWEHeading2"/>
      </w:pPr>
      <w:r>
        <w:t>Competitor Positioning Summary</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Min</w:t>
            </w:r>
          </w:p>
        </w:tc>
        <w:tc>
          <w:tcPr>
            <w:tcW w:type="dxa" w:w="2160"/>
          </w:tcPr>
          <w:p>
            <w:r>
              <w:rPr>
                <w:b/>
                <w:sz w:val="18"/>
              </w:rPr>
              <w:t>Median</w:t>
            </w:r>
          </w:p>
        </w:tc>
        <w:tc>
          <w:tcPr>
            <w:tcW w:type="dxa" w:w="2160"/>
          </w:tcPr>
          <w:p>
            <w:r>
              <w:rPr>
                <w:b/>
                <w:sz w:val="18"/>
              </w:rPr>
              <w:t>Max</w:t>
            </w:r>
          </w:p>
        </w:tc>
      </w:tr>
      <w:tr>
        <w:tc>
          <w:tcPr>
            <w:tcW w:type="dxa" w:w="2160"/>
          </w:tcPr>
          <w:p>
            <w:r>
              <w:rPr>
                <w:b w:val="0"/>
                <w:sz w:val="18"/>
              </w:rPr>
              <w:t>Readability (FK Grade)</w:t>
            </w:r>
          </w:p>
        </w:tc>
        <w:tc>
          <w:tcPr>
            <w:tcW w:type="dxa" w:w="2160"/>
          </w:tcPr>
          <w:p>
            <w:r>
              <w:rPr>
                <w:b w:val="0"/>
                <w:sz w:val="18"/>
              </w:rPr>
              <w:t>11.2</w:t>
            </w:r>
          </w:p>
        </w:tc>
        <w:tc>
          <w:tcPr>
            <w:tcW w:type="dxa" w:w="2160"/>
          </w:tcPr>
          <w:p>
            <w:r>
              <w:rPr>
                <w:b w:val="0"/>
                <w:sz w:val="18"/>
              </w:rPr>
              <w:t>16.9</w:t>
            </w:r>
          </w:p>
        </w:tc>
        <w:tc>
          <w:tcPr>
            <w:tcW w:type="dxa" w:w="2160"/>
          </w:tcPr>
          <w:p>
            <w:r>
              <w:rPr>
                <w:b w:val="0"/>
                <w:sz w:val="18"/>
              </w:rPr>
              <w:t>18.4</w:t>
            </w:r>
          </w:p>
        </w:tc>
      </w:tr>
      <w:tr>
        <w:tc>
          <w:tcPr>
            <w:tcW w:type="dxa" w:w="2160"/>
          </w:tcPr>
          <w:p>
            <w:r>
              <w:rPr>
                <w:b w:val="0"/>
                <w:sz w:val="18"/>
              </w:rPr>
              <w:t>Hedging (per 1k words)</w:t>
            </w:r>
          </w:p>
        </w:tc>
        <w:tc>
          <w:tcPr>
            <w:tcW w:type="dxa" w:w="2160"/>
          </w:tcPr>
          <w:p>
            <w:r>
              <w:rPr>
                <w:b w:val="0"/>
                <w:sz w:val="18"/>
              </w:rPr>
              <w:t>1.5</w:t>
            </w:r>
          </w:p>
        </w:tc>
        <w:tc>
          <w:tcPr>
            <w:tcW w:type="dxa" w:w="2160"/>
          </w:tcPr>
          <w:p>
            <w:r>
              <w:rPr>
                <w:b w:val="0"/>
                <w:sz w:val="18"/>
              </w:rPr>
              <w:t>3.0</w:t>
            </w:r>
          </w:p>
        </w:tc>
        <w:tc>
          <w:tcPr>
            <w:tcW w:type="dxa" w:w="2160"/>
          </w:tcPr>
          <w:p>
            <w:r>
              <w:rPr>
                <w:b w:val="0"/>
                <w:sz w:val="18"/>
              </w:rPr>
              <w:t>14.2</w:t>
            </w:r>
          </w:p>
        </w:tc>
      </w:tr>
      <w:tr>
        <w:tc>
          <w:tcPr>
            <w:tcW w:type="dxa" w:w="2160"/>
          </w:tcPr>
          <w:p>
            <w:r>
              <w:rPr>
                <w:b w:val="0"/>
                <w:sz w:val="18"/>
              </w:rPr>
              <w:t>Sentiment (VADER compound)</w:t>
            </w:r>
          </w:p>
        </w:tc>
        <w:tc>
          <w:tcPr>
            <w:tcW w:type="dxa" w:w="2160"/>
          </w:tcPr>
          <w:p>
            <w:r>
              <w:rPr>
                <w:b w:val="0"/>
                <w:sz w:val="18"/>
              </w:rPr>
              <w:t>+0.9975</w:t>
            </w:r>
          </w:p>
        </w:tc>
        <w:tc>
          <w:tcPr>
            <w:tcW w:type="dxa" w:w="2160"/>
          </w:tcPr>
          <w:p>
            <w:r>
              <w:rPr>
                <w:b w:val="0"/>
                <w:sz w:val="18"/>
              </w:rPr>
              <w:t>+0.9990</w:t>
            </w:r>
          </w:p>
        </w:tc>
        <w:tc>
          <w:tcPr>
            <w:tcW w:type="dxa" w:w="2160"/>
          </w:tcPr>
          <w:p>
            <w:r>
              <w:rPr>
                <w:b w:val="0"/>
                <w:sz w:val="18"/>
              </w:rPr>
              <w:t>+0.9998</w:t>
            </w:r>
          </w:p>
        </w:tc>
      </w:tr>
    </w:tbl>
    <w:p>
      <w:pPr>
        <w:pStyle w:val="NWEBody"/>
      </w:pPr>
      <w:r>
        <w:t>Forward-looking statements detected: United Therapeutics, Regeneron, argenx, Intellia, CRISPR Therapeutics</w:t>
      </w:r>
    </w:p>
    <w:p>
      <w:pPr>
        <w:pStyle w:val="NWEDataNotes"/>
      </w:pPr>
      <w:r>
        <w:t>Warnings flagged: United Therapeutics: digit mismatch</w:t>
      </w:r>
    </w:p>
    <w:p/>
    <w:p>
      <w:pPr>
        <w:pStyle w:val="NWEHeading2"/>
      </w:pPr>
      <w:r>
        <w:t>United Therapeutics</w:t>
      </w:r>
    </w:p>
    <w:p>
      <w:pPr>
        <w:pStyle w:val="NWEDataNotes"/>
      </w:pPr>
      <w:r>
        <w:t>[Source: https://ir.unither.com/press-releases/2026/02-25-2026-113016583]</w:t>
      </w:r>
    </w:p>
    <w:p>
      <w:pPr>
        <w:pStyle w:val="NWEBody"/>
      </w:pPr>
      <w:r>
        <w:t>Readability: Flesch-Kincaid Grade Level 11.21 (Rank 5/5)</w:t>
      </w:r>
    </w:p>
    <w:p>
      <w:pPr>
        <w:pStyle w:val="NWEBody"/>
      </w:pPr>
      <w:r>
        <w:t>Hedging density: 1.8 per 1,000 words (Rank 4/5) (matched: anticipated, could, may)</w:t>
      </w:r>
    </w:p>
    <w:p>
      <w:pPr>
        <w:pStyle w:val="NWEBody"/>
      </w:pPr>
      <w:r>
        <w:t>Forward-looking statements: Present (6 keywords). Excerpt: "...n by our teams. Tyvaso continued its impressive trajectory in a growing market where we are steadily increasing our share of voice. Looking ahead, we believe our commercial strength, differentiated"</w:t>
      </w:r>
    </w:p>
    <w:p>
      <w:pPr>
        <w:pStyle w:val="NWEBody"/>
      </w:pPr>
      <w:r>
        <w:t>Sentiment (VADER proxy): compound=+0.9998 (Rank 1/5)</w:t>
      </w:r>
    </w:p>
    <w:p>
      <w:pPr>
        <w:pStyle w:val="NWEDataNotes"/>
      </w:pPr>
      <w:r>
        <w:t>Tone polarity warning: 2 domain-negative terms detected (density 0.0006)</w:t>
      </w:r>
    </w:p>
    <w:p>
      <w:pPr>
        <w:pStyle w:val="NWEHeading2"/>
      </w:pPr>
      <w:r>
        <w:t>Hook Translation</w:t>
      </w:r>
    </w:p>
    <w:p>
      <w:pPr>
        <w:pStyle w:val="NWEBody"/>
      </w:pPr>
      <w:r>
        <w:t>Headline: United Therapeutics Hits Record $3.18 Billion in 2025 Revenue, Eyes Breakthrough Data for Rare Disease Patients</w:t>
      </w:r>
    </w:p>
    <w:p>
      <w:pPr>
        <w:pStyle w:val="NWEBody"/>
      </w:pPr>
      <w:r>
        <w:t>Summary: United Therapeutics, a biotech company founded to fight rare diseases, reported its highest-ever annual revenue of $3.18 billion in 2025 — an 11% jump over the prior year and the fourth consecutive record. The growth was driven largely by Tyvaso, a treatment for pulmonary arterial hypertension, whose sales rose 16% to $1.878 billion. The company also posted full-year net income of $1.335 billion. Looking ahead, United Therapeutics says two major clinical programs — ADVANCE OUTCOMES and TETON-1 — are close to releasing pivotal data that could open significant new treatment options for patients and spark a period of transformational growth.</w:t>
      </w:r>
    </w:p>
    <w:p>
      <w:pPr>
        <w:pStyle w:val="NWEQuote"/>
      </w:pPr>
      <w:r>
        <w:t>"our ADVANCE OUTCOMES and TETON-1 clinical programs are on the cusp of unveiling pivotal data that could unlock significant new treatment options for patients, launching a period of transformational growth for UT" [verification: exact]</w:t>
      </w:r>
    </w:p>
    <w:p>
      <w:pPr>
        <w:pStyle w:val="NWEQuote"/>
      </w:pPr>
      <w:r>
        <w:t>"we believe our commercial strength, differentiated therapies, and expanding market opportunities position us well to continue delivering durable double‑digit revenue growth" [verification: exact]</w:t>
      </w:r>
    </w:p>
    <w:p>
      <w:pPr>
        <w:pStyle w:val="NWEBody"/>
      </w:pPr>
      <w:r>
        <w:t>Patient Impact:</w:t>
      </w:r>
    </w:p>
    <w:p>
      <w:pPr>
        <w:pStyle w:val="NWEBody"/>
      </w:pPr>
      <w:r>
        <w:t xml:space="preserve">  - Tyvaso DPI, a key treatment for pulmonary arterial hypertension, grew 25% in annual sales, reaching $1.293 billion, meaning more patients are accessing this therapy.</w:t>
      </w:r>
    </w:p>
    <w:p>
      <w:pPr>
        <w:pStyle w:val="NWEBody"/>
      </w:pPr>
      <w:r>
        <w:t xml:space="preserve">  - Increased commercial utilization following the Medicare Part D benefit redesign under the Inflation Reduction Act helped more patients afford and use Tyvaso and Orenitram.</w:t>
      </w:r>
    </w:p>
    <w:p>
      <w:pPr>
        <w:pStyle w:val="NWEBody"/>
      </w:pPr>
      <w:r>
        <w:t xml:space="preserve">  - Two clinical trials — ADVANCE OUTCOMES and TETON-1 — are nearing pivotal data readouts that could unlock significant new treatment options for patients with rare diseases.</w:t>
      </w:r>
    </w:p>
    <w:p>
      <w:pPr>
        <w:pStyle w:val="NWEBody"/>
      </w:pPr>
      <w:r>
        <w:t xml:space="preserve">  - United Therapeutics continues to invest in manufactured organ and organ alternative projects, aiming to expand the supply of transplantable organs.</w:t>
      </w:r>
    </w:p>
    <w:p>
      <w:pPr>
        <w:pStyle w:val="NWEBody"/>
      </w:pPr>
      <w:r>
        <w:t>Why it matters:</w:t>
      </w:r>
    </w:p>
    <w:p>
      <w:pPr>
        <w:pStyle w:val="NWEBody"/>
      </w:pPr>
      <w:r>
        <w:t xml:space="preserve">  - Record revenues for the fourth consecutive year signal that United Therapeutics has built a durable commercial engine, giving it the financial strength to fund ambitious research into rare diseases and organ alternatives.</w:t>
      </w:r>
    </w:p>
    <w:p>
      <w:pPr>
        <w:pStyle w:val="NWEBody"/>
      </w:pPr>
      <w:r>
        <w:t xml:space="preserve">  - Upcoming clinical trial results from ADVANCE OUTCOMES and TETON-1 could represent a major turning point — not just for the company's growth, but for patients with limited treatment options for life-threatening rare diseases.</w:t>
      </w:r>
    </w:p>
    <w:p>
      <w:pPr>
        <w:pStyle w:val="NWEDataNotes"/>
      </w:pPr>
      <w:r>
        <w:t>Note: Source text truncated for token limits.</w:t>
      </w:r>
    </w:p>
    <w:p>
      <w:pPr>
        <w:pStyle w:val="NWEHeading2"/>
      </w:pPr>
      <w:r>
        <w:t>Regeneron</w:t>
      </w:r>
    </w:p>
    <w:p>
      <w:pPr>
        <w:pStyle w:val="NWEDataNotes"/>
      </w:pPr>
      <w:r>
        <w:t>[Source: https://www.globenewswire.com/news-release/2026/02/26/3245906/0/en/Regeneron-Renews-Sponsorship-of-the-Regeneron-Science-Talent-Search-Through-2036-Committing-an-Additional-150-Million-to-Empower-the-Next-Generation-of-Science-and-Technology-Leade.html]</w:t>
      </w:r>
    </w:p>
    <w:p>
      <w:pPr>
        <w:pStyle w:val="NWEBody"/>
      </w:pPr>
      <w:r>
        <w:t>Readability: Flesch-Kincaid Grade Level 16.85 (Rank 3/5)</w:t>
      </w:r>
    </w:p>
    <w:p>
      <w:pPr>
        <w:pStyle w:val="NWEBody"/>
      </w:pPr>
      <w:r>
        <w:t>Hedging density: 1.5 per 1,000 words (Rank 5/5) (matched: possible, potentially)</w:t>
      </w:r>
    </w:p>
    <w:p>
      <w:pPr>
        <w:pStyle w:val="NWEBody"/>
      </w:pPr>
      <w:r>
        <w:t>Forward-looking statements: Present (1 keywords). Excerpt: "...c and inflammatory diseases, cancer, cardiovascular and metabolic diseases, hematologic conditions, infectious diseases, and rare diseases. Regeneron believes that operating as a good corporate cit"</w:t>
      </w:r>
    </w:p>
    <w:p>
      <w:pPr>
        <w:pStyle w:val="NWEBody"/>
      </w:pPr>
      <w:r>
        <w:t>Sentiment (VADER proxy): compound=+0.9997 (Rank 2/5)</w:t>
      </w:r>
    </w:p>
    <w:p>
      <w:pPr>
        <w:pStyle w:val="NWEHeading2"/>
      </w:pPr>
      <w:r>
        <w:t>Hook Translation</w:t>
      </w:r>
    </w:p>
    <w:p>
      <w:pPr>
        <w:pStyle w:val="NWEBody"/>
      </w:pPr>
      <w:r>
        <w:t>Headline: Regeneron Commits $150 Million More to America's Oldest Science Competition, Bringing 20-Year Investment to $300 Million</w:t>
      </w:r>
    </w:p>
    <w:p>
      <w:pPr>
        <w:pStyle w:val="NWEBody"/>
      </w:pPr>
      <w:r>
        <w:t>Summary: Regeneron Pharmaceuticals is doubling down on America's future scientists, renewing its title sponsorship of the Regeneron Science Talent Search (STS) through 2036 with an additional $150 million — a 50% increase over its previous commitment. The STS, first established in 1942, is the oldest and most prestigious science and math competition for U.S. high school seniors. Since Regeneron became title sponsor in 2017, the program has engaged more than 20,000 young scientists, recognized 3,000 as scholars, and awarded over $31 million in prizes. Combined with its sponsorship of the Regeneron International Science and Engineering Fair (ISEF), the company's total investment in both competitions reaches more than $300 million from 2017 to 2036. Entries to STS have grown by 49% since Regeneron took over sponsorship.</w:t>
      </w:r>
    </w:p>
    <w:p>
      <w:pPr>
        <w:pStyle w:val="NWEQuote"/>
      </w:pPr>
      <w:r>
        <w:t>"My own scientific journey can be traced back to my experience with the Science Talent Search, which profoundly shaped who I am today. Participating in and becoming a winner of STS gave me the confidence to dedicate my life to science and the pursuit of inventing medicines that improve people's lives" [verification: soft_verified]</w:t>
      </w:r>
    </w:p>
    <w:p>
      <w:pPr>
        <w:pStyle w:val="NWEQuote"/>
      </w:pPr>
      <w:r>
        <w:t>"In its 85th year, the Science Talent Search inspires and elevates the nation's top high school students passionate about tackling the world's most intractable problems" [verification: soft_verified]</w:t>
      </w:r>
    </w:p>
    <w:p>
      <w:pPr>
        <w:pStyle w:val="NWEBody"/>
      </w:pPr>
      <w:r>
        <w:t>Patient Impact:</w:t>
      </w:r>
    </w:p>
    <w:p>
      <w:pPr>
        <w:pStyle w:val="NWEBody"/>
      </w:pPr>
      <w:r>
        <w:t xml:space="preserve">  - Regeneron is pledging an additional $150 million to the Science Talent Search, increasing its decade commitment by 50% and bringing its 20-year STS investment to $250 million.</w:t>
      </w:r>
    </w:p>
    <w:p>
      <w:pPr>
        <w:pStyle w:val="NWEBody"/>
      </w:pPr>
      <w:r>
        <w:t xml:space="preserve">  - Since 2017, the partnership has engaged more than 20,000 young scientists, recognized 3,000 as Regeneron scholars, and awarded over $31 million in prizes.</w:t>
      </w:r>
    </w:p>
    <w:p>
      <w:pPr>
        <w:pStyle w:val="NWEBody"/>
      </w:pPr>
      <w:r>
        <w:t xml:space="preserve">  - Entries to STS have increased by 49% since Regeneron became title sponsor, reflecting significant growth in the program's national reach.</w:t>
      </w:r>
    </w:p>
    <w:p>
      <w:pPr>
        <w:pStyle w:val="NWEBody"/>
      </w:pPr>
      <w:r>
        <w:t xml:space="preserve">  - Through its STEM-Fueled programs, Regeneron has provided more than 4 million students with STEM experiences since 2020.</w:t>
      </w:r>
    </w:p>
    <w:p>
      <w:pPr>
        <w:pStyle w:val="NWEBody"/>
      </w:pPr>
      <w:r>
        <w:t>Why it matters:</w:t>
      </w:r>
    </w:p>
    <w:p>
      <w:pPr>
        <w:pStyle w:val="NWEBody"/>
      </w:pPr>
      <w:r>
        <w:t xml:space="preserve">  - The Science Talent Search has a proven track record of producing world-changing scientists — alumni have gone on to earn the Nobel Prize, the Fields Medal, the National Medal of Science, and the MacArthur Fellowship.</w:t>
      </w:r>
    </w:p>
    <w:p>
      <w:pPr>
        <w:pStyle w:val="NWEBody"/>
      </w:pPr>
      <w:r>
        <w:t xml:space="preserve">  - The renewed sponsorship secures the future of an 85-year-old institution and expands STEM outreach to students across every U.S. state, including rural and urban areas, regardless of socioeconomic status, gender, or race.</w:t>
      </w:r>
    </w:p>
    <w:p>
      <w:pPr>
        <w:pStyle w:val="NWEBody"/>
      </w:pPr>
      <w:r>
        <w:t xml:space="preserve">  - Regeneron's total investment across STS and ISEF surpasses $300 million through 2036, making it one of the largest private commitments to pre-college science education in the United States.</w:t>
      </w:r>
    </w:p>
    <w:p>
      <w:pPr>
        <w:pStyle w:val="NWEBody"/>
      </w:pPr>
      <w:r>
        <w:t xml:space="preserve">  - The competition covers cutting-edge fields such as artificial intelligence, climate science, cancer biology, and renewable energy — areas critical to solving tomorrow's biggest challenges.</w:t>
      </w:r>
    </w:p>
    <w:p>
      <w:pPr>
        <w:pStyle w:val="NWEHeading2"/>
      </w:pPr>
      <w:r>
        <w:t>argenx</w:t>
      </w:r>
    </w:p>
    <w:p>
      <w:pPr>
        <w:pStyle w:val="NWEDataNotes"/>
      </w:pPr>
      <w:r>
        <w:t>[Source: https://argenx.com/news/2026/press-release-3245199.html]</w:t>
      </w:r>
    </w:p>
    <w:p>
      <w:pPr>
        <w:pStyle w:val="NWEBody"/>
      </w:pPr>
      <w:r>
        <w:t>Readability: Flesch-Kincaid Grade Level 18.38 (Rank 1/5)</w:t>
      </w:r>
    </w:p>
    <w:p>
      <w:pPr>
        <w:pStyle w:val="NWEBody"/>
      </w:pPr>
      <w:r>
        <w:t>Hedging density: 14.2 per 1,000 words (Rank 1/5) (matched: expected, may, possible)</w:t>
      </w:r>
    </w:p>
    <w:p>
      <w:pPr>
        <w:pStyle w:val="NWEBody"/>
      </w:pPr>
      <w:r>
        <w:t>Forward-looking statements: Present (3 keywords). Excerpt: "...e receptor antibody negative (AChR-Ab-) gMG (MuSK+, LRP4+ and triple seronegative) is May 10, 2026 Positive topline results from ADAPT OCULUS support planned sBLA submission to expand VYVGART label"</w:t>
      </w:r>
    </w:p>
    <w:p>
      <w:pPr>
        <w:pStyle w:val="NWEBody"/>
      </w:pPr>
      <w:r>
        <w:t>Sentiment (VADER proxy): compound=+0.9988 (Rank 4/5)</w:t>
      </w:r>
    </w:p>
    <w:p>
      <w:pPr>
        <w:pStyle w:val="NWEHeading2"/>
      </w:pPr>
      <w:r>
        <w:t>Hook Translation</w:t>
      </w:r>
    </w:p>
    <w:p>
      <w:pPr>
        <w:pStyle w:val="NWEBody"/>
      </w:pPr>
      <w:r>
        <w:t>Headline: argenx Hits $4.2 Billion in Drug Sales and First-Ever Profit as Its Autoimmune Treatment Reaches 19,000 Patients Worldwide</w:t>
      </w:r>
    </w:p>
    <w:p>
      <w:pPr>
        <w:pStyle w:val="NWEBody"/>
      </w:pPr>
      <w:r>
        <w:t>Summary: argenx, a global immunology company, reported a landmark year in 2025: its flagship drug VYVGART generated $4.2 billion in sales — a 90% jump from the prior year — and the company turned profitable for the first time, delivering $1.1 billion in operating income. VYVGART, approved for serious autoimmune diseases including myasthenia gravis (MG) and a nerve disorder called CIDP, reached 19,000 patients globally. The company also announced positive results from a new clinical trial in ocular MG (a form affecting the eyes), and is awaiting a U.S. regulatory decision by May 10, 2026 to expand the drug's use to patients who don't carry a specific antibody. Looking ahead, argenx aims to treat 50,000 patients globally and secure 10 approved indications by 2030.</w:t>
      </w:r>
    </w:p>
    <w:p>
      <w:pPr>
        <w:pStyle w:val="NWEQuote"/>
      </w:pPr>
      <w:r>
        <w:t>"argenx delivered another standout year of execution in 2025" [verification: exact]</w:t>
      </w:r>
    </w:p>
    <w:p>
      <w:pPr>
        <w:pStyle w:val="NWEQuote"/>
      </w:pPr>
      <w:r>
        <w:t>"2026 is another year of expansion for argenx" [verification: exact]</w:t>
      </w:r>
    </w:p>
    <w:p>
      <w:pPr>
        <w:pStyle w:val="NWEBody"/>
      </w:pPr>
      <w:r>
        <w:t>Patient Impact:</w:t>
      </w:r>
    </w:p>
    <w:p>
      <w:pPr>
        <w:pStyle w:val="NWEBody"/>
      </w:pPr>
      <w:r>
        <w:t xml:space="preserve">  - VYVGART reached 19,000 patients globally in 2025, treating serious autoimmune diseases including generalized myasthenia gravis and CIDP.</w:t>
      </w:r>
    </w:p>
    <w:p>
      <w:pPr>
        <w:pStyle w:val="NWEBody"/>
      </w:pPr>
      <w:r>
        <w:t xml:space="preserve">  - A new clinical trial in ocular myasthenia gravis met its primary endpoint, potentially expanding treatment options to patients with eye-affecting MG.</w:t>
      </w:r>
    </w:p>
    <w:p>
      <w:pPr>
        <w:pStyle w:val="NWEBody"/>
      </w:pPr>
      <w:r>
        <w:t xml:space="preserve">  - A U.S. regulatory decision is expected by May 10, 2026 to expand VYVGART's use to seronegative MG patients — those who lack a specific antibody — broadening eligibility.</w:t>
      </w:r>
    </w:p>
    <w:p>
      <w:pPr>
        <w:pStyle w:val="NWEBody"/>
      </w:pPr>
      <w:r>
        <w:t xml:space="preserve">  - argenx's pipeline will include four Phase 3 molecules and a total of 10 molecules in clinical development by end of 2026, spanning conditions from rare nerve diseases to rheumatology.</w:t>
      </w:r>
    </w:p>
    <w:p>
      <w:pPr>
        <w:pStyle w:val="NWEBody"/>
      </w:pPr>
      <w:r>
        <w:t>Why it matters:</w:t>
      </w:r>
    </w:p>
    <w:p>
      <w:pPr>
        <w:pStyle w:val="NWEBody"/>
      </w:pPr>
      <w:r>
        <w:t xml:space="preserve">  - argenx's first year of operating profitability — $1.1 billion in operating income — signals that a biotech focused entirely on severe autoimmune diseases can become a financially sustainable, large-scale enterprise.</w:t>
      </w:r>
    </w:p>
    <w:p>
      <w:pPr>
        <w:pStyle w:val="NWEBody"/>
      </w:pPr>
      <w:r>
        <w:t xml:space="preserve">  - With a stated ambition to treat 50,000 patients globally and secure 10 labeled indications by 2030, argenx's expanding pipeline could bring new treatment options to patients with rare and currently hard-to-treat autoimmune conditions.</w:t>
      </w:r>
    </w:p>
    <w:p>
      <w:pPr>
        <w:pStyle w:val="NWEBody"/>
      </w:pPr>
      <w:r>
        <w:t xml:space="preserve">  - The 90% year-over-year sales growth and multiple late-stage clinical programs underscore a broader shift in medicine toward precision biologics targeting the immune system's root mechanisms.</w:t>
      </w:r>
    </w:p>
    <w:p>
      <w:pPr>
        <w:pStyle w:val="NWEBody"/>
      </w:pPr>
      <w:r>
        <w:t xml:space="preserve">  - Positive data in ocular MG and ongoing studies in conditions like Sjogren's disease, Graves' disease, and IgA nephropathy suggest VYVGART's underlying technology may address a wide range of autoimmune diseases beyond its current approvals.</w:t>
      </w:r>
    </w:p>
    <w:p>
      <w:pPr>
        <w:pStyle w:val="NWEHeading2"/>
      </w:pPr>
      <w:r>
        <w:t>Intellia</w:t>
      </w:r>
    </w:p>
    <w:p>
      <w:pPr>
        <w:pStyle w:val="NWEDataNotes"/>
      </w:pPr>
      <w:r>
        <w:t>[Source: https://www.globenewswire.com/news-release/2026/02/26/3245466/0/en/Intellia-Therapeutics-Announces-Fourth-Quarter-and-Full-Year-2025-Financial-Results-and-Business-Updates.html]</w:t>
      </w:r>
    </w:p>
    <w:p>
      <w:pPr>
        <w:pStyle w:val="NWEBody"/>
      </w:pPr>
      <w:r>
        <w:t>Readability: Flesch-Kincaid Grade Level 17.26 (Rank 2/5)</w:t>
      </w:r>
    </w:p>
    <w:p>
      <w:pPr>
        <w:pStyle w:val="NWEBody"/>
      </w:pPr>
      <w:r>
        <w:t>Hedging density: 7.1 per 1,000 words (Rank 2/5) (matched: anticipated, could, expected, may, potentially)</w:t>
      </w:r>
    </w:p>
    <w:p>
      <w:pPr>
        <w:pStyle w:val="NWEBody"/>
      </w:pPr>
      <w:r>
        <w:t>Forward-looking statements: Present (6 keywords). Excerpt: "HAELO Phase 3 clinical data for lonvo-z in HAE expected by mid-2026; BLA submission in second half of 2026; anticipated U.S. launch in first half of 2027 Process underway to reactivate global sites fo"</w:t>
      </w:r>
    </w:p>
    <w:p>
      <w:pPr>
        <w:pStyle w:val="NWEBody"/>
      </w:pPr>
      <w:r>
        <w:t>Sentiment (VADER proxy): compound=+0.9975 (Rank 5/5)</w:t>
      </w:r>
    </w:p>
    <w:p>
      <w:pPr>
        <w:pStyle w:val="NWEHeading2"/>
      </w:pPr>
      <w:r>
        <w:t>Hook Translation</w:t>
      </w:r>
    </w:p>
    <w:p>
      <w:pPr>
        <w:pStyle w:val="NWEBody"/>
      </w:pPr>
      <w:r>
        <w:t>Headline: One-Time CRISPR Shot Could Free HAE Patients From Lifelong Treatment — Major Trial Results Due Mid-2026</w:t>
      </w:r>
    </w:p>
    <w:p>
      <w:pPr>
        <w:pStyle w:val="NWEBody"/>
      </w:pPr>
      <w:r>
        <w:t>Summary: Intellia Therapeutics is closing in on a potential breakthrough for people with hereditary angioedema (HAE), a rare and debilitating disease that causes sudden, painful swelling attacks. The company's experimental one-time gene-editing therapy, lonvo-z, uses CRISPR technology to permanently switch off a gene in the liver responsible for triggering attacks. A global Phase 3 trial finished enrolling 80 patients, and results are expected by mid-2026. If successful, Intellia plans to file for FDA approval later that year and launch the therapy in the first half of 2027. In a patient survey, 99% said they would be at least somewhat likely to take lonvo-z if prescribed. The company also has a second CRISPR therapy, nex-z, targeting a serious heart and nerve disease called ATTR amyloidosis, though that program faces regulatory hurdles.</w:t>
      </w:r>
    </w:p>
    <w:p>
      <w:pPr>
        <w:pStyle w:val="NWEQuote"/>
      </w:pPr>
      <w:r>
        <w:t>"We expect the year ahead to be a pivotal one, highlighted by our topline Phase 3 data and planned BLA submission for lonvo-z, which has the potential to transform the HAE treatment paradigm by freeing most patients from both their attacks and chronic therapy." [verification: exact]</w:t>
      </w:r>
    </w:p>
    <w:p>
      <w:pPr>
        <w:pStyle w:val="NWEQuote"/>
      </w:pPr>
      <w:r>
        <w:t>"Nex-z offers the possibility of halting and reversing disease by driving a deep, consistent and potentially lifelong reduction in TTR protein after a one-time treatment." [verification: exact]</w:t>
      </w:r>
    </w:p>
    <w:p>
      <w:pPr>
        <w:pStyle w:val="NWEBody"/>
      </w:pPr>
      <w:r>
        <w:t>Patient Impact:</w:t>
      </w:r>
    </w:p>
    <w:p>
      <w:pPr>
        <w:pStyle w:val="NWEBody"/>
      </w:pPr>
      <w:r>
        <w:t xml:space="preserve">  - A single dose of lonvo-z could eliminate HAE attacks and end the need for chronic therapy, based on Phase 1/2 data showing durable results for up to 32 months.</w:t>
      </w:r>
    </w:p>
    <w:p>
      <w:pPr>
        <w:pStyle w:val="NWEBody"/>
      </w:pPr>
      <w:r>
        <w:t xml:space="preserve">  - 99% of HAE patients surveyed said they would be at least somewhat likely to take lonvo-z if prescribed, signaling strong patient demand.</w:t>
      </w:r>
    </w:p>
    <w:p>
      <w:pPr>
        <w:pStyle w:val="NWEBody"/>
      </w:pPr>
      <w:r>
        <w:t xml:space="preserve">  - 80 patients have already been enrolled in the global HAELO Phase 3 trial, with topline results expected by mid-2026 and a potential U.S. launch in the first half of 2027.</w:t>
      </w:r>
    </w:p>
    <w:p>
      <w:pPr>
        <w:pStyle w:val="NWEBody"/>
      </w:pPr>
      <w:r>
        <w:t xml:space="preserve">  - Intellia's cash runway of approximately $605 million is expected to fund operations into the second half of 2027, covering the anticipated lonvo-z commercial launch.</w:t>
      </w:r>
    </w:p>
    <w:p>
      <w:pPr>
        <w:pStyle w:val="NWEBody"/>
      </w:pPr>
      <w:r>
        <w:t>Why it matters:</w:t>
      </w:r>
    </w:p>
    <w:p>
      <w:pPr>
        <w:pStyle w:val="NWEBody"/>
      </w:pPr>
      <w:r>
        <w:t xml:space="preserve">  - CRISPR gene editing represents a new frontier in medicine — if lonvo-z succeeds, it could be one of the first approved one-time CRISPR therapies, setting a precedent for treating other genetic diseases the same way.</w:t>
      </w:r>
    </w:p>
    <w:p>
      <w:pPr>
        <w:pStyle w:val="NWEBody"/>
      </w:pPr>
      <w:r>
        <w:t xml:space="preserve">  - HAE and ATTR amyloidosis are serious, life-altering rare diseases with significant unmet needs; a durable, one-time treatment could fundamentally change how rare genetic diseases are managed and reduce the lifelong burden on patients and the healthcare system.</w:t>
      </w:r>
    </w:p>
    <w:p>
      <w:pPr>
        <w:pStyle w:val="NWEHeading2"/>
      </w:pPr>
      <w:r>
        <w:t>CRISPR Therapeutics</w:t>
      </w:r>
    </w:p>
    <w:p>
      <w:pPr>
        <w:pStyle w:val="NWEDataNotes"/>
      </w:pPr>
      <w:r>
        <w:t>[Source: https://www.globenewswire.com/news-release/2026/02/12/3237711/0/en/CRISPR-Therapeutics-Provides-Business-Update-and-Reports-Fourth-Quarter-and-Full-Year-2025-Financial-Results.html]</w:t>
      </w:r>
    </w:p>
    <w:p>
      <w:pPr>
        <w:pStyle w:val="NWEBody"/>
      </w:pPr>
      <w:r>
        <w:t>Readability: Flesch-Kincaid Grade Level 16.2 (Rank 4/5)</w:t>
      </w:r>
    </w:p>
    <w:p>
      <w:pPr>
        <w:pStyle w:val="NWEBody"/>
      </w:pPr>
      <w:r>
        <w:t>Hedging density: 3.0 per 1,000 words (Rank 3/5) (matched: anticipated, expected, may)</w:t>
      </w:r>
    </w:p>
    <w:p>
      <w:pPr>
        <w:pStyle w:val="NWEBody"/>
      </w:pPr>
      <w:r>
        <w:t>Forward-looking statements: Present (9 keywords). Excerpt: "...pabilities to support long-term value creation. Together, these developments reflect continued execution across the portfolio.” Recent Highlights and Outlook Hemoglobinopathies and CASGEVY ® (exaga"</w:t>
      </w:r>
    </w:p>
    <w:p>
      <w:pPr>
        <w:pStyle w:val="NWEBody"/>
      </w:pPr>
      <w:r>
        <w:t>Sentiment (VADER proxy): compound=+0.9990 (Rank 3/5)</w:t>
      </w:r>
    </w:p>
    <w:p>
      <w:pPr>
        <w:pStyle w:val="NWEHeading2"/>
      </w:pPr>
      <w:r>
        <w:t>Hook Translation</w:t>
      </w:r>
    </w:p>
    <w:p>
      <w:pPr>
        <w:pStyle w:val="NWEBody"/>
      </w:pPr>
      <w:r>
        <w:t>Headline: The World's First CRISPR Gene-Editing Therapy Is Reaching More Patients — and a Pediatric Expansion Is Coming</w:t>
      </w:r>
    </w:p>
    <w:p>
      <w:pPr>
        <w:pStyle w:val="NWEBody"/>
      </w:pPr>
      <w:r>
        <w:t>Summary: CRISPR Therapeutics, the company behind CASGEVY — the world's first approved CRISPR-based therapy — reported that 64 patients received the treatment in 2025, with patient initiations nearly tripling compared to 2024. CASGEVY, approved in over 10 countries for sickle cell disease and a related blood disorder, generated $116 million in revenue for the year. The company is now pushing to expand access to children ages 5–11, with regulatory submissions expected to begin in early 2026. Beyond blood diseases, CRISPR Therapeutics is advancing treatments for heart disease, autoimmune conditions, and even Type 1 diabetes, painting a picture of gene editing moving steadily from science fiction to mainstream medicine.</w:t>
      </w:r>
    </w:p>
    <w:p>
      <w:pPr>
        <w:pStyle w:val="NWEQuote"/>
      </w:pPr>
      <w:r>
        <w:t>"We made meaningful advances across multiple clinical and preclinical programs, including encouraging data from zugo-cel in autoimmune disease and oncology, continued global uptake of CASGEVY, and important developments across our in vivo liver editing portfolio, and momentum in our siRNA collaboration with Sirius Therapeutics." [verification: exact]</w:t>
      </w:r>
    </w:p>
    <w:p>
      <w:pPr>
        <w:pStyle w:val="NWEQuote"/>
      </w:pPr>
      <w:r>
        <w:t>"Patient initiations and first cell collections increased nearly three-fold in 2025 compared to 2024, with continued momentum going into 2026." [verification: exact]</w:t>
      </w:r>
    </w:p>
    <w:p>
      <w:pPr>
        <w:pStyle w:val="NWEBody"/>
      </w:pPr>
      <w:r>
        <w:t>Patient Impact:</w:t>
      </w:r>
    </w:p>
    <w:p>
      <w:pPr>
        <w:pStyle w:val="NWEBody"/>
      </w:pPr>
      <w:r>
        <w:t xml:space="preserve">  - 64 patients received CASGEVY infusions in 2025, with 147 people globally beginning the treatment process through their first cell collection.</w:t>
      </w:r>
    </w:p>
    <w:p>
      <w:pPr>
        <w:pStyle w:val="NWEBody"/>
      </w:pPr>
      <w:r>
        <w:t xml:space="preserve">  - Patient initiations nearly tripled in 2025 compared to 2024, signaling rapidly growing real-world adoption of the world's first CRISPR therapy.</w:t>
      </w:r>
    </w:p>
    <w:p>
      <w:pPr>
        <w:pStyle w:val="NWEBody"/>
      </w:pPr>
      <w:r>
        <w:t xml:space="preserve">  - Approximately 90% of U.S. patients now have reimbursed access to CASGEVY, with coverage also secured in multiple countries including the U.K., Italy, and Saudi Arabia.</w:t>
      </w:r>
    </w:p>
    <w:p>
      <w:pPr>
        <w:pStyle w:val="NWEBody"/>
      </w:pPr>
      <w:r>
        <w:t xml:space="preserve">  - Positive data in children ages 5–11 with sickle cell disease or beta thalassemia were highlighted at a major medical conference, with regulatory submissions for this younger age group expected to begin in the first half of 2026.</w:t>
      </w:r>
    </w:p>
    <w:p>
      <w:pPr>
        <w:pStyle w:val="NWEBody"/>
      </w:pPr>
      <w:r>
        <w:t>Why it matters:</w:t>
      </w:r>
    </w:p>
    <w:p>
      <w:pPr>
        <w:pStyle w:val="NWEBody"/>
      </w:pPr>
      <w:r>
        <w:t xml:space="preserve">  - CASGEVY is the world's first CRISPR-based therapy ever approved, making its continued global rollout a landmark moment for the future of gene-editing medicine.</w:t>
      </w:r>
    </w:p>
    <w:p>
      <w:pPr>
        <w:pStyle w:val="NWEBody"/>
      </w:pPr>
      <w:r>
        <w:t xml:space="preserve">  - The company's expanding pipeline — spanning heart disease, autoimmune disorders, rare diseases, and Type 1 diabetes — signals that CRISPR gene editing is moving well beyond its first approved use and into a broad range of serious conditions affecting millions of people worldwide.</w:t>
      </w:r>
    </w:p>
    <w:p>
      <w:pPr>
        <w:pStyle w:val="NWEHeading1"/>
      </w:pPr>
      <w:r>
        <w:t>Appendix A: Methods &amp; Limitations</w:t>
      </w:r>
    </w:p>
    <w:p>
      <w:pPr>
        <w:pStyle w:val="NWEHeading2"/>
      </w:pPr>
      <w:r>
        <w:t>A.1  Data Collection</w:t>
      </w:r>
    </w:p>
    <w:tbl>
      <w:tblPr>
        <w:tblStyle w:val="TableGrid"/>
        <w:tblW w:type="auto" w:w="0"/>
        <w:tblLook w:firstColumn="1" w:firstRow="1" w:lastColumn="0" w:lastRow="0" w:noHBand="0" w:noVBand="1" w:val="04A0"/>
      </w:tblPr>
      <w:tblGrid>
        <w:gridCol w:w="4320"/>
        <w:gridCol w:w="4320"/>
      </w:tblGrid>
      <w:tr>
        <w:tc>
          <w:tcPr>
            <w:tcW w:type="dxa" w:w="4320"/>
          </w:tcPr>
          <w:p>
            <w:r>
              <w:rPr>
                <w:b w:val="0"/>
                <w:sz w:val="18"/>
              </w:rPr>
              <w:t>Date window</w:t>
            </w:r>
          </w:p>
        </w:tc>
        <w:tc>
          <w:tcPr>
            <w:tcW w:type="dxa" w:w="4320"/>
          </w:tcPr>
          <w:p>
            <w:r>
              <w:rPr>
                <w:b w:val="0"/>
                <w:sz w:val="18"/>
              </w:rPr>
              <w:t>2026-02-23  to  2026-03-02</w:t>
            </w:r>
          </w:p>
        </w:tc>
      </w:tr>
      <w:tr>
        <w:tc>
          <w:tcPr>
            <w:tcW w:type="dxa" w:w="4320"/>
          </w:tcPr>
          <w:p>
            <w:r>
              <w:rPr>
                <w:b w:val="0"/>
                <w:sz w:val="18"/>
              </w:rPr>
              <w:t>RSS sources</w:t>
            </w:r>
          </w:p>
        </w:tc>
        <w:tc>
          <w:tcPr>
            <w:tcW w:type="dxa" w:w="4320"/>
          </w:tcPr>
          <w:p>
            <w:r>
              <w:rPr>
                <w:b w:val="0"/>
                <w:sz w:val="18"/>
              </w:rPr>
              <w:t>7 feeds</w:t>
            </w:r>
          </w:p>
        </w:tc>
      </w:tr>
      <w:tr>
        <w:tc>
          <w:tcPr>
            <w:tcW w:type="dxa" w:w="4320"/>
          </w:tcPr>
          <w:p>
            <w:r>
              <w:rPr>
                <w:b w:val="0"/>
                <w:sz w:val="18"/>
              </w:rPr>
              <w:t>Articles ingested</w:t>
            </w:r>
          </w:p>
        </w:tc>
        <w:tc>
          <w:tcPr>
            <w:tcW w:type="dxa" w:w="4320"/>
          </w:tcPr>
          <w:p>
            <w:r>
              <w:rPr>
                <w:b w:val="0"/>
                <w:sz w:val="18"/>
              </w:rPr>
              <w:t>106</w:t>
            </w:r>
          </w:p>
        </w:tc>
      </w:tr>
    </w:tbl>
    <w:p>
      <w:pPr>
        <w:pStyle w:val="NWEHeading2"/>
      </w:pPr>
      <w:r>
        <w:t>A.2  Processing Pipeline</w:t>
      </w:r>
    </w:p>
    <w:p>
      <w:pPr>
        <w:pStyle w:val="NWEBody"/>
      </w:pPr>
      <w:r>
        <w:rPr>
          <w:b/>
        </w:rPr>
        <w:t>Deduplication</w:t>
      </w:r>
    </w:p>
    <w:p>
      <w:pPr>
        <w:pStyle w:val="NWEBody"/>
      </w:pPr>
      <w:r>
        <w:t xml:space="preserve">    106 articles → 90 unique  (cosine threshold 0.88)</w:t>
      </w:r>
    </w:p>
    <w:p>
      <w:pPr>
        <w:pStyle w:val="NWEBody"/>
      </w:pPr>
      <w:r>
        <w:rPr>
          <w:b/>
        </w:rPr>
        <w:t>Clustering</w:t>
      </w:r>
    </w:p>
    <w:p>
      <w:pPr>
        <w:pStyle w:val="NWEBody"/>
      </w:pPr>
      <w:r>
        <w:t xml:space="preserve">    TF-IDF + K-Means, K = 3, silhouette = 0.206</w:t>
      </w:r>
    </w:p>
    <w:p>
      <w:pPr>
        <w:pStyle w:val="NWEBody"/>
      </w:pPr>
      <w:r>
        <w:rPr>
          <w:b/>
        </w:rPr>
        <w:t>Narrative labeling</w:t>
      </w:r>
    </w:p>
    <w:p>
      <w:pPr>
        <w:pStyle w:val="NWEBody"/>
      </w:pPr>
      <w:r>
        <w:t xml:space="preserve">    anthropic / claude-sonnet-4-6</w:t>
      </w:r>
    </w:p>
    <w:p>
      <w:pPr>
        <w:pStyle w:val="NWEHeading2"/>
      </w:pPr>
      <w:r>
        <w:t>A.3  Competitor Analysis</w:t>
      </w:r>
    </w:p>
    <w:p>
      <w:pPr>
        <w:pStyle w:val="NWEBody"/>
      </w:pPr>
      <w:r>
        <w:t>Scraped 5 press releases from 5 competitors (5 successful, 0 failed).</w:t>
      </w:r>
    </w:p>
    <w:p>
      <w:pPr>
        <w:pStyle w:val="NWEBody"/>
      </w:pPr>
      <w:r>
        <w:t>Quote verification breakdown:</w:t>
      </w:r>
    </w:p>
    <w:p>
      <w:pPr>
        <w:pStyle w:val="NWEBody"/>
      </w:pPr>
      <w:r>
        <w:t xml:space="preserve">    Exact match: 8</w:t>
      </w:r>
    </w:p>
    <w:p>
      <w:pPr>
        <w:pStyle w:val="NWEBody"/>
      </w:pPr>
      <w:r>
        <w:t xml:space="preserve">    Soft verified: 2</w:t>
      </w:r>
    </w:p>
    <w:p>
      <w:pPr>
        <w:pStyle w:val="NWEHeading2"/>
      </w:pPr>
      <w:r>
        <w:t>A.4  Limitations</w:t>
      </w:r>
    </w:p>
    <w:p>
      <w:pPr>
        <w:pStyle w:val="NWEBody"/>
      </w:pPr>
      <w:r>
        <w:t xml:space="preserve">  •  Macro narrative labels are LLM-generated and may not capture subtle distinctions.</w:t>
      </w:r>
    </w:p>
    <w:p>
      <w:pPr>
        <w:pStyle w:val="NWEBody"/>
      </w:pPr>
      <w:r>
        <w:t xml:space="preserve">  •  Quote verification is text-based (substring matching), not semantic.</w:t>
      </w:r>
    </w:p>
    <w:p>
      <w:pPr>
        <w:pStyle w:val="NWEBody"/>
      </w:pPr>
      <w:r>
        <w:t xml:space="preserve">  •  Readability and sentiment scores are statistical proxies, not expert assessments.</w:t>
      </w:r>
    </w:p>
    <w:p>
      <w:pPr>
        <w:pStyle w:val="NWEBody"/>
      </w:pPr>
      <w:r>
        <w:t xml:space="preserve">  •  All data is sourced from public RSS feeds and press releases within the configured date window.</w:t>
      </w:r>
    </w:p>
    <w:p>
      <w:pPr>
        <w:pStyle w:val="NWEDataNotes"/>
      </w:pPr>
      <w:r>
        <w:t>Note: The Table of Contents updates automatically when this document is opened in Microsoft Word.</w:t>
      </w:r>
    </w:p>
    <w:p>
      <w:pPr>
        <w:pStyle w:val="NWEHeading1"/>
      </w:pPr>
      <w:r>
        <w:t>Appendix B: Data Quality Notes</w:t>
      </w:r>
    </w:p>
    <w:p>
      <w:pPr>
        <w:pStyle w:val="NWEBody"/>
      </w:pPr>
      <w:r>
        <w:t>8 warning(s) across 5 categories.</w:t>
      </w:r>
    </w:p>
    <w:p>
      <w:pPr>
        <w:pStyle w:val="NWEHeading2"/>
      </w:pPr>
      <w:r>
        <w:t>Digit Mismatch  (3)</w:t>
      </w:r>
    </w:p>
    <w:p>
      <w:pPr>
        <w:pStyle w:val="NWEDataNotes"/>
      </w:pPr>
      <w:r>
        <w:rPr>
          <w:sz w:val="18"/>
        </w:rPr>
        <w:t>Digit '1.293' appears in LLM output but not in source text.</w:t>
      </w:r>
      <w:r>
        <w:rPr>
          <w:color w:val="999999"/>
          <w:sz w:val="16"/>
        </w:rPr>
        <w:t xml:space="preserve">  [validation.digit_mismatch_warnings]</w:t>
      </w:r>
    </w:p>
    <w:p>
      <w:pPr>
        <w:pStyle w:val="NWEDataNotes"/>
      </w:pPr>
      <w:r>
        <w:rPr>
          <w:sz w:val="18"/>
        </w:rPr>
        <w:t>Digit '1.335' appears in LLM output but not in source text.</w:t>
      </w:r>
      <w:r>
        <w:rPr>
          <w:color w:val="999999"/>
          <w:sz w:val="16"/>
        </w:rPr>
        <w:t xml:space="preserve">  [validation.digit_mismatch_warnings]</w:t>
      </w:r>
    </w:p>
    <w:p>
      <w:pPr>
        <w:pStyle w:val="NWEDataNotes"/>
      </w:pPr>
      <w:r>
        <w:rPr>
          <w:sz w:val="18"/>
        </w:rPr>
        <w:t>Digit '1.878' appears in LLM output but not in source text.</w:t>
      </w:r>
      <w:r>
        <w:rPr>
          <w:color w:val="999999"/>
          <w:sz w:val="16"/>
        </w:rPr>
        <w:t xml:space="preserve">  [validation.digit_mismatch_warnings]</w:t>
      </w:r>
    </w:p>
    <w:p>
      <w:pPr>
        <w:pStyle w:val="NWEHeading2"/>
      </w:pPr>
      <w:r>
        <w:t>Quality Gate Dropped  (1)</w:t>
      </w:r>
    </w:p>
    <w:p>
      <w:pPr>
        <w:pStyle w:val="NWEDataNotes"/>
      </w:pPr>
      <w:r>
        <w:rPr>
          <w:sz w:val="18"/>
        </w:rPr>
        <w:t>15 of 90 items dropped by quality gate (min_chars=250, min_words=60).</w:t>
      </w:r>
      <w:r>
        <w:rPr>
          <w:color w:val="999999"/>
          <w:sz w:val="16"/>
        </w:rPr>
        <w:t xml:space="preserve">  [run_pipeline.run_phase1]</w:t>
      </w:r>
    </w:p>
    <w:p>
      <w:pPr>
        <w:pStyle w:val="NWEHeading2"/>
      </w:pPr>
      <w:r>
        <w:t>Quote Soft Verified  (2)</w:t>
      </w:r>
    </w:p>
    <w:p>
      <w:pPr>
        <w:pStyle w:val="NWEDataNotes"/>
      </w:pPr>
      <w:r>
        <w:rPr>
          <w:sz w:val="18"/>
        </w:rPr>
        <w:t>Quote 1 for Regeneron was soft_verified (Tier 2).</w:t>
      </w:r>
      <w:r>
        <w:rPr>
          <w:color w:val="999999"/>
          <w:sz w:val="16"/>
        </w:rPr>
        <w:t xml:space="preserve">  [run_pipeline.run_phase3]</w:t>
      </w:r>
    </w:p>
    <w:p>
      <w:pPr>
        <w:pStyle w:val="NWEDataNotes"/>
      </w:pPr>
      <w:r>
        <w:rPr>
          <w:sz w:val="18"/>
        </w:rPr>
        <w:t>Quote 2 for Regeneron was soft_verified (Tier 2).</w:t>
      </w:r>
      <w:r>
        <w:rPr>
          <w:color w:val="999999"/>
          <w:sz w:val="16"/>
        </w:rPr>
        <w:t xml:space="preserve">  [run_pipeline.run_phase3]</w:t>
      </w:r>
    </w:p>
    <w:p>
      <w:pPr>
        <w:pStyle w:val="NWEHeading2"/>
      </w:pPr>
      <w:r>
        <w:t>Rss Null Dates  (1)</w:t>
      </w:r>
    </w:p>
    <w:p>
      <w:pPr>
        <w:pStyle w:val="NWEDataNotes"/>
      </w:pPr>
      <w:r>
        <w:rPr>
          <w:sz w:val="18"/>
        </w:rPr>
        <w:t>50 of 106 RSS entries have no published date and bypassed lookback_days filtering.</w:t>
      </w:r>
      <w:r>
        <w:rPr>
          <w:color w:val="999999"/>
          <w:sz w:val="16"/>
        </w:rPr>
        <w:t xml:space="preserve">  [rss_ingest.ingest_rss]</w:t>
      </w:r>
    </w:p>
    <w:p>
      <w:pPr>
        <w:pStyle w:val="NWEHeading2"/>
      </w:pPr>
      <w:r>
        <w:t>Text Truncated  (1)</w:t>
      </w:r>
    </w:p>
    <w:p>
      <w:pPr>
        <w:pStyle w:val="NWEDataNotes"/>
      </w:pPr>
      <w:r>
        <w:rPr>
          <w:sz w:val="18"/>
        </w:rPr>
        <w:t>Source text for United Therapeutics truncated from 7916 to 6000 tokens.</w:t>
      </w:r>
      <w:r>
        <w:rPr>
          <w:color w:val="999999"/>
          <w:sz w:val="16"/>
        </w:rPr>
        <w:t xml:space="preserve">  [run_pipeline.run_phase3]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WEHeading1">
    <w:name w:val="NWE Heading 1"/>
    <w:basedOn w:val="Heading1"/>
    <w:rPr>
      <w:b/>
      <w:color w:val="1A237E"/>
      <w:sz w:val="36"/>
    </w:rPr>
  </w:style>
  <w:style w:type="paragraph" w:customStyle="1" w:styleId="NWEHeading2">
    <w:name w:val="NWE Heading 2"/>
    <w:basedOn w:val="Heading2"/>
    <w:rPr>
      <w:b/>
      <w:color w:val="2D3A8C"/>
      <w:sz w:val="28"/>
    </w:rPr>
  </w:style>
  <w:style w:type="paragraph" w:customStyle="1" w:styleId="NWEBody">
    <w:name w:val="NWE Body"/>
    <w:basedOn w:val="Normal"/>
    <w:rPr>
      <w:sz w:val="22"/>
    </w:rPr>
  </w:style>
  <w:style w:type="paragraph" w:customStyle="1" w:styleId="NWEQuote">
    <w:name w:val="NWE Quote"/>
    <w:basedOn w:val="Normal"/>
    <w:pPr>
      <w:ind w:left="720"/>
    </w:pPr>
    <w:rPr>
      <w:i/>
      <w:color w:val="555555"/>
      <w:sz w:val="20"/>
    </w:rPr>
  </w:style>
  <w:style w:type="paragraph" w:customStyle="1" w:styleId="NWEDataNotes">
    <w:name w:val="NWE Data Notes"/>
    <w:basedOn w:val="Normal"/>
    <w:rPr>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