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line="264" w:lineRule="auto"/>
        <w:pBdr>
          <w:bottom w:val="single" w:sz="6" w:space="1" w:color="C9A84C"/>
        </w:pBdr>
      </w:pPr>
      <w:r>
        <w:rPr>
          <w:rFonts w:ascii="Calibri" w:hAnsi="Calibri" w:cs="Calibri" w:eastAsia="Calibri"/>
          <w:b/>
          <w:i w:val="0"/>
          <w:color w:val="2D6A9F"/>
          <w:sz w:val="23"/>
        </w:rPr>
        <w:t>PROFESSIONAL SUMMARY</w:t>
      </w:r>
    </w:p>
    <w:p>
      <w:r>
        <w:t>This is a reference document used to verify the locked navy/gold header for Troy J. Hokanson's DOCX resumes, cover letters, and CVs. The header above must match the UHG reference exactly: full-bleed navy bar with zero whitespace above, white serif name centered, inset gold horizontal rule, single gold contact row beneath, no subtitle line. Canonical repository date ranges are University of Phoenix (2007-2025) and investigative service (2010-2011, 2016-2021).</w:t>
      </w:r>
    </w:p>
    <w:p>
      <w:pPr>
        <w:spacing w:before="160" w:after="40" w:line="264" w:lineRule="auto"/>
        <w:pBdr>
          <w:bottom w:val="single" w:sz="6" w:space="1" w:color="C9A84C"/>
        </w:pBdr>
      </w:pPr>
      <w:r>
        <w:rPr>
          <w:rFonts w:ascii="Calibri" w:hAnsi="Calibri" w:cs="Calibri" w:eastAsia="Calibri"/>
          <w:b/>
          <w:i w:val="0"/>
          <w:color w:val="2D6A9F"/>
          <w:sz w:val="23"/>
        </w:rPr>
        <w:t>TEACHING EXPERIENCE</w:t>
      </w:r>
    </w:p>
    <w:p>
      <w:pPr>
        <w:spacing w:before="120" w:after="0" w:line="264" w:lineRule="auto"/>
      </w:pPr>
      <w:r>
        <w:rPr>
          <w:rFonts w:ascii="Calibri" w:hAnsi="Calibri" w:cs="Calibri" w:eastAsia="Calibri"/>
          <w:b/>
          <w:i w:val="0"/>
          <w:color w:val="C9A84C"/>
          <w:sz w:val="22"/>
        </w:rPr>
        <w:t>Adjunct Faculty, Criminal Justice</w:t>
      </w:r>
    </w:p>
    <w:p>
      <w:pPr>
        <w:spacing w:before="0" w:after="40" w:line="264" w:lineRule="auto"/>
      </w:pPr>
      <w:r>
        <w:rPr>
          <w:rFonts w:ascii="Calibri" w:hAnsi="Calibri" w:cs="Calibri" w:eastAsia="Calibri"/>
          <w:b w:val="0"/>
          <w:i/>
          <w:color w:val="141414"/>
          <w:sz w:val="21"/>
        </w:rPr>
        <w:t>University of Phoenix</w:t>
      </w:r>
      <w:r>
        <w:rPr>
          <w:rFonts w:ascii="Calibri" w:hAnsi="Calibri" w:cs="Calibri" w:eastAsia="Calibri"/>
          <w:b w:val="0"/>
          <w:i w:val="0"/>
          <w:color w:val="555555"/>
          <w:sz w:val="20"/>
        </w:rPr>
        <w:t xml:space="preserve">    2007-2025</w:t>
      </w:r>
    </w:p>
    <w:p>
      <w:pPr>
        <w:spacing w:before="160" w:after="40" w:line="264" w:lineRule="auto"/>
        <w:pBdr>
          <w:bottom w:val="single" w:sz="6" w:space="1" w:color="C9A84C"/>
        </w:pBdr>
      </w:pPr>
      <w:r>
        <w:rPr>
          <w:rFonts w:ascii="Calibri" w:hAnsi="Calibri" w:cs="Calibri" w:eastAsia="Calibri"/>
          <w:b/>
          <w:i w:val="0"/>
          <w:color w:val="2D6A9F"/>
          <w:sz w:val="23"/>
        </w:rPr>
        <w:t>PROFESSIONAL EXPERIENCE</w:t>
      </w:r>
    </w:p>
    <w:p>
      <w:pPr>
        <w:spacing w:before="120" w:after="0" w:line="264" w:lineRule="auto"/>
      </w:pPr>
      <w:r>
        <w:rPr>
          <w:rFonts w:ascii="Calibri" w:hAnsi="Calibri" w:cs="Calibri" w:eastAsia="Calibri"/>
          <w:b/>
          <w:i w:val="0"/>
          <w:color w:val="C9A84C"/>
          <w:sz w:val="22"/>
        </w:rPr>
        <w:t>Investigative Service Sample</w:t>
      </w:r>
    </w:p>
    <w:p>
      <w:pPr>
        <w:spacing w:before="0" w:after="40" w:line="264" w:lineRule="auto"/>
      </w:pPr>
      <w:r>
        <w:rPr>
          <w:rFonts w:ascii="Calibri" w:hAnsi="Calibri" w:cs="Calibri" w:eastAsia="Calibri"/>
          <w:b w:val="0"/>
          <w:i/>
          <w:color w:val="141414"/>
          <w:sz w:val="21"/>
        </w:rPr>
        <w:t>Reference chronology verification entry</w:t>
      </w:r>
      <w:r>
        <w:rPr>
          <w:rFonts w:ascii="Calibri" w:hAnsi="Calibri" w:cs="Calibri" w:eastAsia="Calibri"/>
          <w:b w:val="0"/>
          <w:i w:val="0"/>
          <w:color w:val="555555"/>
          <w:sz w:val="20"/>
        </w:rPr>
        <w:t xml:space="preserve">    2010-2011</w:t>
      </w:r>
    </w:p>
    <w:p>
      <w:pPr>
        <w:spacing w:before="120" w:after="0" w:line="264" w:lineRule="auto"/>
      </w:pPr>
      <w:r>
        <w:rPr>
          <w:rFonts w:ascii="Calibri" w:hAnsi="Calibri" w:cs="Calibri" w:eastAsia="Calibri"/>
          <w:b/>
          <w:i w:val="0"/>
          <w:color w:val="C9A84C"/>
          <w:sz w:val="22"/>
        </w:rPr>
        <w:t>Detective / Digital Forensic Examiner</w:t>
      </w:r>
    </w:p>
    <w:p>
      <w:pPr>
        <w:spacing w:before="0" w:after="40" w:line="264" w:lineRule="auto"/>
      </w:pPr>
      <w:r>
        <w:rPr>
          <w:rFonts w:ascii="Calibri" w:hAnsi="Calibri" w:cs="Calibri" w:eastAsia="Calibri"/>
          <w:b w:val="0"/>
          <w:i/>
          <w:color w:val="141414"/>
          <w:sz w:val="21"/>
        </w:rPr>
        <w:t>Lakeville Police Department  |  Dakota County Electronic Crimes Task Force</w:t>
      </w:r>
      <w:r>
        <w:rPr>
          <w:rFonts w:ascii="Calibri" w:hAnsi="Calibri" w:cs="Calibri" w:eastAsia="Calibri"/>
          <w:b w:val="0"/>
          <w:i w:val="0"/>
          <w:color w:val="555555"/>
          <w:sz w:val="20"/>
        </w:rPr>
        <w:t xml:space="preserve">    2016-2021</w:t>
      </w:r>
    </w:p>
    <w:p>
      <w:pPr>
        <w:pStyle w:val="ListBullet"/>
        <w:spacing w:before="0" w:after="40" w:line="276" w:lineRule="auto"/>
        <w:ind w:left="259" w:hanging="259"/>
      </w:pPr>
      <w:r>
        <w:rPr>
          <w:rFonts w:ascii="Calibri" w:hAnsi="Calibri" w:cs="Calibri" w:eastAsia="Calibri"/>
          <w:b w:val="0"/>
          <w:i w:val="0"/>
          <w:color w:val="141414"/>
          <w:sz w:val="21"/>
        </w:rPr>
        <w:t>Sample bullet to verify body styling stays consistent across builds.</w:t>
      </w:r>
    </w:p>
    <w:p>
      <w:pPr>
        <w:pStyle w:val="ListBullet"/>
        <w:spacing w:before="0" w:after="40" w:line="276" w:lineRule="auto"/>
        <w:ind w:left="259" w:hanging="259"/>
      </w:pPr>
      <w:r>
        <w:rPr>
          <w:rFonts w:ascii="Calibri" w:hAnsi="Calibri" w:cs="Calibri" w:eastAsia="Calibri"/>
          <w:b w:val="0"/>
          <w:i w:val="0"/>
          <w:color w:val="141414"/>
          <w:sz w:val="21"/>
        </w:rPr>
        <w:t>Second sample bullet to confirm bullet alignment and line spacing.</w:t>
      </w:r>
    </w:p>
    <w:sectPr w:rsidR="00FC693F" w:rsidRPr="0006063C" w:rsidSect="00034616">
      <w:headerReference w:type="default" r:id="rId9"/>
      <w:pgSz w:w="12240" w:h="15840"/>
      <w:pgMar w:top="2232" w:right="864" w:bottom="792" w:left="864"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13968" w:type="dxa"/>
      <w:tblInd w:w="-1728" w:type="dxa"/>
      <w:tblLayout w:type="fixed"/>
    </w:tblPr>
    <w:tblGrid>
      <w:gridCol w:w="12240"/>
    </w:tblGrid>
    <w:tr>
      <w:tc>
        <w:tcPr>
          <w:tcW w:type="dxa" w:w="13968"/>
          <w:shd w:val="clear" w:color="auto" w:fill="0D1B2A"/>
          <w:tcBorders>
            <w:top w:val="nil"/>
            <w:left w:val="nil"/>
            <w:bottom w:val="nil"/>
            <w:right w:val="nil"/>
            <w:insideH w:val="nil"/>
            <w:insideV w:val="nil"/>
          </w:tcBorders>
          <w:tcMar>
            <w:top w:w="260" w:type="dxa"/>
            <w:left w:w="200" w:type="dxa"/>
            <w:bottom w:w="240" w:type="dxa"/>
            <w:right w:w="200" w:type="dxa"/>
          </w:tcMar>
        </w:tcPr>
        <w:p>
          <w:pPr>
            <w:spacing w:before="0" w:after="0" w:line="240" w:lineRule="auto"/>
            <w:jc w:val="center"/>
            <w:shd w:val="clear" w:color="auto" w:fill="0D1B2A"/>
          </w:pPr>
          <w:r>
            <w:pict>
              <v:rect id="TroyLockedHeaderNavyBackground" fillcolor="#0D1B2A" stroked="f" style="position:absolute;margin-left:-90pt;margin-top:-28pt;width:800pt;height:112pt;z-index:-251654144;mso-position-horizontal:absolute;mso-position-horizontal-relative:page;mso-position-vertical:absolute;mso-position-vertical-relative:page">
                <v:fill color="#0D1B2A"/>
              </v:rect>
            </w:pict>
          </w:r>
          <w:r>
            <w:rPr>
              <w:rFonts w:ascii="Garamond" w:hAnsi="Garamond" w:cs="Garamond" w:eastAsia="Garamond"/>
              <w:b/>
              <w:i w:val="0"/>
              <w:color w:val="FFFFFF"/>
              <w:sz w:val="56"/>
            </w:rPr>
            <w:t>Troy J. Hokanson</w:t>
          </w:r>
        </w:p>
        <w:p>
          <w:pPr>
            <w:spacing w:before="80" w:after="80" w:line="240" w:lineRule="auto"/>
            <w:jc w:val="center"/>
            <w:shd w:val="clear" w:color="auto" w:fill="0D1B2A"/>
          </w:pPr>
          <w:r>
            <w:rPr>
              <w:rFonts w:ascii="Calibri" w:hAnsi="Calibri" w:cs="Calibri" w:eastAsia="Calibri"/>
              <w:b w:val="0"/>
              <w:i w:val="0"/>
              <w:color w:val="C9A84C"/>
              <w:sz w:val="16"/>
            </w:rPr>
            <w:t>──────────────────────────────────────────────────────────────────────────────</w:t>
          </w:r>
        </w:p>
        <w:p>
          <w:pPr>
            <w:spacing w:before="40" w:after="0" w:line="276" w:lineRule="auto"/>
            <w:jc w:val="center"/>
            <w:shd w:val="clear" w:color="auto" w:fill="0D1B2A"/>
          </w:pPr>
          <w:r>
            <w:rPr>
              <w:rFonts w:ascii="Calibri" w:hAnsi="Calibri" w:cs="Calibri" w:eastAsia="Calibri"/>
              <w:b w:val="0"/>
              <w:i w:val="0"/>
              <w:color w:val="C9A84C"/>
              <w:sz w:val="17"/>
            </w:rPr>
            <w:t>Lakeville, MN</w:t>
          </w:r>
          <w:r>
            <w:rPr>
              <w:rFonts w:ascii="Calibri" w:hAnsi="Calibri" w:cs="Calibri" w:eastAsia="Calibri"/>
              <w:b w:val="0"/>
              <w:i w:val="0"/>
              <w:color w:val="C9A84C"/>
              <w:sz w:val="17"/>
            </w:rPr>
            <w:t xml:space="preserve">  |  </w:t>
          </w:r>
          <w:hyperlink r:id="rId1">
            <w:r>
              <w:rPr>
                <w:rFonts w:ascii="Calibri" w:hAnsi="Calibri" w:cs="Calibri"/>
                <w:sz w:val="17"/>
                <w:szCs w:val="17"/>
                <w:color w:val="C9A84C"/>
              </w:rPr>
              <w:t xml:space="preserve">TroyHokanson@iCloud.com</w:t>
            </w:r>
          </w:hyperlink>
          <w:r>
            <w:rPr>
              <w:rFonts w:ascii="Calibri" w:hAnsi="Calibri" w:cs="Calibri" w:eastAsia="Calibri"/>
              <w:b w:val="0"/>
              <w:i w:val="0"/>
              <w:color w:val="C9A84C"/>
              <w:sz w:val="17"/>
            </w:rPr>
            <w:t xml:space="preserve">  |  </w:t>
          </w:r>
          <w:hyperlink r:id="rId2">
            <w:r>
              <w:rPr>
                <w:rFonts w:ascii="Calibri" w:hAnsi="Calibri" w:cs="Calibri"/>
                <w:sz w:val="17"/>
                <w:szCs w:val="17"/>
                <w:color w:val="C9A84C"/>
              </w:rPr>
              <w:t xml:space="preserve">linkedin.com/in/troyhokanson</w:t>
            </w:r>
          </w:hyperlink>
          <w:r>
            <w:rPr>
              <w:rFonts w:ascii="Calibri" w:hAnsi="Calibri" w:cs="Calibri" w:eastAsia="Calibri"/>
              <w:b w:val="0"/>
              <w:i w:val="0"/>
              <w:color w:val="C9A84C"/>
              <w:sz w:val="17"/>
            </w:rPr>
            <w:t xml:space="preserve">  |  </w:t>
          </w:r>
          <w:hyperlink r:id="rId3">
            <w:r>
              <w:rPr>
                <w:rFonts w:ascii="Calibri" w:hAnsi="Calibri" w:cs="Calibri"/>
                <w:sz w:val="17"/>
                <w:szCs w:val="17"/>
                <w:color w:val="C9A84C"/>
              </w:rPr>
              <w:t xml:space="preserve">Investigative Portfolio</w:t>
            </w:r>
          </w:hyperlink>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TroyHokanson@iCloud.com" TargetMode="External"/><Relationship Id="rId2" Type="http://schemas.openxmlformats.org/officeDocument/2006/relationships/hyperlink" Target="https://www.linkedin.com/in/troyhokanson" TargetMode="External"/><Relationship Id="rId3" Type="http://schemas.openxmlformats.org/officeDocument/2006/relationships/hyperlink" Target="https://troy-hokanson.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