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SUMMARY</w:t>
      </w:r>
    </w:p>
    <w:p>
      <w:r>
        <w:t>This is a reference document used to verify the locked navy/gold header for Troy J. Hokanson's DOCX resumes, cover letters, and CVs. The header above must match the UHG reference exactly: full-bleed navy bar with zero whitespace above, white serif name centered, inset gold horizontal rule, single gold contact row beneath, no subtitle line.</w:t>
      </w:r>
    </w:p>
    <w:p>
      <w:pPr>
        <w:spacing w:before="160" w:after="40" w:line="264" w:lineRule="auto"/>
        <w:pBdr>
          <w:bottom w:val="single" w:sz="6" w:space="1" w:color="C9A84C"/>
        </w:pBdr>
      </w:pPr>
      <w:r>
        <w:rPr>
          <w:rFonts w:ascii="Calibri" w:hAnsi="Calibri" w:cs="Calibri" w:eastAsia="Calibri"/>
          <w:b/>
          <w:i w:val="0"/>
          <w:color w:val="2D6A9F"/>
          <w:sz w:val="23"/>
        </w:rPr>
        <w:t>PROFESSIONAL EXPERIENCE</w:t>
      </w:r>
    </w:p>
    <w:p>
      <w:pPr>
        <w:spacing w:before="120" w:after="0" w:line="264" w:lineRule="auto"/>
      </w:pPr>
      <w:r>
        <w:rPr>
          <w:rFonts w:ascii="Calibri" w:hAnsi="Calibri" w:cs="Calibri" w:eastAsia="Calibri"/>
          <w:b/>
          <w:i w:val="0"/>
          <w:color w:val="C9A84C"/>
          <w:sz w:val="22"/>
        </w:rPr>
        <w:t>Detective / Digital Forensic Examiner</w:t>
      </w:r>
    </w:p>
    <w:p>
      <w:pPr>
        <w:spacing w:before="0" w:after="40" w:line="264" w:lineRule="auto"/>
      </w:pPr>
      <w:r>
        <w:rPr>
          <w:rFonts w:ascii="Calibri" w:hAnsi="Calibri" w:cs="Calibri" w:eastAsia="Calibri"/>
          <w:b w:val="0"/>
          <w:i/>
          <w:color w:val="141414"/>
          <w:sz w:val="21"/>
        </w:rPr>
        <w:t>Lakeville Police Department  |  Dakota County Electronic Crimes Task Force</w:t>
      </w:r>
      <w:r>
        <w:rPr>
          <w:rFonts w:ascii="Calibri" w:hAnsi="Calibri" w:cs="Calibri" w:eastAsia="Calibri"/>
          <w:b w:val="0"/>
          <w:i w:val="0"/>
          <w:color w:val="555555"/>
          <w:sz w:val="20"/>
        </w:rPr>
        <w:t xml:space="preserve">    September 2016 - December 2021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Sample bullet to verify body styling stays consistent across builds.</w:t>
      </w:r>
    </w:p>
    <w:p>
      <w:pPr>
        <w:pStyle w:val="ListBullet"/>
        <w:spacing w:before="0" w:after="40" w:line="276" w:lineRule="auto"/>
        <w:ind w:left="259" w:hanging="259"/>
      </w:pPr>
      <w:r>
        <w:rPr>
          <w:rFonts w:ascii="Calibri" w:hAnsi="Calibri" w:cs="Calibri" w:eastAsia="Calibri"/>
          <w:b w:val="0"/>
          <w:i w:val="0"/>
          <w:color w:val="141414"/>
          <w:sz w:val="21"/>
        </w:rPr>
        <w:t>Second sample bullet to confirm bullet alignment and line spacing.</w:t>
      </w:r>
    </w:p>
    <w:sectPr w:rsidR="00FC693F" w:rsidRPr="0006063C" w:rsidSect="00034616">
      <w:headerReference w:type="default" r:id="rId9"/>
      <w:pgSz w:w="12240" w:h="15840"/>
      <w:pgMar w:top="2232" w:right="864" w:bottom="792" w:left="864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W w:w="12240" w:type="dxa"/>
      <w:tblInd w:w="-864" w:type="dxa"/>
      <w:tblLayout w:type="fixed"/>
    </w:tblPr>
    <w:tblGrid>
      <w:gridCol w:w="12240"/>
    </w:tblGrid>
    <w:tr>
      <w:tc>
        <w:tcPr>
          <w:tcW w:type="dxa" w:w="12240"/>
          <w:shd w:val="clear" w:color="auto" w:fill="0D1B2A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260" w:type="dxa"/>
            <w:left w:w="200" w:type="dxa"/>
            <w:bottom w:w="200" w:type="dxa"/>
            <w:right w:w="200" w:type="dxa"/>
          </w:tcMar>
        </w:tcPr>
        <w:p>
          <w:pPr>
            <w:spacing w:before="0" w:after="0" w:line="240" w:lineRule="auto"/>
            <w:jc w:val="center"/>
          </w:pPr>
          <w:r>
            <w:rPr>
              <w:rFonts w:ascii="Garamond" w:hAnsi="Garamond" w:cs="Garamond" w:eastAsia="Garamond"/>
              <w:b/>
              <w:i w:val="0"/>
              <w:color w:val="FFFFFF"/>
              <w:sz w:val="56"/>
            </w:rPr>
            <w:t>Troy J. Hokanson</w:t>
          </w:r>
        </w:p>
        <w:p>
          <w:pPr>
            <w:spacing w:before="80" w:after="120" w:line="240" w:lineRule="auto"/>
            <w:ind w:left="1296" w:right="1296"/>
            <w:jc w:val="center"/>
            <w:pBdr>
              <w:bottom w:val="single" w:sz="6" w:space="1" w:color="C9A84C"/>
            </w:pBdr>
          </w:pPr>
          <w:r>
            <w:rPr>
              <w:rFonts w:ascii="Calibri" w:hAnsi="Calibri" w:cs="Calibri" w:eastAsia="Calibri"/>
              <w:b w:val="0"/>
              <w:i w:val="0"/>
              <w:color w:val="0D1B2A"/>
              <w:sz w:val="4"/>
            </w:rPr>
            <w:t xml:space="preserve"> </w:t>
          </w:r>
        </w:p>
        <w:p>
          <w:pPr>
            <w:spacing w:before="40" w:after="0" w:line="264" w:lineRule="auto"/>
            <w:jc w:val="center"/>
          </w:pPr>
          <w:r>
            <w:rPr>
              <w:rFonts w:ascii="Calibri" w:hAnsi="Calibri" w:cs="Calibri" w:eastAsia="Calibri"/>
              <w:b w:val="0"/>
              <w:i w:val="0"/>
              <w:color w:val="C9A84C"/>
              <w:sz w:val="20"/>
            </w:rPr>
            <w:t>Lakeville, MN   |   612.352.8647   |   TroyHokanson@iCloud.com   |   linkedin.com/in/troyhokanson   |   Investigative Portfolio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