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89F06" w14:textId="40822916" w:rsidR="0066742D" w:rsidRPr="000C08BF" w:rsidRDefault="00E65788" w:rsidP="000C08BF">
      <w:pPr>
        <w:pStyle w:val="Heading1"/>
        <w:rPr>
          <w:sz w:val="36"/>
          <w:szCs w:val="36"/>
        </w:rPr>
      </w:pPr>
      <w:r w:rsidRPr="000C08BF">
        <w:rPr>
          <w:sz w:val="36"/>
          <w:szCs w:val="36"/>
        </w:rPr>
        <w:t>Reference Lists</w:t>
      </w:r>
    </w:p>
    <w:p w14:paraId="0865E288" w14:textId="47B027EA" w:rsidR="00A47678" w:rsidRPr="00A47678" w:rsidRDefault="00E65788" w:rsidP="00A47678">
      <w:pPr>
        <w:pStyle w:val="Heading2"/>
        <w:rPr>
          <w:sz w:val="32"/>
          <w:szCs w:val="32"/>
        </w:rPr>
      </w:pPr>
      <w:r w:rsidRPr="00A47678">
        <w:rPr>
          <w:sz w:val="32"/>
          <w:szCs w:val="32"/>
        </w:rPr>
        <w:t>Construction Sector</w:t>
      </w:r>
    </w:p>
    <w:p w14:paraId="78D4390A" w14:textId="60B653CC" w:rsidR="0066742D" w:rsidRDefault="00E65788">
      <w:pPr>
        <w:rPr>
          <w:rtl/>
        </w:rPr>
      </w:pPr>
      <w:r>
        <w:t>European Commission, Directorate‑General for Internal Market, Industry, Entrepreneurship and SMEs. (2023). *Transition pathway for construction* (Publication No. ET‑05‑23‑123‑EN‑N). Publications Office of the European Union.</w:t>
      </w:r>
      <w:r w:rsidR="000C08BF">
        <w:rPr>
          <w:rtl/>
        </w:rPr>
        <w:br/>
      </w:r>
      <w:hyperlink r:id="rId6" w:history="1">
        <w:r w:rsidR="00A47678" w:rsidRPr="002367F1">
          <w:rPr>
            <w:rStyle w:val="Hyperlink"/>
          </w:rPr>
          <w:t>https://ec.europa.eu/docsroom/documents/53854</w:t>
        </w:r>
      </w:hyperlink>
    </w:p>
    <w:p w14:paraId="009D2AF3" w14:textId="52FC7C89" w:rsidR="0066742D" w:rsidRDefault="00E65788">
      <w:pPr>
        <w:rPr>
          <w:rtl/>
        </w:rPr>
      </w:pPr>
      <w:r>
        <w:t xml:space="preserve">European Commission, Directorate‑General for Internal Market, Industry, Entrepreneurship and SMEs. (2021). *Commission staff working document: Scenarios for a transition pathway for a resilient, greener and more digital construction ecosystem* (SWD(2021) 47996). </w:t>
      </w:r>
      <w:hyperlink r:id="rId7" w:history="1">
        <w:r w:rsidR="00A47678" w:rsidRPr="002367F1">
          <w:rPr>
            <w:rStyle w:val="Hyperlink"/>
          </w:rPr>
          <w:t>https://ec.europa.eu/docsroom/documents/47996</w:t>
        </w:r>
      </w:hyperlink>
    </w:p>
    <w:p w14:paraId="28855890" w14:textId="4652B27D" w:rsidR="0066742D" w:rsidRDefault="00E65788">
      <w:pPr>
        <w:rPr>
          <w:rtl/>
        </w:rPr>
      </w:pPr>
      <w:r>
        <w:t xml:space="preserve">European Commission. (2021). *Updating the 2020 new industrial strategy: Building a stronger single market for Europe’s recovery* (COM(2021) 350 final). </w:t>
      </w:r>
      <w:hyperlink r:id="rId8" w:history="1">
        <w:r w:rsidR="00A47678" w:rsidRPr="002367F1">
          <w:rPr>
            <w:rStyle w:val="Hyperlink"/>
          </w:rPr>
          <w:t>https://eur-lex.europa.eu/legal-content/EN/TXT/?uri=CELEX:52021DC0350</w:t>
        </w:r>
      </w:hyperlink>
    </w:p>
    <w:p w14:paraId="1EA34D34" w14:textId="7F6C5F0D" w:rsidR="0066742D" w:rsidRDefault="00E65788">
      <w:pPr>
        <w:rPr>
          <w:rtl/>
        </w:rPr>
      </w:pPr>
      <w:r>
        <w:t xml:space="preserve">European Commission. (2020). *A Renovation Wave for Europe: Greening our buildings, creating jobs, improving lives* (COM(2020) 662 final). </w:t>
      </w:r>
      <w:hyperlink r:id="rId9" w:history="1">
        <w:r w:rsidR="00A47678" w:rsidRPr="002367F1">
          <w:rPr>
            <w:rStyle w:val="Hyperlink"/>
          </w:rPr>
          <w:t>https://eur-lex.europa.eu/legal-content/EN/TXT/?uri=CELEX:52020DC0662</w:t>
        </w:r>
      </w:hyperlink>
    </w:p>
    <w:p w14:paraId="79D58E67" w14:textId="0CECA3C4" w:rsidR="0066742D" w:rsidRDefault="00E65788">
      <w:pPr>
        <w:rPr>
          <w:rtl/>
        </w:rPr>
      </w:pPr>
      <w:r>
        <w:t xml:space="preserve">European Commission. (2019). *The European Green Deal* (COM(2019) 640 final). </w:t>
      </w:r>
      <w:hyperlink r:id="rId10" w:history="1">
        <w:r w:rsidR="00A47678" w:rsidRPr="002367F1">
          <w:rPr>
            <w:rStyle w:val="Hyperlink"/>
          </w:rPr>
          <w:t>https://eur-lex.europa.eu/legal-content/EN/TXT/?uri=CELEX:52019DC0640</w:t>
        </w:r>
      </w:hyperlink>
    </w:p>
    <w:p w14:paraId="10C50B0E" w14:textId="55DEB946" w:rsidR="0066742D" w:rsidRDefault="00E65788" w:rsidP="00A47678">
      <w:pPr>
        <w:rPr>
          <w:rtl/>
        </w:rPr>
      </w:pPr>
      <w:r>
        <w:t>European Commission, Directorate‑General for Internal Market, Industry, Entrepreneurship and SMEs. (2022). *Staff working document: Impact assessment – Revision of the Construction Products Regulation* (</w:t>
      </w:r>
      <w:proofErr w:type="gramStart"/>
      <w:r>
        <w:t>SWD(</w:t>
      </w:r>
      <w:proofErr w:type="gramEnd"/>
      <w:r>
        <w:t xml:space="preserve">2022) 87 final). </w:t>
      </w:r>
      <w:hyperlink r:id="rId11" w:history="1">
        <w:r w:rsidR="00A47678" w:rsidRPr="002367F1">
          <w:rPr>
            <w:rStyle w:val="Hyperlink"/>
          </w:rPr>
          <w:t>https://ec.europa.eu/info/law/better-regulation/have-your-say/initiatives/12458-Construction-products-review-of-EU-rules_en</w:t>
        </w:r>
      </w:hyperlink>
    </w:p>
    <w:p w14:paraId="6B3F183E" w14:textId="7CDB23D8" w:rsidR="00A47678" w:rsidRDefault="00E65788" w:rsidP="00A47678">
      <w:pPr>
        <w:rPr>
          <w:rtl/>
        </w:rPr>
      </w:pPr>
      <w:r>
        <w:t xml:space="preserve">European Commission. (2010). *Directive 2010/31/EU of the European Parliament and of the Council of 19 May 2010 on the energy performance of buildings (recast)*. Official Journal of the European Union, L 153, 13–35. </w:t>
      </w:r>
      <w:hyperlink r:id="rId12" w:history="1">
        <w:r w:rsidR="00A47678" w:rsidRPr="002367F1">
          <w:rPr>
            <w:rStyle w:val="Hyperlink"/>
          </w:rPr>
          <w:t>https://eur-lex.europa.eu/eli/dir/2010/31/oj</w:t>
        </w:r>
      </w:hyperlink>
    </w:p>
    <w:p w14:paraId="5305EE1C" w14:textId="07639BA0" w:rsidR="00A47678" w:rsidRDefault="00E65788" w:rsidP="00A47678">
      <w:pPr>
        <w:rPr>
          <w:rtl/>
        </w:rPr>
      </w:pPr>
      <w:r>
        <w:t xml:space="preserve">Joint Research Centre. (2020). *Level(s): A common EU framework of core sustainability indicators for office and residential buildings – Parts 1–6*. Publications Office of the European </w:t>
      </w:r>
      <w:r w:rsidR="00A47678">
        <w:t xml:space="preserve">Union. </w:t>
      </w:r>
      <w:hyperlink r:id="rId13" w:history="1">
        <w:r w:rsidR="00AB6AD1" w:rsidRPr="002367F1">
          <w:rPr>
            <w:rStyle w:val="Hyperlink"/>
          </w:rPr>
          <w:t>https://susproc.jrc.ec.europa.eu/product-bureau/</w:t>
        </w:r>
      </w:hyperlink>
    </w:p>
    <w:p w14:paraId="12B77B5B" w14:textId="7BC0EE3F" w:rsidR="0066742D" w:rsidRDefault="00E65788">
      <w:pPr>
        <w:rPr>
          <w:rtl/>
        </w:rPr>
      </w:pPr>
      <w:r>
        <w:t xml:space="preserve">High Level Construction Forum. (2022). *3rd HLCF meeting report*. Directorate‑General for Internal Market, Industry, Entrepreneurship and SMEs. </w:t>
      </w:r>
      <w:hyperlink r:id="rId14" w:history="1">
        <w:r w:rsidR="00AB6AD1" w:rsidRPr="002367F1">
          <w:rPr>
            <w:rStyle w:val="Hyperlink"/>
          </w:rPr>
          <w:t>https://single-market-economy.ec.europa.eu/document/download/0e862e76-ac93-43b9-a411-241fb00fe30c_en?filename=3rd%20HLCF_Meeting%20Report.pdf</w:t>
        </w:r>
      </w:hyperlink>
    </w:p>
    <w:p w14:paraId="454F6730" w14:textId="77777777" w:rsidR="00E65788" w:rsidRDefault="00E65788" w:rsidP="00E65788">
      <w:pPr>
        <w:rPr>
          <w:rtl/>
        </w:rPr>
      </w:pPr>
      <w:r>
        <w:lastRenderedPageBreak/>
        <w:t xml:space="preserve">European Construction Sector Observatory. (2021). *Digitalisation in the construction sector* (Analytical Report). Directorate‑General for Internal Market, Industry, Entrepreneurship and SMEs. </w:t>
      </w:r>
      <w:hyperlink r:id="rId15" w:history="1">
        <w:r w:rsidR="00AB6AD1" w:rsidRPr="002367F1">
          <w:rPr>
            <w:rStyle w:val="Hyperlink"/>
          </w:rPr>
          <w:t>https://ec.europa.eu/docsroom/documents/43744</w:t>
        </w:r>
      </w:hyperlink>
    </w:p>
    <w:p w14:paraId="748B07A0" w14:textId="4BD8555B" w:rsidR="00A47678" w:rsidRDefault="00E65788" w:rsidP="00E65788">
      <w:r>
        <w:t xml:space="preserve">European Commission, Directorate‑General for Internal Market, Industry, Entrepreneurship and SMEs. (2025). *Analysis of the adoption of BIM across the EU*. </w:t>
      </w:r>
      <w:hyperlink r:id="rId16" w:history="1">
        <w:r w:rsidR="00A47678" w:rsidRPr="002367F1">
          <w:rPr>
            <w:rStyle w:val="Hyperlink"/>
          </w:rPr>
          <w:t>https://ec.europa.eu/docsroom/documents/64154</w:t>
        </w:r>
      </w:hyperlink>
    </w:p>
    <w:p w14:paraId="4C002FE2" w14:textId="77777777" w:rsidR="00AF1DDC" w:rsidRDefault="00AF1DDC" w:rsidP="00A47678">
      <w:pPr>
        <w:pStyle w:val="Heading2"/>
        <w:rPr>
          <w:sz w:val="32"/>
          <w:szCs w:val="32"/>
        </w:rPr>
      </w:pPr>
    </w:p>
    <w:p w14:paraId="73813E6D" w14:textId="340C03F2" w:rsidR="00A47678" w:rsidRPr="00A47678" w:rsidRDefault="00E65788" w:rsidP="00A47678">
      <w:pPr>
        <w:pStyle w:val="Heading2"/>
        <w:rPr>
          <w:sz w:val="32"/>
          <w:szCs w:val="32"/>
        </w:rPr>
      </w:pPr>
      <w:r w:rsidRPr="00A47678">
        <w:rPr>
          <w:sz w:val="32"/>
          <w:szCs w:val="32"/>
        </w:rPr>
        <w:t>Electronics Sector</w:t>
      </w:r>
    </w:p>
    <w:p w14:paraId="286CCA5D" w14:textId="544A76B3" w:rsidR="00A47678" w:rsidRDefault="00E65788" w:rsidP="00A47678">
      <w:pPr>
        <w:rPr>
          <w:rtl/>
        </w:rPr>
      </w:pPr>
      <w:r>
        <w:t xml:space="preserve">European Commission. (2022a). *A Chips Act for Europe* (COM(2022) 45 final). </w:t>
      </w:r>
      <w:hyperlink r:id="rId17" w:history="1">
        <w:r w:rsidR="00A47678" w:rsidRPr="002367F1">
          <w:rPr>
            <w:rStyle w:val="Hyperlink"/>
          </w:rPr>
          <w:t>https://eur-lex.europa.eu/legal-content/EN/TXT/?uri=CELEX:52022DC0045</w:t>
        </w:r>
      </w:hyperlink>
    </w:p>
    <w:p w14:paraId="3E703798" w14:textId="5595F900" w:rsidR="0066742D" w:rsidRDefault="00E65788">
      <w:pPr>
        <w:rPr>
          <w:rtl/>
        </w:rPr>
      </w:pPr>
      <w:r>
        <w:t xml:space="preserve">European Commission. (2022b). *Proposal for a regulation establishing a framework of measures for strengthening Europe’s semiconductor ecosystem (Chips Act)* (COM(2022) 46 final). </w:t>
      </w:r>
      <w:hyperlink r:id="rId18" w:history="1">
        <w:r w:rsidR="00A47678" w:rsidRPr="002367F1">
          <w:rPr>
            <w:rStyle w:val="Hyperlink"/>
          </w:rPr>
          <w:t>https://eur-lex.europa.eu/legal-content/EN/TXT/?uri=CELEX:52022PC0046</w:t>
        </w:r>
      </w:hyperlink>
    </w:p>
    <w:p w14:paraId="72119995" w14:textId="454DBE91" w:rsidR="0066742D" w:rsidRDefault="00E65788">
      <w:pPr>
        <w:rPr>
          <w:rtl/>
        </w:rPr>
      </w:pPr>
      <w:r>
        <w:t xml:space="preserve">European Commission. (2021). *2030 Digital Compass: The European way for the Digital Decade* (COM(2021) 118 final). </w:t>
      </w:r>
      <w:hyperlink r:id="rId19" w:history="1">
        <w:r w:rsidR="00A47678" w:rsidRPr="002367F1">
          <w:rPr>
            <w:rStyle w:val="Hyperlink"/>
          </w:rPr>
          <w:t>https://eur-lex.europa.eu/legal-content/EN/TXT/?uri=CELEX:52021DC0118</w:t>
        </w:r>
      </w:hyperlink>
    </w:p>
    <w:p w14:paraId="283DE164" w14:textId="7526B1B3" w:rsidR="0066742D" w:rsidRDefault="00E65788">
      <w:pPr>
        <w:rPr>
          <w:rtl/>
        </w:rPr>
      </w:pPr>
      <w:r>
        <w:t xml:space="preserve">European Commission. (2020). *A New Industrial Strategy for Europe* (COM(2020) 102 final). </w:t>
      </w:r>
      <w:hyperlink r:id="rId20" w:history="1">
        <w:r w:rsidR="00A47678" w:rsidRPr="002367F1">
          <w:rPr>
            <w:rStyle w:val="Hyperlink"/>
          </w:rPr>
          <w:t>https://eur-lex.europa.eu/legal-content/EN/TXT/?uri=CELEX:52020DC0102</w:t>
        </w:r>
      </w:hyperlink>
    </w:p>
    <w:p w14:paraId="68FC8155" w14:textId="49E97DDB" w:rsidR="0066742D" w:rsidRDefault="00E65788">
      <w:pPr>
        <w:rPr>
          <w:rtl/>
        </w:rPr>
      </w:pPr>
      <w:r>
        <w:t xml:space="preserve">European Commission. (2023). *Proposal for a regulation establishing a framework for ensuring a secure and sustainable supply of critical raw materials* (COM(2023) 160 final). </w:t>
      </w:r>
      <w:hyperlink r:id="rId21" w:history="1">
        <w:r w:rsidR="00A47678" w:rsidRPr="002367F1">
          <w:rPr>
            <w:rStyle w:val="Hyperlink"/>
          </w:rPr>
          <w:t>https://eur-lex.europa.eu/legal-content/EN/TXT/?uri=CELEX:52023PC0160</w:t>
        </w:r>
      </w:hyperlink>
    </w:p>
    <w:p w14:paraId="39FA8913" w14:textId="57E0A51B" w:rsidR="0066742D" w:rsidRDefault="00E65788">
      <w:pPr>
        <w:rPr>
          <w:rtl/>
        </w:rPr>
      </w:pPr>
      <w:r>
        <w:t xml:space="preserve">European Commission. (2020). *Critical Raw Materials Resilience: Charting a path towards greater security and sustainability* (COM(2020) 474 final). </w:t>
      </w:r>
      <w:hyperlink r:id="rId22" w:history="1">
        <w:r w:rsidR="00A47678" w:rsidRPr="002367F1">
          <w:rPr>
            <w:rStyle w:val="Hyperlink"/>
          </w:rPr>
          <w:t>https://eur-lex.europa.eu/legal-content/EN/TXT/?uri=CELEX:52020DC0474</w:t>
        </w:r>
      </w:hyperlink>
    </w:p>
    <w:p w14:paraId="5B6966A8" w14:textId="77EE01DA" w:rsidR="0066742D" w:rsidRDefault="00E65788">
      <w:pPr>
        <w:rPr>
          <w:rtl/>
        </w:rPr>
      </w:pPr>
      <w:r>
        <w:t xml:space="preserve">European Commission. (2021, July 19). *European Commission kick-starts two new industrial alliances: Alliance for Processors and Semiconductor Technologies, and European Alliance for Industrial Data, Edge and Cloud* [Press release IP/21/3733]. </w:t>
      </w:r>
      <w:hyperlink r:id="rId23" w:history="1">
        <w:r w:rsidR="00A47678" w:rsidRPr="002367F1">
          <w:rPr>
            <w:rStyle w:val="Hyperlink"/>
          </w:rPr>
          <w:t>https://ec.europa.eu/commission/presscorner/detail/en/IP_21_3733</w:t>
        </w:r>
      </w:hyperlink>
    </w:p>
    <w:p w14:paraId="017D03EB" w14:textId="6EAB0DC6" w:rsidR="00AF1DDC" w:rsidRDefault="00E65788" w:rsidP="00AF1DDC">
      <w:pPr>
        <w:rPr>
          <w:rFonts w:asciiTheme="majorHAnsi" w:hAnsiTheme="majorHAnsi" w:cstheme="majorHAnsi"/>
          <w:b/>
          <w:bCs/>
          <w:color w:val="365F91" w:themeColor="accent1" w:themeShade="BF"/>
          <w:sz w:val="32"/>
          <w:szCs w:val="32"/>
        </w:rPr>
      </w:pPr>
      <w:r>
        <w:t xml:space="preserve">European Commission. (2024, March 1). *Commission opens calls to invest over €176 million in digital capacities and tech* [Press release]. </w:t>
      </w:r>
      <w:hyperlink r:id="rId24" w:history="1">
        <w:r w:rsidR="000C08BF" w:rsidRPr="002367F1">
          <w:rPr>
            <w:rStyle w:val="Hyperlink"/>
          </w:rPr>
          <w:t>https://digital-strategy.ec.europa.eu/en/news/commission-opens-calls-invest-over-eu176-million-digital-capacities-and-tech</w:t>
        </w:r>
      </w:hyperlink>
      <w:r w:rsidR="000C08BF">
        <w:rPr>
          <w:rtl/>
        </w:rPr>
        <w:br/>
      </w:r>
      <w:r w:rsidRPr="000C08BF">
        <w:t>European Commission. (2023). *Proposal for a regulation establishing the Strategic Technologies for Europe Platform (STEP)* (</w:t>
      </w:r>
      <w:proofErr w:type="gramStart"/>
      <w:r w:rsidRPr="000C08BF">
        <w:t>COM(</w:t>
      </w:r>
      <w:proofErr w:type="gramEnd"/>
      <w:r w:rsidRPr="000C08BF">
        <w:t xml:space="preserve">2023) 519 final). </w:t>
      </w:r>
      <w:hyperlink r:id="rId25" w:history="1">
        <w:r w:rsidR="000C08BF" w:rsidRPr="000C08BF">
          <w:rPr>
            <w:rStyle w:val="Hyperlink"/>
          </w:rPr>
          <w:t>https://eur-lex.europa.eu/legal-content/EN/TXT/?uri=CELEX:52023PC0519</w:t>
        </w:r>
      </w:hyperlink>
      <w:r w:rsidR="000C08BF">
        <w:rPr>
          <w:rtl/>
        </w:rPr>
        <w:br/>
      </w:r>
      <w:r w:rsidR="000C08BF">
        <w:rPr>
          <w:rtl/>
        </w:rPr>
        <w:lastRenderedPageBreak/>
        <w:br/>
      </w:r>
      <w:r w:rsidR="009B0BEB">
        <w:rPr>
          <w:rFonts w:asciiTheme="majorHAnsi" w:hAnsiTheme="majorHAnsi" w:cstheme="majorHAnsi"/>
          <w:b/>
          <w:bCs/>
          <w:color w:val="365F91" w:themeColor="accent1" w:themeShade="BF"/>
          <w:sz w:val="32"/>
          <w:szCs w:val="32"/>
        </w:rPr>
        <w:t xml:space="preserve">Proximity &amp; </w:t>
      </w:r>
      <w:r w:rsidR="000C08BF" w:rsidRPr="00A47678">
        <w:rPr>
          <w:rFonts w:asciiTheme="majorHAnsi" w:hAnsiTheme="majorHAnsi" w:cstheme="majorHAnsi"/>
          <w:b/>
          <w:bCs/>
          <w:color w:val="365F91" w:themeColor="accent1" w:themeShade="BF"/>
          <w:sz w:val="32"/>
          <w:szCs w:val="32"/>
        </w:rPr>
        <w:t>Social Economy</w:t>
      </w:r>
    </w:p>
    <w:p w14:paraId="533E4F30" w14:textId="52CF9B13" w:rsidR="000C08BF" w:rsidRPr="00AF1DDC" w:rsidRDefault="000C08BF" w:rsidP="00AF1DDC">
      <w:pPr>
        <w:rPr>
          <w:rFonts w:asciiTheme="majorHAnsi" w:hAnsiTheme="majorHAnsi" w:cstheme="majorHAnsi"/>
          <w:b/>
          <w:bCs/>
          <w:color w:val="365F91" w:themeColor="accent1" w:themeShade="BF"/>
          <w:sz w:val="32"/>
          <w:szCs w:val="32"/>
          <w:rtl/>
        </w:rPr>
      </w:pPr>
      <w:r>
        <w:t xml:space="preserve">European Commission. (n.d.-a). EU Proximity and Social Economy Platform [Website]. Retrieved June 3, 2025, from </w:t>
      </w:r>
      <w:hyperlink r:id="rId26" w:history="1">
        <w:r w:rsidR="00A47678" w:rsidRPr="002367F1">
          <w:rPr>
            <w:rStyle w:val="Hyperlink"/>
          </w:rPr>
          <w:t>https://transition-pathways.europa.eu/pse</w:t>
        </w:r>
      </w:hyperlink>
    </w:p>
    <w:p w14:paraId="1870C326" w14:textId="0B04D761" w:rsidR="000C08BF" w:rsidRDefault="000C08BF" w:rsidP="000C08BF">
      <w:pPr>
        <w:rPr>
          <w:rtl/>
        </w:rPr>
      </w:pPr>
      <w:r>
        <w:t xml:space="preserve">European Commission. (n.d.-b). The transition pathway on proximity and social economy [Webpage]. Retrieved June 3, 2025, from </w:t>
      </w:r>
      <w:hyperlink r:id="rId27" w:history="1">
        <w:r w:rsidR="00A47678" w:rsidRPr="002367F1">
          <w:rPr>
            <w:rStyle w:val="Hyperlink"/>
          </w:rPr>
          <w:t>https://single-market-economy.ec.europa.eu/sectors/proximity-and-social-economy/transition-pathway_en</w:t>
        </w:r>
      </w:hyperlink>
    </w:p>
    <w:p w14:paraId="38FB530F" w14:textId="3EF6459F" w:rsidR="000C08BF" w:rsidRDefault="000C08BF" w:rsidP="000C08BF">
      <w:pPr>
        <w:rPr>
          <w:rtl/>
        </w:rPr>
      </w:pPr>
      <w:r>
        <w:t>European Commission. (2021a). Building an economy that works for people: An action plan for the social economy (</w:t>
      </w:r>
      <w:proofErr w:type="gramStart"/>
      <w:r>
        <w:t>COM(</w:t>
      </w:r>
      <w:proofErr w:type="gramEnd"/>
      <w:r>
        <w:t xml:space="preserve">2021) 778 final). Luxembourg: Publications Office of the European Union. </w:t>
      </w:r>
      <w:hyperlink r:id="rId28" w:history="1">
        <w:r w:rsidR="00A47678" w:rsidRPr="002367F1">
          <w:rPr>
            <w:rStyle w:val="Hyperlink"/>
          </w:rPr>
          <w:t>https://eur-lex.europa.eu/legal-content/EN/TXT/?uri=CELEX:52021DC0778</w:t>
        </w:r>
      </w:hyperlink>
    </w:p>
    <w:p w14:paraId="7FFF9DB9" w14:textId="77777777" w:rsidR="00E65788" w:rsidRDefault="000C08BF" w:rsidP="00E65788">
      <w:pPr>
        <w:rPr>
          <w:rtl/>
        </w:rPr>
      </w:pPr>
      <w:r>
        <w:t xml:space="preserve">European Commission. (2021b). Scenarios towards co-creation of a transition pathway for a resilient, innovative, sustainable and digital proximity and social economy ecosystem (Staff Working Document No. </w:t>
      </w:r>
      <w:proofErr w:type="gramStart"/>
      <w:r>
        <w:t>SWD(</w:t>
      </w:r>
      <w:proofErr w:type="gramEnd"/>
      <w:r>
        <w:t xml:space="preserve">2021) 982 final). Brussels: European Commission. </w:t>
      </w:r>
      <w:hyperlink r:id="rId29" w:history="1">
        <w:r w:rsidR="00A47678" w:rsidRPr="002367F1">
          <w:rPr>
            <w:rStyle w:val="Hyperlink"/>
          </w:rPr>
          <w:t>https://ec.europa.eu/docsroom/documents/47854</w:t>
        </w:r>
      </w:hyperlink>
    </w:p>
    <w:p w14:paraId="63EDC82A" w14:textId="6ECB155E" w:rsidR="000C08BF" w:rsidRDefault="000C08BF" w:rsidP="00E65788">
      <w:pPr>
        <w:rPr>
          <w:rtl/>
        </w:rPr>
      </w:pPr>
      <w:r>
        <w:t>European Commission. (2021c). Updating the 2020 new industrial strategy: Building a stronger single market for Europe’s recovery (</w:t>
      </w:r>
      <w:proofErr w:type="gramStart"/>
      <w:r>
        <w:t>COM(</w:t>
      </w:r>
      <w:proofErr w:type="gramEnd"/>
      <w:r>
        <w:t xml:space="preserve">2021) 350 final). Luxembourg: Publications Office of the European Union. </w:t>
      </w:r>
      <w:hyperlink r:id="rId30" w:history="1">
        <w:r w:rsidR="00A47678" w:rsidRPr="002367F1">
          <w:rPr>
            <w:rStyle w:val="Hyperlink"/>
          </w:rPr>
          <w:t>https://eur-lex.europa.eu/legal-content/EN/TXT/?uri=CELEX:52021DC0350</w:t>
        </w:r>
      </w:hyperlink>
    </w:p>
    <w:p w14:paraId="3424E6A6" w14:textId="162155EB" w:rsidR="000C08BF" w:rsidRDefault="000C08BF" w:rsidP="000C08BF">
      <w:pPr>
        <w:rPr>
          <w:rtl/>
        </w:rPr>
      </w:pPr>
      <w:r>
        <w:t xml:space="preserve">European Commission. (2022). Transition pathway for proximity and social economy ecosystem. Luxembourg: Publications Office of the European Union. </w:t>
      </w:r>
      <w:hyperlink r:id="rId31" w:history="1">
        <w:r w:rsidR="00A47678" w:rsidRPr="002367F1">
          <w:rPr>
            <w:rStyle w:val="Hyperlink"/>
          </w:rPr>
          <w:t>https://doi.org/10.2873/44306</w:t>
        </w:r>
      </w:hyperlink>
    </w:p>
    <w:p w14:paraId="06B13DA8" w14:textId="7A6D97D9" w:rsidR="000C08BF" w:rsidRDefault="000C08BF" w:rsidP="000C08BF">
      <w:pPr>
        <w:rPr>
          <w:rtl/>
        </w:rPr>
      </w:pPr>
      <w:r>
        <w:t xml:space="preserve">European Commission. (2023a). Co-creation of a transition pathway for proximity and social economy ecosystem: Analysis of the results of the online survey. Brussels: European Commission. </w:t>
      </w:r>
      <w:hyperlink r:id="rId32" w:history="1">
        <w:r w:rsidR="00A47678" w:rsidRPr="002367F1">
          <w:rPr>
            <w:rStyle w:val="Hyperlink"/>
          </w:rPr>
          <w:t>https://ec.europa.eu/docsroom/documents/52916</w:t>
        </w:r>
      </w:hyperlink>
    </w:p>
    <w:p w14:paraId="58971738" w14:textId="2214EEC7" w:rsidR="000C08BF" w:rsidRDefault="000C08BF" w:rsidP="000C08BF">
      <w:pPr>
        <w:rPr>
          <w:rtl/>
        </w:rPr>
      </w:pPr>
      <w:r>
        <w:t xml:space="preserve">European Commission. (2023b). The digital transition of proximity and social economy [Policy paper]. Brussels: European Commission. </w:t>
      </w:r>
      <w:hyperlink r:id="rId33" w:history="1">
        <w:r w:rsidR="00A47678" w:rsidRPr="002367F1">
          <w:rPr>
            <w:rStyle w:val="Hyperlink"/>
          </w:rPr>
          <w:t>https://ec.europa.eu/docsroom/documents/53021</w:t>
        </w:r>
      </w:hyperlink>
    </w:p>
    <w:p w14:paraId="37629A3C" w14:textId="59A4D34A" w:rsidR="000C08BF" w:rsidRDefault="000C08BF" w:rsidP="000C08BF">
      <w:pPr>
        <w:rPr>
          <w:rtl/>
        </w:rPr>
      </w:pPr>
      <w:r>
        <w:t xml:space="preserve">European Commission. (2023c). The green transition of the proximity and social economy [Policy paper]. Brussels: European Commission. </w:t>
      </w:r>
      <w:hyperlink r:id="rId34" w:history="1">
        <w:r w:rsidR="00A47678" w:rsidRPr="002367F1">
          <w:rPr>
            <w:rStyle w:val="Hyperlink"/>
          </w:rPr>
          <w:t>https://ec.europa.eu/docsroom/documents/53022</w:t>
        </w:r>
      </w:hyperlink>
    </w:p>
    <w:p w14:paraId="5CC3AFEF" w14:textId="6D6A6F33" w:rsidR="000C08BF" w:rsidRDefault="000C08BF" w:rsidP="000C08BF">
      <w:pPr>
        <w:rPr>
          <w:rtl/>
        </w:rPr>
      </w:pPr>
      <w:r>
        <w:t xml:space="preserve">European Commission. (2023d). Workshops’ report – Transition pathway for proximity and social economy. Brussels: European Commission. </w:t>
      </w:r>
      <w:hyperlink r:id="rId35" w:history="1">
        <w:r w:rsidR="00A47678" w:rsidRPr="002367F1">
          <w:rPr>
            <w:rStyle w:val="Hyperlink"/>
          </w:rPr>
          <w:t>https://ec.europa.eu/docsroom/documents/52894</w:t>
        </w:r>
      </w:hyperlink>
    </w:p>
    <w:p w14:paraId="5A41503F" w14:textId="7ED11F15" w:rsidR="000C08BF" w:rsidRDefault="000C08BF" w:rsidP="000C08BF">
      <w:pPr>
        <w:rPr>
          <w:rtl/>
        </w:rPr>
      </w:pPr>
      <w:r>
        <w:lastRenderedPageBreak/>
        <w:t xml:space="preserve">European Commission. (2024). Proximity and social economy industrial ecosystem factsheet. Luxembourg: Publications Office of the European Union. </w:t>
      </w:r>
      <w:hyperlink r:id="rId36" w:history="1">
        <w:r w:rsidR="00A47678" w:rsidRPr="002367F1">
          <w:rPr>
            <w:rStyle w:val="Hyperlink"/>
          </w:rPr>
          <w:t>https://doi.org/10.2873/927053</w:t>
        </w:r>
      </w:hyperlink>
    </w:p>
    <w:p w14:paraId="4F1687FB" w14:textId="16B0545C" w:rsidR="0066742D" w:rsidRDefault="0066742D"/>
    <w:sectPr w:rsidR="006674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8BF"/>
    <w:rsid w:val="0015074B"/>
    <w:rsid w:val="0029639D"/>
    <w:rsid w:val="00326F90"/>
    <w:rsid w:val="0066742D"/>
    <w:rsid w:val="009B0BEB"/>
    <w:rsid w:val="00A47678"/>
    <w:rsid w:val="00AA1D8D"/>
    <w:rsid w:val="00AB6AD1"/>
    <w:rsid w:val="00AF1DDC"/>
    <w:rsid w:val="00B47730"/>
    <w:rsid w:val="00CB0664"/>
    <w:rsid w:val="00E657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F928D"/>
  <w14:defaultImageDpi w14:val="300"/>
  <w15:docId w15:val="{5628A087-0B46-4ED4-914A-0163BD26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C08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8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6A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sproc.jrc.ec.europa.eu/product-bureau/" TargetMode="External"/><Relationship Id="rId18" Type="http://schemas.openxmlformats.org/officeDocument/2006/relationships/hyperlink" Target="https://eur-lex.europa.eu/legal-content/EN/TXT/?uri=CELEX:52022PC0046" TargetMode="External"/><Relationship Id="rId26" Type="http://schemas.openxmlformats.org/officeDocument/2006/relationships/hyperlink" Target="https://transition-pathways.europa.eu/pse" TargetMode="External"/><Relationship Id="rId21" Type="http://schemas.openxmlformats.org/officeDocument/2006/relationships/hyperlink" Target="https://eur-lex.europa.eu/legal-content/EN/TXT/?uri=CELEX:52023PC0160" TargetMode="External"/><Relationship Id="rId34" Type="http://schemas.openxmlformats.org/officeDocument/2006/relationships/hyperlink" Target="https://ec.europa.eu/docsroom/documents/53022" TargetMode="External"/><Relationship Id="rId7" Type="http://schemas.openxmlformats.org/officeDocument/2006/relationships/hyperlink" Target="https://ec.europa.eu/docsroom/documents/47996" TargetMode="External"/><Relationship Id="rId12" Type="http://schemas.openxmlformats.org/officeDocument/2006/relationships/hyperlink" Target="https://eur-lex.europa.eu/eli/dir/2010/31/oj" TargetMode="External"/><Relationship Id="rId17" Type="http://schemas.openxmlformats.org/officeDocument/2006/relationships/hyperlink" Target="https://eur-lex.europa.eu/legal-content/EN/TXT/?uri=CELEX:52022DC0045" TargetMode="External"/><Relationship Id="rId25" Type="http://schemas.openxmlformats.org/officeDocument/2006/relationships/hyperlink" Target="https://eur-lex.europa.eu/legal-content/EN/TXT/?uri=CELEX:52023PC0519" TargetMode="External"/><Relationship Id="rId33" Type="http://schemas.openxmlformats.org/officeDocument/2006/relationships/hyperlink" Target="https://ec.europa.eu/docsroom/documents/53021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c.europa.eu/docsroom/documents/64154" TargetMode="External"/><Relationship Id="rId20" Type="http://schemas.openxmlformats.org/officeDocument/2006/relationships/hyperlink" Target="https://eur-lex.europa.eu/legal-content/EN/TXT/?uri=CELEX:52020DC0102" TargetMode="External"/><Relationship Id="rId29" Type="http://schemas.openxmlformats.org/officeDocument/2006/relationships/hyperlink" Target="https://ec.europa.eu/docsroom/documents/4785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c.europa.eu/docsroom/documents/53854" TargetMode="External"/><Relationship Id="rId11" Type="http://schemas.openxmlformats.org/officeDocument/2006/relationships/hyperlink" Target="https://ec.europa.eu/info/law/better-regulation/have-your-say/initiatives/12458-Construction-products-review-of-EU-rules_en" TargetMode="External"/><Relationship Id="rId24" Type="http://schemas.openxmlformats.org/officeDocument/2006/relationships/hyperlink" Target="https://digital-strategy.ec.europa.eu/en/news/commission-opens-calls-invest-over-eu176-million-digital-capacities-and-tech" TargetMode="External"/><Relationship Id="rId32" Type="http://schemas.openxmlformats.org/officeDocument/2006/relationships/hyperlink" Target="https://ec.europa.eu/docsroom/documents/52916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ec.europa.eu/docsroom/documents/43744" TargetMode="External"/><Relationship Id="rId23" Type="http://schemas.openxmlformats.org/officeDocument/2006/relationships/hyperlink" Target="https://ec.europa.eu/commission/presscorner/detail/en/IP_21_3733" TargetMode="External"/><Relationship Id="rId28" Type="http://schemas.openxmlformats.org/officeDocument/2006/relationships/hyperlink" Target="https://eur-lex.europa.eu/legal-content/EN/TXT/?uri=CELEX:52021DC0778" TargetMode="External"/><Relationship Id="rId36" Type="http://schemas.openxmlformats.org/officeDocument/2006/relationships/hyperlink" Target="https://doi.org/10.2873/927053" TargetMode="External"/><Relationship Id="rId10" Type="http://schemas.openxmlformats.org/officeDocument/2006/relationships/hyperlink" Target="https://eur-lex.europa.eu/legal-content/EN/TXT/?uri=CELEX:52019DC0640" TargetMode="External"/><Relationship Id="rId19" Type="http://schemas.openxmlformats.org/officeDocument/2006/relationships/hyperlink" Target="https://eur-lex.europa.eu/legal-content/EN/TXT/?uri=CELEX:52021DC0118" TargetMode="External"/><Relationship Id="rId31" Type="http://schemas.openxmlformats.org/officeDocument/2006/relationships/hyperlink" Target="https://doi.org/10.2873/4430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ur-lex.europa.eu/legal-content/EN/TXT/?uri=CELEX:52020DC0662" TargetMode="External"/><Relationship Id="rId14" Type="http://schemas.openxmlformats.org/officeDocument/2006/relationships/hyperlink" Target="https://single-market-economy.ec.europa.eu/document/download/0e862e76-ac93-43b9-a411-241fb00fe30c_en?filename=3rd%20HLCF_Meeting%20Report.pdf" TargetMode="External"/><Relationship Id="rId22" Type="http://schemas.openxmlformats.org/officeDocument/2006/relationships/hyperlink" Target="https://eur-lex.europa.eu/legal-content/EN/TXT/?uri=CELEX:52020DC0474" TargetMode="External"/><Relationship Id="rId27" Type="http://schemas.openxmlformats.org/officeDocument/2006/relationships/hyperlink" Target="https://single-market-economy.ec.europa.eu/sectors/proximity-and-social-economy/transition-pathway_en" TargetMode="External"/><Relationship Id="rId30" Type="http://schemas.openxmlformats.org/officeDocument/2006/relationships/hyperlink" Target="https://eur-lex.europa.eu/legal-content/EN/TXT/?uri=CELEX:52021DC0350" TargetMode="External"/><Relationship Id="rId35" Type="http://schemas.openxmlformats.org/officeDocument/2006/relationships/hyperlink" Target="https://ec.europa.eu/docsroom/documents/52894" TargetMode="External"/><Relationship Id="rId8" Type="http://schemas.openxmlformats.org/officeDocument/2006/relationships/hyperlink" Target="https://eur-lex.europa.eu/legal-content/EN/TXT/?uri=CELEX:52021DC0350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1442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hamed aminian</cp:lastModifiedBy>
  <cp:revision>5</cp:revision>
  <dcterms:created xsi:type="dcterms:W3CDTF">2013-12-23T23:15:00Z</dcterms:created>
  <dcterms:modified xsi:type="dcterms:W3CDTF">2025-06-18T08:58:00Z</dcterms:modified>
  <cp:category/>
</cp:coreProperties>
</file>