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Justification for Applying Loopholes Toolkit</w:t>
      </w:r>
    </w:p>
    <w:p>
      <w:pPr>
        <w:pStyle w:val="Heading1"/>
      </w:pPr>
      <w:r>
        <w:t>Electronics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Matrix Position</w:t>
            </w:r>
          </w:p>
        </w:tc>
        <w:tc>
          <w:tcPr>
            <w:tcW w:type="dxa" w:w="4320"/>
          </w:tcPr>
          <w:p>
            <w:r>
              <w:t>Goods-Based; B2C &amp; B2B</w:t>
            </w:r>
          </w:p>
        </w:tc>
      </w:tr>
      <w:tr>
        <w:tc>
          <w:tcPr>
            <w:tcW w:type="dxa" w:w="4320"/>
          </w:tcPr>
          <w:p>
            <w:r>
              <w:t>Similarities with Fashion</w:t>
            </w:r>
          </w:p>
        </w:tc>
        <w:tc>
          <w:tcPr>
            <w:tcW w:type="dxa" w:w="4320"/>
          </w:tcPr>
          <w:p>
            <w:r>
              <w:t>Fast innovation, short product cycles, branding-driven, global supply chains</w:t>
            </w:r>
          </w:p>
        </w:tc>
      </w:tr>
      <w:tr>
        <w:tc>
          <w:tcPr>
            <w:tcW w:type="dxa" w:w="4320"/>
          </w:tcPr>
          <w:p>
            <w:r>
              <w:t>Circular Opportunities</w:t>
            </w:r>
          </w:p>
        </w:tc>
        <w:tc>
          <w:tcPr>
            <w:tcW w:type="dxa" w:w="4320"/>
          </w:tcPr>
          <w:p>
            <w:r>
              <w:t>Design for repair/modularity, reuse, take-back programs, material recovery from e-waste</w:t>
            </w:r>
          </w:p>
        </w:tc>
      </w:tr>
      <w:tr>
        <w:tc>
          <w:tcPr>
            <w:tcW w:type="dxa" w:w="4320"/>
          </w:tcPr>
          <w:p>
            <w:r>
              <w:t>Why Loopholes Works</w:t>
            </w:r>
          </w:p>
        </w:tc>
        <w:tc>
          <w:tcPr>
            <w:tcW w:type="dxa" w:w="4320"/>
          </w:tcPr>
          <w:p>
            <w:r>
              <w:t>Toolkit’s data &amp; system mapping supports lifecycle planning, traceability, and collaborative design for circular electronics</w:t>
            </w:r>
          </w:p>
        </w:tc>
      </w:tr>
    </w:tbl>
    <w:p>
      <w:pPr>
        <w:pStyle w:val="Heading1"/>
      </w:pPr>
      <w:r>
        <w:t>Construction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Matrix Position</w:t>
            </w:r>
          </w:p>
        </w:tc>
        <w:tc>
          <w:tcPr>
            <w:tcW w:type="dxa" w:w="4320"/>
          </w:tcPr>
          <w:p>
            <w:r>
              <w:t>Goods &amp; Services-Based; Mainly B2B</w:t>
            </w:r>
          </w:p>
        </w:tc>
      </w:tr>
      <w:tr>
        <w:tc>
          <w:tcPr>
            <w:tcW w:type="dxa" w:w="4320"/>
          </w:tcPr>
          <w:p>
            <w:r>
              <w:t>Similarities with Fashion</w:t>
            </w:r>
          </w:p>
        </w:tc>
        <w:tc>
          <w:tcPr>
            <w:tcW w:type="dxa" w:w="4320"/>
          </w:tcPr>
          <w:p>
            <w:r>
              <w:t>Complex supply chains, trend-driven aesthetics, large material flows</w:t>
            </w:r>
          </w:p>
        </w:tc>
      </w:tr>
      <w:tr>
        <w:tc>
          <w:tcPr>
            <w:tcW w:type="dxa" w:w="4320"/>
          </w:tcPr>
          <w:p>
            <w:r>
              <w:t>Circular Opportunities</w:t>
            </w:r>
          </w:p>
        </w:tc>
        <w:tc>
          <w:tcPr>
            <w:tcW w:type="dxa" w:w="4320"/>
          </w:tcPr>
          <w:p>
            <w:r>
              <w:t>Modular design, reuse of materials, design for disassembly, local sourcing, adaptive reuse of buildings</w:t>
            </w:r>
          </w:p>
        </w:tc>
      </w:tr>
      <w:tr>
        <w:tc>
          <w:tcPr>
            <w:tcW w:type="dxa" w:w="4320"/>
          </w:tcPr>
          <w:p>
            <w:r>
              <w:t>Why Loopholes Works</w:t>
            </w:r>
          </w:p>
        </w:tc>
        <w:tc>
          <w:tcPr>
            <w:tcW w:type="dxa" w:w="4320"/>
          </w:tcPr>
          <w:p>
            <w:r>
              <w:t>Supports stakeholder alignment through system mapping, adaptable to local context, encourages cross-disciplinary planning</w:t>
            </w:r>
          </w:p>
        </w:tc>
      </w:tr>
    </w:tbl>
    <w:p>
      <w:pPr>
        <w:pStyle w:val="Heading1"/>
      </w:pPr>
      <w:r>
        <w:t>Proximity &amp; Social Economy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Matrix Position</w:t>
            </w:r>
          </w:p>
        </w:tc>
        <w:tc>
          <w:tcPr>
            <w:tcW w:type="dxa" w:w="4320"/>
          </w:tcPr>
          <w:p>
            <w:r>
              <w:t>Services-Based; B2C/Community-Oriented</w:t>
            </w:r>
          </w:p>
        </w:tc>
      </w:tr>
      <w:tr>
        <w:tc>
          <w:tcPr>
            <w:tcW w:type="dxa" w:w="4320"/>
          </w:tcPr>
          <w:p>
            <w:r>
              <w:t>Similarities with Fashion</w:t>
            </w:r>
          </w:p>
        </w:tc>
        <w:tc>
          <w:tcPr>
            <w:tcW w:type="dxa" w:w="4320"/>
          </w:tcPr>
          <w:p>
            <w:r>
              <w:t>Community values, ethical branding, direct consumer engagement</w:t>
            </w:r>
          </w:p>
        </w:tc>
      </w:tr>
      <w:tr>
        <w:tc>
          <w:tcPr>
            <w:tcW w:type="dxa" w:w="4320"/>
          </w:tcPr>
          <w:p>
            <w:r>
              <w:t>Circular Opportunities</w:t>
            </w:r>
          </w:p>
        </w:tc>
        <w:tc>
          <w:tcPr>
            <w:tcW w:type="dxa" w:w="4320"/>
          </w:tcPr>
          <w:p>
            <w:r>
              <w:t>Local repair, reuse initiatives, sharing models, social enterprise-driven circular services</w:t>
            </w:r>
          </w:p>
        </w:tc>
      </w:tr>
      <w:tr>
        <w:tc>
          <w:tcPr>
            <w:tcW w:type="dxa" w:w="4320"/>
          </w:tcPr>
          <w:p>
            <w:r>
              <w:t>Why Loopholes Works</w:t>
            </w:r>
          </w:p>
        </w:tc>
        <w:tc>
          <w:tcPr>
            <w:tcW w:type="dxa" w:w="4320"/>
          </w:tcPr>
          <w:p>
            <w:r>
              <w:t>Emphasizes local, participatory approaches; supports community-led circular strategies and inclusive design thinking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4EE0987E88D44B30B86DC46456EF0" ma:contentTypeVersion="13" ma:contentTypeDescription="Een nieuw document maken." ma:contentTypeScope="" ma:versionID="c84cf81070a8f203257692a8f40fb412">
  <xsd:schema xmlns:xsd="http://www.w3.org/2001/XMLSchema" xmlns:xs="http://www.w3.org/2001/XMLSchema" xmlns:p="http://schemas.microsoft.com/office/2006/metadata/properties" xmlns:ns2="6aef473a-d114-4a82-8322-530b63fdbddc" xmlns:ns3="09b49a4e-c0b3-4e17-9461-170dae25fe75" targetNamespace="http://schemas.microsoft.com/office/2006/metadata/properties" ma:root="true" ma:fieldsID="88edb17177c67e6e7febed2df2ec537b" ns2:_="" ns3:_="">
    <xsd:import namespace="6aef473a-d114-4a82-8322-530b63fdbddc"/>
    <xsd:import namespace="09b49a4e-c0b3-4e17-9461-170dae25fe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f473a-d114-4a82-8322-530b63fdbd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b49a4e-c0b3-4e17-9461-170dae25fe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590038-a123-49bc-817c-7dac64d0386e}" ma:internalName="TaxCatchAll" ma:showField="CatchAllData" ma:web="09b49a4e-c0b3-4e17-9461-170dae25fe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b49a4e-c0b3-4e17-9461-170dae25fe75" xsi:nil="true"/>
    <lcf76f155ced4ddcb4097134ff3c332f xmlns="6aef473a-d114-4a82-8322-530b63fdbd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5FF0DA-55A4-4300-9300-AA3A5D4B529F}"/>
</file>

<file path=customXml/itemProps3.xml><?xml version="1.0" encoding="utf-8"?>
<ds:datastoreItem xmlns:ds="http://schemas.openxmlformats.org/officeDocument/2006/customXml" ds:itemID="{7777C172-932F-45C5-A6AE-EE8B54961AFD}"/>
</file>

<file path=customXml/itemProps4.xml><?xml version="1.0" encoding="utf-8"?>
<ds:datastoreItem xmlns:ds="http://schemas.openxmlformats.org/officeDocument/2006/customXml" ds:itemID="{90351316-B5B3-4503-8681-F506D580AD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0x010100BEB4EE0987E88D44B30B86DC46456EF0</vt:lpwstr>
  </property>
</Properties>
</file>