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1987" w14:textId="77777777" w:rsidR="00191F90" w:rsidRPr="000224F7" w:rsidRDefault="00191F90" w:rsidP="00171A0E">
      <w:pPr>
        <w:pStyle w:val="Heading1"/>
      </w:pPr>
      <w:r w:rsidRPr="000224F7">
        <w:t>1. Project Background</w:t>
      </w:r>
    </w:p>
    <w:p w14:paraId="66B63A5D" w14:textId="77777777" w:rsidR="00191F90" w:rsidRPr="00191F90" w:rsidRDefault="00191F90" w:rsidP="00191F90">
      <w:r w:rsidRPr="00191F90">
        <w:t>The Loophole Toolkit is a card</w:t>
      </w:r>
      <w:r w:rsidRPr="00191F90">
        <w:noBreakHyphen/>
        <w:t>based facilitation resource that helps industry actors brainstorm and prototype solutions to systemic challenges. Phase 1 targets three sectors—Construction, Proximity &amp; Social Economy, and Electronics.</w:t>
      </w:r>
    </w:p>
    <w:p w14:paraId="77E9F865" w14:textId="77777777" w:rsidR="00191F90" w:rsidRPr="00262F81" w:rsidRDefault="00191F90" w:rsidP="00171A0E">
      <w:pPr>
        <w:pStyle w:val="Heading1"/>
      </w:pPr>
      <w:r w:rsidRPr="00262F81">
        <w:t>2. Research Approach &amp; Scope</w:t>
      </w:r>
    </w:p>
    <w:p w14:paraId="32C58F34" w14:textId="77777777" w:rsidR="00262F81" w:rsidRPr="00262F81" w:rsidRDefault="00262F81" w:rsidP="00262F81">
      <w:r w:rsidRPr="00262F81">
        <w:t>We combined desk research with in</w:t>
      </w:r>
      <w:r w:rsidRPr="00262F81">
        <w:noBreakHyphen/>
        <w:t>depth, semi</w:t>
      </w:r>
      <w:r w:rsidRPr="00262F81">
        <w:noBreakHyphen/>
        <w:t>structured expert interviews—conducted both online and in person—across the three sectors.</w:t>
      </w:r>
    </w:p>
    <w:p w14:paraId="0995F3AB" w14:textId="77777777" w:rsidR="00191F90" w:rsidRPr="00191F90" w:rsidRDefault="00191F90" w:rsidP="00171A0E">
      <w:pPr>
        <w:pStyle w:val="Heading1"/>
      </w:pPr>
      <w:r w:rsidRPr="00191F90">
        <w:t>3. Sector Snapshots</w:t>
      </w:r>
    </w:p>
    <w:p w14:paraId="58B19354" w14:textId="77777777" w:rsidR="00191F90" w:rsidRPr="000224F7" w:rsidRDefault="00191F90" w:rsidP="00171A0E">
      <w:pPr>
        <w:pStyle w:val="SubHeading"/>
      </w:pPr>
      <w:r w:rsidRPr="000224F7">
        <w:t>3.1 Proximity &amp; Social Economy</w:t>
      </w:r>
    </w:p>
    <w:p w14:paraId="2F6DDDCD" w14:textId="77777777" w:rsidR="00191F90" w:rsidRPr="00191F90" w:rsidRDefault="00191F90" w:rsidP="00191F90">
      <w:r w:rsidRPr="00191F90">
        <w:rPr>
          <w:rStyle w:val="sub-subheadingChar"/>
        </w:rPr>
        <w:t>Context &amp; macro trends</w:t>
      </w:r>
      <w:r w:rsidRPr="00191F90">
        <w:br/>
        <w:t>• Growing emphasis on hyper</w:t>
      </w:r>
      <w:r w:rsidRPr="00191F90">
        <w:noBreakHyphen/>
        <w:t>local services and circular resource flows.</w:t>
      </w:r>
      <w:r w:rsidRPr="00191F90">
        <w:br/>
        <w:t>• Reliance on blended funding streams (local government grants + donations).</w:t>
      </w:r>
    </w:p>
    <w:p w14:paraId="24E2C49C" w14:textId="77777777" w:rsidR="00191F90" w:rsidRPr="00191F90" w:rsidRDefault="00191F90" w:rsidP="00262F81">
      <w:pPr>
        <w:pStyle w:val="sub-subheading"/>
      </w:pPr>
      <w:r w:rsidRPr="00262F81">
        <w:t>Key challenges / pain points</w:t>
      </w:r>
      <w:r w:rsidRPr="00191F90">
        <w:br/>
      </w:r>
      <w:r w:rsidRPr="00262F81">
        <w:rPr>
          <w:sz w:val="24"/>
          <w:szCs w:val="20"/>
        </w:rPr>
        <w:t>• Chronic volunteer shortages constrain service capacity.</w:t>
      </w:r>
      <w:r w:rsidRPr="00262F81">
        <w:rPr>
          <w:sz w:val="24"/>
          <w:szCs w:val="20"/>
        </w:rPr>
        <w:br/>
        <w:t>• Existing feedback tools feel generic; stakeholders struggle to locate relevant prompts.</w:t>
      </w:r>
      <w:r w:rsidRPr="00262F81">
        <w:rPr>
          <w:sz w:val="24"/>
          <w:szCs w:val="20"/>
        </w:rPr>
        <w:br/>
        <w:t>• Digital engagement gaps among beneficiaries impede participation.</w:t>
      </w:r>
    </w:p>
    <w:p w14:paraId="2A9D64EC" w14:textId="23E5D056" w:rsidR="00191F90" w:rsidRPr="00191F90" w:rsidRDefault="00191F90" w:rsidP="00191F90">
      <w:r w:rsidRPr="00191F90">
        <w:rPr>
          <w:rStyle w:val="sub-subheadingChar"/>
        </w:rPr>
        <w:t>Opportunity areas</w:t>
      </w:r>
      <w:r w:rsidRPr="00191F90">
        <w:br/>
        <w:t>• Partner with workforce</w:t>
      </w:r>
      <w:r w:rsidRPr="00191F90">
        <w:noBreakHyphen/>
        <w:t xml:space="preserve">integration </w:t>
      </w:r>
      <w:r w:rsidR="00262F81" w:rsidRPr="00191F90">
        <w:t>organizations</w:t>
      </w:r>
      <w:r w:rsidRPr="00191F90">
        <w:t xml:space="preserve"> to widen the volunteer funnel.</w:t>
      </w:r>
      <w:r w:rsidRPr="00191F90">
        <w:br/>
        <w:t>• Redesign feedback “cards” into topic</w:t>
      </w:r>
      <w:r w:rsidRPr="00191F90">
        <w:noBreakHyphen/>
        <w:t>clustered sets for faster navigation.</w:t>
      </w:r>
      <w:r w:rsidRPr="00191F90">
        <w:br/>
        <w:t>• Provide low</w:t>
      </w:r>
      <w:r w:rsidRPr="00191F90">
        <w:noBreakHyphen/>
        <w:t>bandwidth digital tutorials to boost inclusivity.</w:t>
      </w:r>
    </w:p>
    <w:p w14:paraId="733579D0" w14:textId="77777777" w:rsidR="00191F90" w:rsidRPr="00191F90" w:rsidRDefault="00191F90" w:rsidP="00191F90">
      <w:r w:rsidRPr="00191F90">
        <w:rPr>
          <w:rStyle w:val="sub-subheadingChar"/>
        </w:rPr>
        <w:t>Illustrative quotes (paraphrased)</w:t>
      </w:r>
      <w:r w:rsidRPr="00191F90">
        <w:br/>
        <w:t>• “We run surveys every two years, but the questions need to be more specific.”</w:t>
      </w:r>
      <w:r w:rsidRPr="00191F90">
        <w:br/>
        <w:t>• “We need collaborators who can help us recruit and train volunteers.”</w:t>
      </w:r>
    </w:p>
    <w:p w14:paraId="658F16B9" w14:textId="77777777" w:rsidR="00191F90" w:rsidRPr="00191F90" w:rsidRDefault="00191F90" w:rsidP="00191F90">
      <w:r w:rsidRPr="00191F90">
        <w:rPr>
          <w:rStyle w:val="sub-subheadingChar"/>
        </w:rPr>
        <w:t>Implications for toolkit</w:t>
      </w:r>
      <w:r w:rsidRPr="00191F90">
        <w:br/>
        <w:t>• Include card category tags (e.g. “volunteer management”, “digital inclusion”).</w:t>
      </w:r>
      <w:r w:rsidRPr="00191F90">
        <w:br/>
        <w:t>• Add prompts on forging cross</w:t>
      </w:r>
      <w:r w:rsidRPr="00191F90">
        <w:noBreakHyphen/>
        <w:t>sector alliances to compensate resource gaps.</w:t>
      </w:r>
    </w:p>
    <w:p w14:paraId="3D67A248" w14:textId="77777777" w:rsidR="00191F90" w:rsidRPr="00191F90" w:rsidRDefault="00191F90" w:rsidP="00191F90">
      <w:r w:rsidRPr="00191F90">
        <w:pict w14:anchorId="30E278D7">
          <v:rect id="_x0000_i1136" style="width:0;height:1.5pt" o:hralign="center" o:hrstd="t" o:hr="t" fillcolor="#a0a0a0" stroked="f"/>
        </w:pict>
      </w:r>
    </w:p>
    <w:p w14:paraId="51FA7C6B" w14:textId="77777777" w:rsidR="00591488" w:rsidRDefault="00591488" w:rsidP="00171A0E">
      <w:pPr>
        <w:pStyle w:val="SubHeading"/>
      </w:pPr>
    </w:p>
    <w:p w14:paraId="4BC96D49" w14:textId="440D6C24" w:rsidR="00191F90" w:rsidRPr="00191F90" w:rsidRDefault="00191F90" w:rsidP="00171A0E">
      <w:pPr>
        <w:pStyle w:val="SubHeading"/>
      </w:pPr>
      <w:r w:rsidRPr="00191F90">
        <w:lastRenderedPageBreak/>
        <w:t>3.2 Construction</w:t>
      </w:r>
    </w:p>
    <w:p w14:paraId="09726E27" w14:textId="754F35EB" w:rsidR="00191F90" w:rsidRPr="00191F90" w:rsidRDefault="00191F90" w:rsidP="00191F90">
      <w:r w:rsidRPr="00191F90">
        <w:rPr>
          <w:rStyle w:val="sub-subheadingChar"/>
        </w:rPr>
        <w:t>Context &amp; macro trends</w:t>
      </w:r>
      <w:r w:rsidRPr="00191F90">
        <w:br/>
        <w:t xml:space="preserve">• Sector wrestling with </w:t>
      </w:r>
      <w:r w:rsidR="006B37A4" w:rsidRPr="00191F90">
        <w:t>decarbonization</w:t>
      </w:r>
      <w:r w:rsidRPr="00191F90">
        <w:t xml:space="preserve"> while </w:t>
      </w:r>
      <w:proofErr w:type="gramStart"/>
      <w:r w:rsidRPr="00191F90">
        <w:t>demand for</w:t>
      </w:r>
      <w:proofErr w:type="gramEnd"/>
      <w:r w:rsidRPr="00191F90">
        <w:t xml:space="preserve"> affordable housing surges.</w:t>
      </w:r>
      <w:r w:rsidRPr="00191F90">
        <w:br/>
        <w:t>• Fragmented supply chain inflates cost and blurs accountability.</w:t>
      </w:r>
    </w:p>
    <w:p w14:paraId="05F87F7A" w14:textId="77777777" w:rsidR="00191F90" w:rsidRPr="00191F90" w:rsidRDefault="00191F90" w:rsidP="00191F90">
      <w:r w:rsidRPr="00191F90">
        <w:rPr>
          <w:rStyle w:val="sub-subheadingChar"/>
        </w:rPr>
        <w:t>Key challenges / pain points</w:t>
      </w:r>
      <w:r w:rsidRPr="00191F90">
        <w:br/>
        <w:t>• Sustainability framing often too siloed; material choices swing with trends without lifecycle data.</w:t>
      </w:r>
      <w:r w:rsidRPr="00191F90">
        <w:br/>
        <w:t>• Financial incentives misaligned across stakeholders; holistic cost–benefit rarely modelled.</w:t>
      </w:r>
      <w:r w:rsidRPr="00191F90">
        <w:br/>
        <w:t>• Biases during stakeholder engagement limit early</w:t>
      </w:r>
      <w:r w:rsidRPr="00191F90">
        <w:noBreakHyphen/>
        <w:t>stage creativity.</w:t>
      </w:r>
    </w:p>
    <w:p w14:paraId="293F0C5E" w14:textId="77777777" w:rsidR="00191F90" w:rsidRPr="00191F90" w:rsidRDefault="00191F90" w:rsidP="00191F90">
      <w:r w:rsidRPr="00191F90">
        <w:rPr>
          <w:rStyle w:val="sub-subheadingChar"/>
        </w:rPr>
        <w:t>Opportunity areas</w:t>
      </w:r>
      <w:r w:rsidRPr="00191F90">
        <w:br/>
        <w:t>• Embed lifecycle</w:t>
      </w:r>
      <w:r w:rsidRPr="00191F90">
        <w:noBreakHyphen/>
        <w:t>assessment prompts in toolkit to expose hidden trade</w:t>
      </w:r>
      <w:r w:rsidRPr="00191F90">
        <w:noBreakHyphen/>
        <w:t>offs.</w:t>
      </w:r>
      <w:r w:rsidRPr="00191F90">
        <w:br/>
        <w:t>• Introduce finance</w:t>
      </w:r>
      <w:r w:rsidRPr="00191F90">
        <w:noBreakHyphen/>
        <w:t>focused cards that surface downstream operational savings.</w:t>
      </w:r>
      <w:r w:rsidRPr="00191F90">
        <w:br/>
        <w:t>• Provide reflection prompts that surface designer biases during workshops.</w:t>
      </w:r>
    </w:p>
    <w:p w14:paraId="72CA2998" w14:textId="77777777" w:rsidR="00191F90" w:rsidRPr="00191F90" w:rsidRDefault="00191F90" w:rsidP="00191F90">
      <w:r w:rsidRPr="00191F90">
        <w:rPr>
          <w:rStyle w:val="sub-subheadingChar"/>
        </w:rPr>
        <w:t>Illustrative quotes (paraphrased)</w:t>
      </w:r>
      <w:r w:rsidRPr="00191F90">
        <w:br/>
        <w:t>• “Digital tools shouldn’t dictate design; they should augment human ingenuity.”</w:t>
      </w:r>
      <w:r w:rsidRPr="00191F90">
        <w:br/>
        <w:t>• “We keep reinventing material preferences instead of solving root issues.”</w:t>
      </w:r>
    </w:p>
    <w:p w14:paraId="50AA95F1" w14:textId="4330FC03" w:rsidR="00191F90" w:rsidRPr="00191F90" w:rsidRDefault="00191F90" w:rsidP="00191F90">
      <w:r w:rsidRPr="00191F90">
        <w:rPr>
          <w:rStyle w:val="sub-subheadingChar"/>
        </w:rPr>
        <w:t>Implications for toolkit</w:t>
      </w:r>
      <w:r w:rsidRPr="00191F90">
        <w:br/>
        <w:t xml:space="preserve">• Offer modular card decks: </w:t>
      </w:r>
      <w:r w:rsidRPr="00191F90">
        <w:rPr>
          <w:i/>
          <w:iCs/>
        </w:rPr>
        <w:t>Sustainability</w:t>
      </w:r>
      <w:r w:rsidRPr="00191F90">
        <w:t xml:space="preserve">, </w:t>
      </w:r>
      <w:r w:rsidR="006B37A4" w:rsidRPr="00191F90">
        <w:rPr>
          <w:i/>
          <w:iCs/>
        </w:rPr>
        <w:t>Digitalization</w:t>
      </w:r>
      <w:r w:rsidRPr="00191F90">
        <w:t xml:space="preserve">, </w:t>
      </w:r>
      <w:r w:rsidRPr="00191F90">
        <w:rPr>
          <w:i/>
          <w:iCs/>
        </w:rPr>
        <w:t>Stakeholder Alignment</w:t>
      </w:r>
      <w:r w:rsidRPr="00191F90">
        <w:t xml:space="preserve">, </w:t>
      </w:r>
      <w:r w:rsidRPr="00191F90">
        <w:rPr>
          <w:i/>
          <w:iCs/>
        </w:rPr>
        <w:t>Finance</w:t>
      </w:r>
      <w:r w:rsidRPr="00191F90">
        <w:t>.</w:t>
      </w:r>
      <w:r w:rsidRPr="00191F90">
        <w:br/>
        <w:t>• Each card to pair a provocation with an example of holistic practice.</w:t>
      </w:r>
    </w:p>
    <w:p w14:paraId="3B4723C8" w14:textId="77777777" w:rsidR="00191F90" w:rsidRPr="00191F90" w:rsidRDefault="00191F90" w:rsidP="00191F90">
      <w:r w:rsidRPr="00191F90">
        <w:pict w14:anchorId="7B42A2AC">
          <v:rect id="_x0000_i1137" style="width:0;height:1.5pt" o:hralign="center" o:hrstd="t" o:hr="t" fillcolor="#a0a0a0" stroked="f"/>
        </w:pict>
      </w:r>
    </w:p>
    <w:p w14:paraId="33347258" w14:textId="77777777" w:rsidR="00191F90" w:rsidRPr="00191F90" w:rsidRDefault="00191F90" w:rsidP="00171A0E">
      <w:pPr>
        <w:pStyle w:val="SubHeading"/>
      </w:pPr>
      <w:r w:rsidRPr="00191F90">
        <w:t>3.3 Electronics (desk</w:t>
      </w:r>
      <w:r w:rsidRPr="00191F90">
        <w:noBreakHyphen/>
        <w:t>research scan)</w:t>
      </w:r>
    </w:p>
    <w:p w14:paraId="7E1366C4" w14:textId="3F1CFCEA" w:rsidR="00191F90" w:rsidRPr="00191F90" w:rsidRDefault="00171A0E" w:rsidP="00191F90">
      <w:r>
        <w:t>D</w:t>
      </w:r>
      <w:r w:rsidR="00191F90" w:rsidRPr="00191F90">
        <w:t>esk research indicates:</w:t>
      </w:r>
    </w:p>
    <w:p w14:paraId="495A7460" w14:textId="77777777" w:rsidR="00191F90" w:rsidRPr="00191F90" w:rsidRDefault="00191F90" w:rsidP="00191F90">
      <w:r w:rsidRPr="00191F90">
        <w:t>• Rapid product cycles drive e</w:t>
      </w:r>
      <w:r w:rsidRPr="00191F90">
        <w:noBreakHyphen/>
        <w:t>waste and supplier pressure.</w:t>
      </w:r>
      <w:r w:rsidRPr="00191F90">
        <w:br/>
        <w:t>• Extended Producer Responsibility legislation tightening in EU markets.</w:t>
      </w:r>
      <w:r w:rsidRPr="00191F90">
        <w:br/>
        <w:t>• Traceability and right</w:t>
      </w:r>
      <w:r w:rsidRPr="00191F90">
        <w:noBreakHyphen/>
        <w:t>to</w:t>
      </w:r>
      <w:r w:rsidRPr="00191F90">
        <w:noBreakHyphen/>
        <w:t>repair emerging as competitive differentiators.</w:t>
      </w:r>
    </w:p>
    <w:p w14:paraId="68C6B35C" w14:textId="77777777" w:rsidR="00191F90" w:rsidRPr="00191F90" w:rsidRDefault="00191F90" w:rsidP="00191F90">
      <w:r w:rsidRPr="00191F90">
        <w:pict w14:anchorId="4667A721">
          <v:rect id="_x0000_i1138" style="width:0;height:1.5pt" o:hralign="center" o:hrstd="t" o:hr="t" fillcolor="#a0a0a0" stroked="f"/>
        </w:pict>
      </w:r>
    </w:p>
    <w:p w14:paraId="29DBC17E" w14:textId="77777777" w:rsidR="00191F90" w:rsidRPr="00191F90" w:rsidRDefault="00191F90" w:rsidP="00171A0E">
      <w:pPr>
        <w:pStyle w:val="Heading1"/>
      </w:pPr>
      <w:r w:rsidRPr="00191F90">
        <w:t>4. Cross</w:t>
      </w:r>
      <w:r w:rsidRPr="00191F90">
        <w:noBreakHyphen/>
        <w:t>Sector Themes</w:t>
      </w:r>
    </w:p>
    <w:p w14:paraId="6E9AB5EB" w14:textId="5534FD78" w:rsidR="00191F90" w:rsidRPr="00191F90" w:rsidRDefault="00191F90" w:rsidP="00191F90">
      <w:r w:rsidRPr="00191F90">
        <w:t xml:space="preserve">• </w:t>
      </w:r>
      <w:r w:rsidRPr="00191F90">
        <w:rPr>
          <w:b/>
          <w:bCs/>
        </w:rPr>
        <w:t>Resource Constraints</w:t>
      </w:r>
      <w:r w:rsidRPr="00191F90">
        <w:t xml:space="preserve"> – Volunteer shortages and fragmented </w:t>
      </w:r>
      <w:r w:rsidR="00262F81" w:rsidRPr="00191F90">
        <w:t>labor</w:t>
      </w:r>
      <w:r w:rsidRPr="00191F90">
        <w:t xml:space="preserve"> mirror each other; collaboration models can transfer across sectors.</w:t>
      </w:r>
      <w:r w:rsidRPr="00191F90">
        <w:br/>
        <w:t xml:space="preserve">• </w:t>
      </w:r>
      <w:r w:rsidRPr="00191F90">
        <w:rPr>
          <w:b/>
          <w:bCs/>
        </w:rPr>
        <w:t>Holistic Sustainability</w:t>
      </w:r>
      <w:r w:rsidRPr="00191F90">
        <w:t xml:space="preserve"> – All sectors call for systems</w:t>
      </w:r>
      <w:r w:rsidRPr="00191F90">
        <w:noBreakHyphen/>
        <w:t>level views over narrow metrics.</w:t>
      </w:r>
      <w:r w:rsidRPr="00191F90">
        <w:br/>
        <w:t xml:space="preserve">• </w:t>
      </w:r>
      <w:r w:rsidRPr="00191F90">
        <w:rPr>
          <w:b/>
          <w:bCs/>
        </w:rPr>
        <w:t>Digital Balance</w:t>
      </w:r>
      <w:r w:rsidRPr="00191F90">
        <w:t xml:space="preserve"> – Technology is an enabler but must not eclipse human judgment; design prompts should keep humans in the loop.</w:t>
      </w:r>
    </w:p>
    <w:p w14:paraId="1F8C3D0E" w14:textId="77777777" w:rsidR="007735E6" w:rsidRDefault="00591488" w:rsidP="007735E6">
      <w:pPr>
        <w:rPr>
          <w:b/>
          <w:bCs/>
        </w:rPr>
      </w:pPr>
      <w:r w:rsidRPr="00591488">
        <w:rPr>
          <w:b/>
          <w:bCs/>
        </w:rPr>
        <w:lastRenderedPageBreak/>
        <w:t>Appendices (internal)</w:t>
      </w:r>
    </w:p>
    <w:p w14:paraId="050ABD87" w14:textId="1C485FB4" w:rsidR="00591488" w:rsidRPr="007735E6" w:rsidRDefault="00591488" w:rsidP="007735E6">
      <w:pPr>
        <w:rPr>
          <w:b/>
          <w:bCs/>
        </w:rPr>
      </w:pPr>
      <w:r w:rsidRPr="00591488">
        <w:br/>
      </w:r>
      <w:r>
        <w:t>A</w:t>
      </w:r>
      <w:r w:rsidRPr="00591488">
        <w:t xml:space="preserve">. Card Content Iteration Report – </w:t>
      </w:r>
      <w:r w:rsidRPr="00591488">
        <w:rPr>
          <w:i/>
          <w:iCs/>
        </w:rPr>
        <w:t xml:space="preserve">What we learned from users &amp; </w:t>
      </w:r>
      <w:r w:rsidR="00150250" w:rsidRPr="00591488">
        <w:rPr>
          <w:i/>
          <w:iCs/>
        </w:rPr>
        <w:t>how</w:t>
      </w:r>
      <w:r w:rsidRPr="00591488">
        <w:rPr>
          <w:i/>
          <w:iCs/>
        </w:rPr>
        <w:t xml:space="preserve"> we improved the cards</w:t>
      </w:r>
    </w:p>
    <w:p w14:paraId="26D30ED0" w14:textId="0A3F119C" w:rsidR="007735E6" w:rsidRPr="00591488" w:rsidRDefault="007735E6" w:rsidP="00591488">
      <w:pPr>
        <w:rPr>
          <w:b/>
          <w:bCs/>
        </w:rPr>
      </w:pPr>
      <w:r>
        <w:rPr>
          <w:i/>
          <w:iCs/>
        </w:rPr>
        <w:t>B. Photos</w:t>
      </w:r>
    </w:p>
    <w:p w14:paraId="09E54CE8" w14:textId="5F3447BB" w:rsidR="00191F90" w:rsidRDefault="00191F90" w:rsidP="00191F90"/>
    <w:p w14:paraId="5E1E9152" w14:textId="0C02301D" w:rsidR="00591488" w:rsidRDefault="00591488" w:rsidP="007735E6">
      <w:pPr>
        <w:pStyle w:val="Heading1"/>
        <w:numPr>
          <w:ilvl w:val="0"/>
          <w:numId w:val="3"/>
        </w:numPr>
      </w:pPr>
      <w:r w:rsidRPr="00591488">
        <w:t xml:space="preserve">Card Content Iteration Report – What we learned from users &amp; </w:t>
      </w:r>
      <w:r w:rsidRPr="00591488">
        <w:t>how</w:t>
      </w:r>
      <w:r w:rsidRPr="00591488">
        <w:t xml:space="preserve"> we improved the cards</w:t>
      </w:r>
    </w:p>
    <w:p w14:paraId="28817063" w14:textId="77777777" w:rsidR="00F95871" w:rsidRPr="00F95871" w:rsidRDefault="00F95871" w:rsidP="00F95871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505"/>
        <w:gridCol w:w="5845"/>
      </w:tblGrid>
      <w:tr w:rsidR="00F95871" w14:paraId="41D7014C" w14:textId="77777777" w:rsidTr="00F95871">
        <w:tc>
          <w:tcPr>
            <w:tcW w:w="3505" w:type="dxa"/>
            <w:vAlign w:val="center"/>
          </w:tcPr>
          <w:p w14:paraId="7C2F64FB" w14:textId="416BE15C" w:rsidR="00F95871" w:rsidRPr="00F95871" w:rsidRDefault="00F95871" w:rsidP="00F95871">
            <w:pPr>
              <w:spacing w:after="160" w:line="278" w:lineRule="auto"/>
              <w:jc w:val="center"/>
              <w:rPr>
                <w:b/>
                <w:bCs/>
              </w:rPr>
            </w:pPr>
            <w:r w:rsidRPr="005107D9">
              <w:rPr>
                <w:b/>
                <w:bCs/>
              </w:rPr>
              <w:t>What we learned from users</w:t>
            </w:r>
          </w:p>
        </w:tc>
        <w:tc>
          <w:tcPr>
            <w:tcW w:w="5845" w:type="dxa"/>
            <w:vAlign w:val="center"/>
          </w:tcPr>
          <w:p w14:paraId="15860E77" w14:textId="7E970A31" w:rsidR="00F95871" w:rsidRPr="00F95871" w:rsidRDefault="00F95871" w:rsidP="00F95871">
            <w:pPr>
              <w:spacing w:after="160" w:line="278" w:lineRule="auto"/>
              <w:jc w:val="center"/>
              <w:rPr>
                <w:b/>
                <w:bCs/>
              </w:rPr>
            </w:pPr>
            <w:r w:rsidRPr="005107D9">
              <w:rPr>
                <w:b/>
                <w:bCs/>
              </w:rPr>
              <w:t>How we improved the cards</w:t>
            </w:r>
          </w:p>
        </w:tc>
      </w:tr>
      <w:tr w:rsidR="00F95871" w14:paraId="655498D8" w14:textId="77777777" w:rsidTr="00F95871">
        <w:tc>
          <w:tcPr>
            <w:tcW w:w="3505" w:type="dxa"/>
            <w:vAlign w:val="center"/>
          </w:tcPr>
          <w:p w14:paraId="19FB92F5" w14:textId="62B15A6A" w:rsidR="00F95871" w:rsidRPr="00F95871" w:rsidRDefault="00F95871" w:rsidP="00F95871">
            <w:pPr>
              <w:spacing w:after="160" w:line="278" w:lineRule="auto"/>
              <w:rPr>
                <w:b/>
                <w:bCs/>
              </w:rPr>
            </w:pPr>
            <w:r w:rsidRPr="005107D9">
              <w:rPr>
                <w:b/>
                <w:bCs/>
              </w:rPr>
              <w:t>Texts are too long and hard to scan</w:t>
            </w:r>
          </w:p>
        </w:tc>
        <w:tc>
          <w:tcPr>
            <w:tcW w:w="5845" w:type="dxa"/>
            <w:vAlign w:val="center"/>
          </w:tcPr>
          <w:p w14:paraId="036EF450" w14:textId="77777777" w:rsidR="00F95871" w:rsidRDefault="00F95871" w:rsidP="00F95871">
            <w:pPr>
              <w:spacing w:after="160" w:line="278" w:lineRule="auto"/>
            </w:pPr>
            <w:r w:rsidRPr="005107D9">
              <w:t xml:space="preserve">• Cut every Short Description to </w:t>
            </w:r>
            <w:r w:rsidRPr="005107D9">
              <w:rPr>
                <w:b/>
                <w:bCs/>
              </w:rPr>
              <w:t>1–2 crisp sentences.</w:t>
            </w:r>
          </w:p>
          <w:p w14:paraId="4CCA3CA7" w14:textId="529F53F0" w:rsidR="00F95871" w:rsidRDefault="00F95871" w:rsidP="00F95871">
            <w:pPr>
              <w:spacing w:after="160" w:line="278" w:lineRule="auto"/>
            </w:pPr>
            <w:r w:rsidRPr="005107D9">
              <w:t>• Kept each sentence ≤ 20 words for rapid eye-tracking.</w:t>
            </w:r>
          </w:p>
        </w:tc>
      </w:tr>
      <w:tr w:rsidR="00F95871" w14:paraId="6F735BD2" w14:textId="77777777" w:rsidTr="00F95871">
        <w:tc>
          <w:tcPr>
            <w:tcW w:w="3505" w:type="dxa"/>
            <w:vAlign w:val="center"/>
          </w:tcPr>
          <w:p w14:paraId="64855D2B" w14:textId="48E68619" w:rsidR="00F95871" w:rsidRPr="00F95871" w:rsidRDefault="00F95871" w:rsidP="00F95871">
            <w:pPr>
              <w:spacing w:after="160" w:line="278" w:lineRule="auto"/>
              <w:rPr>
                <w:b/>
                <w:bCs/>
              </w:rPr>
            </w:pPr>
            <w:r w:rsidRPr="005107D9">
              <w:rPr>
                <w:b/>
                <w:bCs/>
              </w:rPr>
              <w:t>Cards contain difficult, highly specialized words</w:t>
            </w:r>
          </w:p>
        </w:tc>
        <w:tc>
          <w:tcPr>
            <w:tcW w:w="5845" w:type="dxa"/>
            <w:vAlign w:val="center"/>
          </w:tcPr>
          <w:p w14:paraId="456404D7" w14:textId="77777777" w:rsidR="00F95871" w:rsidRDefault="00F95871" w:rsidP="00F95871">
            <w:pPr>
              <w:spacing w:after="160" w:line="278" w:lineRule="auto"/>
            </w:pPr>
            <w:r w:rsidRPr="005107D9">
              <w:t xml:space="preserve">• Replaced jargon with </w:t>
            </w:r>
            <w:r w:rsidRPr="005107D9">
              <w:rPr>
                <w:b/>
                <w:bCs/>
              </w:rPr>
              <w:t>plain-language synonyms (B2 English).</w:t>
            </w:r>
          </w:p>
          <w:p w14:paraId="777C4343" w14:textId="291A801A" w:rsidR="00F95871" w:rsidRDefault="00F95871" w:rsidP="00F95871">
            <w:pPr>
              <w:spacing w:after="160" w:line="278" w:lineRule="auto"/>
            </w:pPr>
            <w:r w:rsidRPr="005107D9">
              <w:t>• Spelled out every abbreviation once (e.g., IoT = Internet of Things).</w:t>
            </w:r>
          </w:p>
        </w:tc>
      </w:tr>
      <w:tr w:rsidR="00F95871" w14:paraId="12E4AC76" w14:textId="77777777" w:rsidTr="00F95871">
        <w:tc>
          <w:tcPr>
            <w:tcW w:w="3505" w:type="dxa"/>
            <w:vAlign w:val="center"/>
          </w:tcPr>
          <w:p w14:paraId="16288772" w14:textId="4EB35502" w:rsidR="00F95871" w:rsidRPr="00F95871" w:rsidRDefault="00F95871" w:rsidP="00F95871">
            <w:pPr>
              <w:spacing w:after="160" w:line="278" w:lineRule="auto"/>
              <w:rPr>
                <w:b/>
                <w:bCs/>
              </w:rPr>
            </w:pPr>
            <w:r w:rsidRPr="005107D9">
              <w:rPr>
                <w:b/>
                <w:bCs/>
              </w:rPr>
              <w:t>Topics feel vague or overly broad</w:t>
            </w:r>
          </w:p>
        </w:tc>
        <w:tc>
          <w:tcPr>
            <w:tcW w:w="5845" w:type="dxa"/>
            <w:vAlign w:val="center"/>
          </w:tcPr>
          <w:p w14:paraId="78B130AC" w14:textId="77777777" w:rsidR="00F95871" w:rsidRDefault="00F95871" w:rsidP="00F95871">
            <w:pPr>
              <w:spacing w:after="160" w:line="278" w:lineRule="auto"/>
            </w:pPr>
            <w:r w:rsidRPr="005107D9">
              <w:t xml:space="preserve">• Anchored each card on </w:t>
            </w:r>
            <w:r w:rsidRPr="005107D9">
              <w:rPr>
                <w:b/>
                <w:bCs/>
              </w:rPr>
              <w:t>one clearly defined application or opportunity</w:t>
            </w:r>
            <w:r w:rsidRPr="005107D9">
              <w:t xml:space="preserve"> inside the client’s sector.</w:t>
            </w:r>
          </w:p>
          <w:p w14:paraId="67745524" w14:textId="40A51E69" w:rsidR="00F95871" w:rsidRDefault="00F95871" w:rsidP="00F95871">
            <w:pPr>
              <w:spacing w:after="160" w:line="278" w:lineRule="auto"/>
            </w:pPr>
            <w:r w:rsidRPr="005107D9">
              <w:t>• Split “umbrella” themes (e.g., AI, sustainability) into several narrower, workshop-ready cards.</w:t>
            </w:r>
          </w:p>
        </w:tc>
      </w:tr>
      <w:tr w:rsidR="00F95871" w14:paraId="7B71AA90" w14:textId="77777777" w:rsidTr="00F95871">
        <w:tc>
          <w:tcPr>
            <w:tcW w:w="3505" w:type="dxa"/>
            <w:vAlign w:val="center"/>
          </w:tcPr>
          <w:p w14:paraId="6A252F65" w14:textId="50D10518" w:rsidR="00F95871" w:rsidRPr="00F95871" w:rsidRDefault="00F95871" w:rsidP="00F95871">
            <w:pPr>
              <w:spacing w:after="160" w:line="278" w:lineRule="auto"/>
              <w:rPr>
                <w:b/>
                <w:bCs/>
              </w:rPr>
            </w:pPr>
            <w:r w:rsidRPr="005107D9">
              <w:rPr>
                <w:b/>
                <w:bCs/>
              </w:rPr>
              <w:t>Cards read like academic papers, not workshop tools</w:t>
            </w:r>
          </w:p>
        </w:tc>
        <w:tc>
          <w:tcPr>
            <w:tcW w:w="5845" w:type="dxa"/>
            <w:vAlign w:val="center"/>
          </w:tcPr>
          <w:p w14:paraId="198C7997" w14:textId="77777777" w:rsidR="00F95871" w:rsidRDefault="00F95871" w:rsidP="00F95871">
            <w:pPr>
              <w:spacing w:after="160" w:line="278" w:lineRule="auto"/>
            </w:pPr>
            <w:r w:rsidRPr="005107D9">
              <w:t xml:space="preserve">• Changed tone to </w:t>
            </w:r>
            <w:r w:rsidRPr="005107D9">
              <w:rPr>
                <w:b/>
                <w:bCs/>
              </w:rPr>
              <w:t>conversational, action-oriented</w:t>
            </w:r>
            <w:r w:rsidRPr="005107D9">
              <w:t xml:space="preserve"> (“How might we …?”).</w:t>
            </w:r>
          </w:p>
          <w:p w14:paraId="33690F01" w14:textId="3D21485C" w:rsidR="00F95871" w:rsidRDefault="00F95871" w:rsidP="00F95871">
            <w:pPr>
              <w:spacing w:after="160" w:line="278" w:lineRule="auto"/>
            </w:pPr>
            <w:r w:rsidRPr="005107D9">
              <w:t>• Ensured every Focus Question drives reflection or ideation, not theory.</w:t>
            </w:r>
          </w:p>
        </w:tc>
      </w:tr>
    </w:tbl>
    <w:p w14:paraId="0B72D756" w14:textId="77777777" w:rsidR="00591488" w:rsidRDefault="00591488" w:rsidP="00591488"/>
    <w:p w14:paraId="1621B55B" w14:textId="77777777" w:rsidR="00F95871" w:rsidRDefault="00F95871" w:rsidP="00591488"/>
    <w:p w14:paraId="0332E02A" w14:textId="77777777" w:rsidR="007735E6" w:rsidRDefault="007735E6" w:rsidP="00591488"/>
    <w:p w14:paraId="1089366B" w14:textId="15C50B7E" w:rsidR="007735E6" w:rsidRPr="007735E6" w:rsidRDefault="007735E6" w:rsidP="00315B1B">
      <w:pPr>
        <w:pStyle w:val="Heading1"/>
      </w:pPr>
    </w:p>
    <w:sectPr w:rsidR="007735E6" w:rsidRPr="007735E6" w:rsidSect="00591488">
      <w:headerReference w:type="default" r:id="rId7"/>
      <w:footerReference w:type="default" r:id="rId8"/>
      <w:headerReference w:type="first" r:id="rId9"/>
      <w:pgSz w:w="12240" w:h="15840"/>
      <w:pgMar w:top="810" w:right="1440" w:bottom="135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8E08B" w14:textId="77777777" w:rsidR="0053481F" w:rsidRDefault="0053481F" w:rsidP="00D675AF">
      <w:pPr>
        <w:spacing w:after="0" w:line="240" w:lineRule="auto"/>
      </w:pPr>
      <w:r>
        <w:separator/>
      </w:r>
    </w:p>
  </w:endnote>
  <w:endnote w:type="continuationSeparator" w:id="0">
    <w:p w14:paraId="09876FB4" w14:textId="77777777" w:rsidR="0053481F" w:rsidRDefault="0053481F" w:rsidP="00D67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A2AEB" w14:textId="77777777" w:rsidR="00262F81" w:rsidRPr="00262F81" w:rsidRDefault="00262F81" w:rsidP="00262F81">
    <w:pPr>
      <w:pStyle w:val="Footer"/>
    </w:pPr>
    <w:r w:rsidRPr="00262F81">
      <w:pict w14:anchorId="0BDCA171">
        <v:rect id="_x0000_i1285" style="width:0;height:1.5pt" o:hralign="center" o:hrstd="t" o:hr="t" fillcolor="#a0a0a0" stroked="f"/>
      </w:pict>
    </w:r>
  </w:p>
  <w:p w14:paraId="2EBD3C0F" w14:textId="77777777" w:rsidR="00262F81" w:rsidRPr="00262F81" w:rsidRDefault="00262F81" w:rsidP="00262F81">
    <w:pPr>
      <w:pStyle w:val="Footer"/>
    </w:pPr>
    <w:r w:rsidRPr="00262F81">
      <w:rPr>
        <w:i/>
        <w:iCs/>
      </w:rPr>
      <w:t>Prepared by the Loophole Toolkit research team, 18 Jun 2025.</w:t>
    </w:r>
  </w:p>
  <w:p w14:paraId="0DB8A421" w14:textId="77777777" w:rsidR="00262F81" w:rsidRDefault="00262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2FC02" w14:textId="77777777" w:rsidR="0053481F" w:rsidRDefault="0053481F" w:rsidP="00D675AF">
      <w:pPr>
        <w:spacing w:after="0" w:line="240" w:lineRule="auto"/>
      </w:pPr>
      <w:r>
        <w:separator/>
      </w:r>
    </w:p>
  </w:footnote>
  <w:footnote w:type="continuationSeparator" w:id="0">
    <w:p w14:paraId="6B647363" w14:textId="77777777" w:rsidR="0053481F" w:rsidRDefault="0053481F" w:rsidP="00D67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1E44B" w14:textId="79A151EA" w:rsidR="00D675AF" w:rsidRPr="00D675AF" w:rsidRDefault="00D675AF" w:rsidP="00D675AF">
    <w:pPr>
      <w:pStyle w:val="Header"/>
      <w:jc w:val="center"/>
      <w:rPr>
        <w:b/>
        <w:bCs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8C904" w14:textId="77777777" w:rsidR="00191F90" w:rsidRPr="00191F90" w:rsidRDefault="00191F90" w:rsidP="00191F90">
    <w:pPr>
      <w:pStyle w:val="Header"/>
      <w:jc w:val="center"/>
      <w:rPr>
        <w:b/>
        <w:bCs/>
        <w:sz w:val="40"/>
        <w:szCs w:val="40"/>
      </w:rPr>
    </w:pPr>
    <w:r w:rsidRPr="00191F90">
      <w:rPr>
        <w:b/>
        <w:bCs/>
        <w:sz w:val="40"/>
        <w:szCs w:val="40"/>
      </w:rPr>
      <w:t>Loophole Toolkit – User Research Insights Report</w:t>
    </w:r>
  </w:p>
  <w:p w14:paraId="25599DE4" w14:textId="5A33DFAD" w:rsidR="00D675AF" w:rsidRPr="00191F90" w:rsidRDefault="00D675AF" w:rsidP="00191F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87CDA"/>
    <w:multiLevelType w:val="multilevel"/>
    <w:tmpl w:val="2E246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E2CA1"/>
    <w:multiLevelType w:val="multilevel"/>
    <w:tmpl w:val="B16E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FC5996"/>
    <w:multiLevelType w:val="hybridMultilevel"/>
    <w:tmpl w:val="ABD22D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4627085">
    <w:abstractNumId w:val="1"/>
  </w:num>
  <w:num w:numId="2" w16cid:durableId="930235083">
    <w:abstractNumId w:val="0"/>
  </w:num>
  <w:num w:numId="3" w16cid:durableId="6517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D9"/>
    <w:rsid w:val="000224F7"/>
    <w:rsid w:val="000E50F3"/>
    <w:rsid w:val="001234A6"/>
    <w:rsid w:val="00150250"/>
    <w:rsid w:val="00171A0E"/>
    <w:rsid w:val="00191F90"/>
    <w:rsid w:val="001F0F43"/>
    <w:rsid w:val="00262F81"/>
    <w:rsid w:val="00315B1B"/>
    <w:rsid w:val="005107D9"/>
    <w:rsid w:val="0053481F"/>
    <w:rsid w:val="00590334"/>
    <w:rsid w:val="00591488"/>
    <w:rsid w:val="006B37A4"/>
    <w:rsid w:val="00761908"/>
    <w:rsid w:val="007735E6"/>
    <w:rsid w:val="00861E1A"/>
    <w:rsid w:val="00BB3066"/>
    <w:rsid w:val="00D03066"/>
    <w:rsid w:val="00D675AF"/>
    <w:rsid w:val="00F57885"/>
    <w:rsid w:val="00F9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41C105"/>
  <w15:chartTrackingRefBased/>
  <w15:docId w15:val="{499F79AD-09FD-47A5-A7DB-00DD4CC43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71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A0E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7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7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5AF"/>
  </w:style>
  <w:style w:type="paragraph" w:styleId="Footer">
    <w:name w:val="footer"/>
    <w:basedOn w:val="Normal"/>
    <w:link w:val="FooterChar"/>
    <w:uiPriority w:val="99"/>
    <w:unhideWhenUsed/>
    <w:rsid w:val="00D67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5AF"/>
  </w:style>
  <w:style w:type="paragraph" w:customStyle="1" w:styleId="SubHeading">
    <w:name w:val="Sub Heading"/>
    <w:basedOn w:val="Normal"/>
    <w:link w:val="SubHeadingChar"/>
    <w:autoRedefine/>
    <w:qFormat/>
    <w:rsid w:val="00171A0E"/>
    <w:rPr>
      <w:b/>
      <w:bCs/>
      <w:color w:val="2F5496" w:themeColor="accent1" w:themeShade="BF"/>
      <w:sz w:val="28"/>
    </w:rPr>
  </w:style>
  <w:style w:type="character" w:customStyle="1" w:styleId="SubHeadingChar">
    <w:name w:val="Sub Heading Char"/>
    <w:basedOn w:val="DefaultParagraphFont"/>
    <w:link w:val="SubHeading"/>
    <w:rsid w:val="00171A0E"/>
    <w:rPr>
      <w:b/>
      <w:bCs/>
      <w:color w:val="2F5496" w:themeColor="accent1" w:themeShade="BF"/>
      <w:sz w:val="28"/>
    </w:rPr>
  </w:style>
  <w:style w:type="paragraph" w:customStyle="1" w:styleId="sub-subheading">
    <w:name w:val="sub-sub heading"/>
    <w:basedOn w:val="Normal"/>
    <w:link w:val="sub-subheadingChar"/>
    <w:autoRedefine/>
    <w:qFormat/>
    <w:rsid w:val="00262F81"/>
    <w:rPr>
      <w:bCs/>
      <w:sz w:val="32"/>
    </w:rPr>
  </w:style>
  <w:style w:type="character" w:customStyle="1" w:styleId="sub-subheadingChar">
    <w:name w:val="sub-sub heading Char"/>
    <w:basedOn w:val="DefaultParagraphFont"/>
    <w:link w:val="sub-subheading"/>
    <w:rsid w:val="00262F81"/>
    <w:rPr>
      <w:bCs/>
      <w:sz w:val="32"/>
    </w:rPr>
  </w:style>
  <w:style w:type="table" w:styleId="TableGrid">
    <w:name w:val="Table Grid"/>
    <w:basedOn w:val="TableNormal"/>
    <w:uiPriority w:val="39"/>
    <w:rsid w:val="00F958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9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4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0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3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Bostaki</dc:creator>
  <cp:keywords/>
  <dc:description/>
  <cp:lastModifiedBy>Fatemeh Bostaki</cp:lastModifiedBy>
  <cp:revision>1</cp:revision>
  <dcterms:created xsi:type="dcterms:W3CDTF">2025-06-18T08:17:00Z</dcterms:created>
  <dcterms:modified xsi:type="dcterms:W3CDTF">2025-06-18T12:43:00Z</dcterms:modified>
</cp:coreProperties>
</file>