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Early Completion Warning System</w:t>
      </w:r>
    </w:p>
    <w:p>
      <w:r>
        <w:rPr>
          <w:color w:val="6B6B6B"/>
        </w:rPr>
        <w:t>UDFI Philippines · Impact Measurement</w:t>
      </w:r>
    </w:p>
    <w:p>
      <w:pPr>
        <w:pStyle w:val="Heading1"/>
      </w:pPr>
      <w:r>
        <w:t>1. Logic</w:t>
      </w:r>
    </w:p>
    <w:p>
      <w:r>
        <w:rPr>
          <w:b/>
        </w:rPr>
        <w:t xml:space="preserve">Aim: </w:t>
      </w:r>
      <w:r>
        <w:t>Flag completers whose record shows too little time or engagement to support real learning.</w:t>
      </w:r>
    </w:p>
    <w:p>
      <w:r>
        <w:rPr>
          <w:b/>
        </w:rPr>
        <w:t xml:space="preserve">Pacing model: </w:t>
      </w:r>
      <w:r>
        <w:t>Planned days = course hours ÷ planned hours/week (109 ÷ 30 × 7 ≈ 25 days). Absolute baseline, so partner-wide rushing is not treated as normal.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fill="F2F2F2"/>
          </w:tcPr>
          <w:p>
            <w:r/>
            <w:r>
              <w:rPr>
                <w:b/>
                <w:sz w:val="19"/>
              </w:rPr>
              <w:t>Signal</w:t>
            </w:r>
          </w:p>
        </w:tc>
        <w:tc>
          <w:tcPr>
            <w:tcW w:type="dxa" w:w="7087"/>
            <w:shd w:val="clear" w:fill="F2F2F2"/>
          </w:tcPr>
          <w:p>
            <w:r/>
            <w:r>
              <w:rPr>
                <w:b/>
                <w:sz w:val="19"/>
              </w:rPr>
              <w:t>Rule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Fast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Finished in &lt; 50% of planned days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Compressed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All assessments on ≤ 2 days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Low lessons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&lt; 50% of lessons completed</w:t>
            </w:r>
          </w:p>
        </w:tc>
      </w:tr>
    </w:tbl>
    <w:p>
      <w:pPr>
        <w:spacing w:after="0"/>
      </w:pPr>
    </w:p>
    <w:p>
      <w:r>
        <w:rPr>
          <w:b/>
        </w:rPr>
        <w:t xml:space="preserve">Student: </w:t>
      </w:r>
      <w:r>
        <w:t>0 signals = On track · 1 = Watch · 2+ = High Risk. Fast alone = likely genuine fast learner.</w:t>
      </w:r>
    </w:p>
    <w:p>
      <w:r>
        <w:rPr>
          <w:b/>
        </w:rPr>
        <w:t xml:space="preserve">Cohort / partner: </w:t>
      </w:r>
      <w:r>
        <w:t>% of completers High Risk. Red ≥ 30% · Amber ≥ 15% · Green &lt; 15% · under 10 completers = Too small.</w:t>
      </w:r>
    </w:p>
    <w:p>
      <w:r>
        <w:rPr>
          <w:b/>
        </w:rPr>
        <w:t xml:space="preserve">Assumptions: </w:t>
      </w:r>
      <w:r>
        <w:t>LMS hours and hours/week reflect the plan; lessons are taken in the LMS; dates are day-level.</w:t>
      </w:r>
    </w:p>
    <w:p>
      <w:r>
        <w:rPr>
          <w:b/>
        </w:rPr>
        <w:t xml:space="preserve">Why this approach: </w:t>
      </w:r>
      <w:r>
        <w:t>Uses existing data, explainable in one line, and a flag triggers verification, not penalties.</w:t>
      </w:r>
    </w:p>
    <w:p>
      <w:r>
        <w:rPr>
          <w:b/>
        </w:rPr>
        <w:t xml:space="preserve">Result: </w:t>
      </w:r>
      <w:r>
        <w:t>18% of 1,866 completers High Risk. TRIMEX SHS 88%, Trimex Colleges 58%. 10 of 58 cohorts Red.</w:t>
      </w:r>
    </w:p>
    <w:p>
      <w:pPr>
        <w:pStyle w:val="Heading1"/>
      </w:pPr>
      <w:r>
        <w:t>2. SOP</w:t>
      </w:r>
    </w:p>
    <w:p>
      <w:r>
        <w:rPr>
          <w:b/>
        </w:rPr>
        <w:t xml:space="preserve">Frequency: </w:t>
      </w:r>
      <w:r>
        <w:t>Every 2 weeks while batches are live, plus a final check before completions are reported.</w:t>
      </w:r>
    </w:p>
    <w:p>
      <w:r>
        <w:rPr>
          <w:b/>
        </w:rPr>
        <w:t xml:space="preserve">Owner: </w:t>
      </w:r>
      <w:r>
        <w:t>Impact Measurement.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F2F2F2"/>
          </w:tcPr>
          <w:p>
            <w:r/>
            <w:r>
              <w:rPr>
                <w:b/>
                <w:sz w:val="19"/>
              </w:rPr>
              <w:t>Alert</w:t>
            </w:r>
          </w:p>
        </w:tc>
        <w:tc>
          <w:tcPr>
            <w:tcW w:type="dxa" w:w="2268"/>
            <w:shd w:val="clear" w:fill="F2F2F2"/>
          </w:tcPr>
          <w:p>
            <w:r/>
            <w:r>
              <w:rPr>
                <w:b/>
                <w:sz w:val="19"/>
              </w:rPr>
              <w:t>Recipient</w:t>
            </w:r>
          </w:p>
        </w:tc>
        <w:tc>
          <w:tcPr>
            <w:tcW w:type="dxa" w:w="3855"/>
            <w:shd w:val="clear" w:fill="F2F2F2"/>
          </w:tcPr>
          <w:p>
            <w:r/>
            <w:r>
              <w:rPr>
                <w:b/>
                <w:sz w:val="19"/>
              </w:rPr>
              <w:t>Action</w:t>
            </w:r>
          </w:p>
        </w:tc>
        <w:tc>
          <w:tcPr>
            <w:tcW w:type="dxa" w:w="1984"/>
            <w:shd w:val="clear" w:fill="F2F2F2"/>
          </w:tcPr>
          <w:p>
            <w:r/>
            <w:r>
              <w:rPr>
                <w:b/>
                <w:sz w:val="19"/>
              </w:rPr>
              <w:t>Timeline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Red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Programme Manager, Impact lead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Partner call; re-assess a sample; hold High-Risk completions as pending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Call ≤ 5 days; close ≤ 3 weeks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Amber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Programme Manager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Check batch schedule and facilitation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Before next run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Green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None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No action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None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Too small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Programme Manager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9"/>
              </w:rPr>
              <w:t>Review flagged students individually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Next run</w:t>
            </w:r>
          </w:p>
        </w:tc>
      </w:tr>
    </w:tbl>
    <w:p>
      <w:pPr>
        <w:spacing w:after="0"/>
      </w:pPr>
    </w:p>
    <w:p>
      <w:r>
        <w:rPr>
          <w:b/>
        </w:rPr>
        <w:t xml:space="preserve">Escalation: </w:t>
      </w:r>
      <w:r>
        <w:t>Red for 2 batches in a row, or verification refused → Country Head; partner numbers reported as unverified.</w:t>
      </w:r>
    </w:p>
    <w:p>
      <w:r>
        <w:rPr>
          <w:b/>
        </w:rPr>
        <w:t xml:space="preserve">After an alert: </w:t>
      </w:r>
      <w:r>
        <w:t>Log each alert with its finding and outcome. False positives feed a quarterly threshold review.</w:t>
      </w:r>
    </w:p>
    <w:p>
      <w:r>
        <w:rPr>
          <w:b/>
        </w:rPr>
        <w:t xml:space="preserve">Prevention: </w:t>
      </w:r>
      <w:r>
        <w:t>Reject batch windows shorter than planned course duration.</w:t>
      </w:r>
    </w:p>
    <w:p>
      <w:pPr>
        <w:pStyle w:val="Heading1"/>
      </w:pPr>
      <w:r>
        <w:t>3. Outcome Linkage</w:t>
      </w:r>
    </w:p>
    <w:p>
      <w:pPr>
        <w:pStyle w:val="Heading2"/>
      </w:pPr>
      <w:r>
        <w:t>1. Count fast completers as graduates?</w:t>
      </w:r>
    </w:p>
    <w:p>
      <w:pPr>
        <w:pStyle w:val="ListBullet"/>
      </w:pPr>
      <w:r>
        <w:t>Not automatically. On track and Watch count; High Risk is 'pending' until verified.</w:t>
      </w:r>
    </w:p>
    <w:p>
      <w:pPr>
        <w:pStyle w:val="ListBullet"/>
      </w:pPr>
      <w:r>
        <w:t>Report both numbers (~18% pending on current data).</w:t>
      </w:r>
    </w:p>
    <w:p>
      <w:pPr>
        <w:pStyle w:val="Heading2"/>
      </w:pPr>
      <w:r>
        <w:t>2. Ensure completion reflects learning</w:t>
      </w:r>
    </w:p>
    <w:p>
      <w:pPr>
        <w:pStyle w:val="ListBullet"/>
      </w:pPr>
      <w:r>
        <w:t>Lock each assessment until its lessons are done.</w:t>
      </w:r>
    </w:p>
    <w:p>
      <w:pPr>
        <w:pStyle w:val="ListBullet"/>
      </w:pPr>
      <w:r>
        <w:t>Supervised summative with a question bank and one applied task.</w:t>
      </w:r>
    </w:p>
    <w:p>
      <w:pPr>
        <w:pStyle w:val="ListBullet"/>
      </w:pPr>
      <w:r>
        <w:t>Minimum time before certification.</w:t>
      </w:r>
    </w:p>
    <w:p>
      <w:pPr>
        <w:pStyle w:val="Heading2"/>
      </w:pPr>
      <w:r>
        <w:t>3. Verify employment at scale</w:t>
      </w:r>
    </w:p>
    <w:p>
      <w:pPr>
        <w:pStyle w:val="ListBullet"/>
      </w:pPr>
      <w:r>
        <w:t>SMS survey of all graduates at 3 and 6 months.</w:t>
      </w:r>
    </w:p>
    <w:p>
      <w:pPr>
        <w:pStyle w:val="ListBullet"/>
      </w:pPr>
      <w:r>
        <w:t>Independently verify a random 10% sample with proof of employment.</w:t>
      </w:r>
    </w:p>
    <w:p>
      <w:pPr>
        <w:pStyle w:val="ListBullet"/>
      </w:pPr>
      <w:r>
        <w:t>Jobs that started before enrolment do not count.</w:t>
      </w:r>
    </w:p>
    <w:p>
      <w:pPr>
        <w:pStyle w:val="Heading2"/>
      </w:pPr>
      <w:r>
        <w:t>4. Governance against inflation</w:t>
      </w:r>
    </w:p>
    <w:p>
      <w:pPr>
        <w:pStyle w:val="ListBullet"/>
      </w:pPr>
      <w:r>
        <w:t>Partners report; Impact Measurement verifies and publishes.</w:t>
      </w:r>
    </w:p>
    <w:p>
      <w:pPr>
        <w:pStyle w:val="ListBullet"/>
      </w:pPr>
      <w:r>
        <w:t>One written definition each for graduate and placed.</w:t>
      </w:r>
    </w:p>
    <w:p>
      <w:pPr>
        <w:pStyle w:val="ListBullet"/>
      </w:pPr>
      <w:r>
        <w:t>Report verified vs reported side by side; tie targets to verified numbers.</w:t>
      </w:r>
    </w:p>
    <w:p>
      <w:pPr>
        <w:pStyle w:val="Heading2"/>
      </w:pPr>
      <w:r>
        <w:t>5. Risks and mitigation</w:t>
      </w:r>
    </w:p>
    <w:p>
      <w:pPr>
        <w:pStyle w:val="ListBullet"/>
      </w:pPr>
      <w:r>
        <w:t>Inflated claims → verified reporting and sampling.</w:t>
      </w:r>
    </w:p>
    <w:p>
      <w:pPr>
        <w:pStyle w:val="ListBullet"/>
      </w:pPr>
      <w:r>
        <w:t>Graduates not job-ready → lesson locks and supervised assessment.</w:t>
      </w:r>
    </w:p>
    <w:p>
      <w:pPr>
        <w:pStyle w:val="ListBullet"/>
      </w:pPr>
      <w:r>
        <w:t>Partners gaming targets → incentives on verified outcomes.</w:t>
      </w:r>
    </w:p>
    <w:p>
      <w:pPr>
        <w:pStyle w:val="ListBullet"/>
      </w:pPr>
      <w:r>
        <w:t>Penalising genuine learners → flags trigger checks, not sanctions.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22222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/>
      <w:b/>
      <w:bCs/>
      <w:color w:val="22222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200"/>
      <w:contextualSpacing/>
    </w:pPr>
    <w:rPr>
      <w:rFonts w:ascii="Calibri" w:hAnsi="Calibri"/>
      <w:b/>
      <w:color w:val="22222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