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60"/>
      </w:pPr>
      <w:r>
        <w:rPr>
          <w:b/>
          <w:color w:val="075481"/>
          <w:sz w:val="40"/>
          <w:szCs w:val="40"/>
        </w:rPr>
        <w:t xml:space="preserve">Housing Progress Since 2012</w:t>
      </w:r>
    </w:p>
    <w:p>
      <w:pPr>
        <w:pBdr>
          <w:bottom w:val="single" w:sz="8" w:space="4" w:color="0A7EC2"/>
        </w:pBdr>
        <w:spacing w:before="0" w:after="240"/>
      </w:pPr>
      <w:r>
        <w:rPr>
          <w:color w:val="595959"/>
          <w:sz w:val="24"/>
          <w:szCs w:val="24"/>
        </w:rPr>
        <w:t xml:space="preserve">Text review sheet  ·  Tahoe Living housing dashboard</w:t>
      </w:r>
    </w:p>
    <w:p>
      <w:pPr>
        <w:spacing w:before="0" w:after="180"/>
      </w:pPr>
      <w:r>
        <w:rPr>
          <w:sz w:val="22"/>
          <w:szCs w:val="22"/>
        </w:rPr>
        <w:t xml:space="preserve">This is every piece of wording on the housing dashboard, in the order you meet it going down the page. Use it to rewrite any of the text.</w:t>
      </w:r>
    </w:p>
    <w:p>
      <w:pPr>
        <w:spacing w:before="0" w:after="100"/>
      </w:pPr>
      <w:r>
        <w:rPr>
          <w:b/>
          <w:color w:val="075481"/>
          <w:sz w:val="24"/>
          <w:szCs w:val="24"/>
        </w:rPr>
        <w:t xml:space="preserve">How to use this</w:t>
      </w:r>
    </w:p>
    <w:p>
      <w:pPr>
        <w:ind w:left="460" w:hanging="460"/>
        <w:spacing w:before="0" w:after="70"/>
      </w:pPr>
      <w:r>
        <w:rPr>
          <w:sz w:val="22"/>
          <w:szCs w:val="22"/>
        </w:rPr>
        <w:t xml:space="preserve">1.	Open the dashboard side by side with this document.</w:t>
      </w:r>
    </w:p>
    <w:p>
      <w:pPr>
        <w:ind w:left="460" w:hanging="460"/>
        <w:spacing w:before="0" w:after="70"/>
      </w:pPr>
      <w:r>
        <w:rPr>
          <w:sz w:val="22"/>
          <w:szCs w:val="22"/>
        </w:rPr>
        <w:t xml:space="preserve">2.	Work down the tables. Type your new wording in the right-hand column of any line you want changed.</w:t>
      </w:r>
    </w:p>
    <w:p>
      <w:pPr>
        <w:ind w:left="460" w:hanging="460"/>
        <w:spacing w:before="0" w:after="70"/>
      </w:pPr>
      <w:r>
        <w:rPr>
          <w:sz w:val="22"/>
          <w:szCs w:val="22"/>
        </w:rPr>
        <w:t xml:space="preserve">3.	Leave the right-hand column empty for anything you are happy with. You do not need to fill in every line.</w:t>
      </w:r>
    </w:p>
    <w:p>
      <w:pPr>
        <w:ind w:left="460" w:hanging="460"/>
        <w:spacing w:before="0" w:after="70"/>
      </w:pPr>
      <w:r>
        <w:rPr>
          <w:sz w:val="22"/>
          <w:szCs w:val="22"/>
        </w:rPr>
        <w:t xml:space="preserve">4.	Save the document and send it back to Mason. Please keep the ID codes (T01, T02, and so on) — they are how your changes get applied.</w:t>
      </w:r>
    </w:p>
    <w:p>
      <w:pPr>
        <w:spacing w:before="100" w:after="220"/>
      </w:pPr>
      <w:r>
        <w:rPr>
          <w:sz w:val="22"/>
          <w:szCs w:val="22"/>
        </w:rPr>
        <w:t xml:space="preserve">Put anything that doesn't fit the tables in Other feedback at the end. Rough notes are fine, for example “T34 feels too passive” or “can the pipeline chart come first?”.</w:t>
      </w:r>
    </w:p>
    <w:p>
      <w:pPr>
        <w:spacing w:before="0" w:after="100"/>
      </w:pPr>
      <w:r>
        <w:rPr>
          <w:b/>
          <w:color w:val="075481"/>
          <w:sz w:val="24"/>
          <w:szCs w:val="24"/>
        </w:rPr>
        <w:t xml:space="preserve">What this sheet cannot change</w:t>
      </w:r>
    </w:p>
    <w:p>
      <w:pPr>
        <w:ind w:left="460" w:hanging="460"/>
        <w:spacing w:before="0" w:after="70"/>
      </w:pPr>
      <w:r>
        <w:rPr>
          <w:sz w:val="22"/>
          <w:szCs w:val="22"/>
        </w:rPr>
        <w:t xml:space="preserve">•	Every number. Unit counts, parcel counts, and years all come from the housing spreadsheet. If a number looks wrong, note it under Other feedback so we can fix it in the source data.</w:t>
      </w:r>
    </w:p>
    <w:p>
      <w:pPr>
        <w:ind w:left="460" w:hanging="460"/>
        <w:spacing w:before="0" w:after="70"/>
      </w:pPr>
      <w:r>
        <w:rPr>
          <w:sz w:val="22"/>
          <w:szCs w:val="22"/>
        </w:rPr>
        <w:t xml:space="preserve">•	Jurisdiction names and filter options. These are generated from the data.</w:t>
      </w:r>
    </w:p>
    <w:p>
      <w:pPr>
        <w:ind w:left="460" w:hanging="460"/>
        <w:spacing w:before="0" w:after="70"/>
      </w:pPr>
      <w:r>
        <w:rPr>
          <w:sz w:val="22"/>
          <w:szCs w:val="22"/>
        </w:rPr>
        <w:t xml:space="preserve">•	Chart colors, layout, and the order of sections. Ask for those under Other feedback.</w:t>
      </w:r>
    </w:p>
    <w:p>
      <w:pPr>
        <w:spacing w:before="260" w:after="130"/>
      </w:pPr>
      <w:r>
        <w:rPr>
          <w:b/>
          <w:color w:val="075481"/>
          <w:sz w:val="26"/>
          <w:szCs w:val="26"/>
        </w:rPr>
        <w:t xml:space="preserve">1. Browser tab and header</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Pr>
      <w:tblGrid>
        <w:gridCol w:w="2200"/>
        <w:gridCol w:w="4300"/>
        <w:gridCol w:w="3580"/>
      </w:tblGrid>
      <w:tr>
        <w:trPr>
          <w:tblHeader/>
        </w:trPr>
        <w:tc>
          <w:tcPr>
            <w:tcW w:w="2200" w:type="dxa"/>
            <w:shd w:val="clear" w:color="auto" w:fill="0A7EC2"/>
          </w:tcPr>
          <w:p>
            <w:pPr>
              <w:spacing w:before="0" w:after="0"/>
            </w:pPr>
            <w:r>
              <w:rPr>
                <w:b/>
                <w:color w:val="FFFFFF"/>
                <w:sz w:val="19"/>
                <w:szCs w:val="19"/>
              </w:rPr>
              <w:t xml:space="preserve">Where it appears</w:t>
            </w:r>
          </w:p>
        </w:tc>
        <w:tc>
          <w:tcPr>
            <w:tcW w:w="4300" w:type="dxa"/>
            <w:shd w:val="clear" w:color="auto" w:fill="0A7EC2"/>
          </w:tcPr>
          <w:p>
            <w:pPr>
              <w:spacing w:before="0" w:after="0"/>
            </w:pPr>
            <w:r>
              <w:rPr>
                <w:b/>
                <w:color w:val="FFFFFF"/>
                <w:sz w:val="19"/>
                <w:szCs w:val="19"/>
              </w:rPr>
              <w:t xml:space="preserve">Current wording</w:t>
            </w:r>
          </w:p>
        </w:tc>
        <w:tc>
          <w:tcPr>
            <w:tcW w:w="3580" w:type="dxa"/>
            <w:shd w:val="clear" w:color="auto" w:fill="0A7EC2"/>
          </w:tcPr>
          <w:p>
            <w:pPr>
              <w:spacing w:before="0" w:after="0"/>
            </w:pPr>
            <w:r>
              <w:rPr>
                <w:b/>
                <w:color w:val="FFFFFF"/>
                <w:sz w:val="19"/>
                <w:szCs w:val="19"/>
              </w:rPr>
              <w:t xml:space="preserve">Your new wording</w:t>
            </w:r>
          </w:p>
        </w:tc>
      </w:tr>
      <w:tr>
        <w:trPr>
          <w:trHeight w:val="340" w:hRule="atLeast"/>
        </w:trPr>
        <w:tc>
          <w:tcPr>
            <w:tcW w:w="2200" w:type="dxa"/>
          </w:tcPr>
          <w:p>
            <w:pPr>
              <w:spacing w:before="0" w:after="0"/>
            </w:pPr>
            <w:r>
              <w:rPr>
                <w:b/>
                <w:color w:val="075481"/>
                <w:sz w:val="21"/>
                <w:szCs w:val="21"/>
              </w:rPr>
              <w:t xml:space="preserve">T01</w:t>
            </w:r>
          </w:p>
          <w:p>
            <w:pPr>
              <w:spacing w:before="0" w:after="0"/>
            </w:pPr>
            <w:r>
              <w:rPr>
                <w:color w:val="595959"/>
                <w:sz w:val="17"/>
                <w:szCs w:val="17"/>
              </w:rPr>
              <w:t xml:space="preserve">Browser tab title</w:t>
            </w:r>
          </w:p>
        </w:tc>
        <w:tc>
          <w:tcPr>
            <w:tcW w:w="4300" w:type="dxa"/>
          </w:tcPr>
          <w:p>
            <w:pPr>
              <w:spacing w:before="0" w:after="0"/>
            </w:pPr>
            <w:r>
              <w:rPr>
                <w:sz w:val="21"/>
                <w:szCs w:val="21"/>
              </w:rPr>
              <w:t xml:space="preserve">Housing Progress — Tahoe Living</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T02</w:t>
            </w:r>
          </w:p>
          <w:p>
            <w:pPr>
              <w:spacing w:before="0" w:after="0"/>
            </w:pPr>
            <w:r>
              <w:rPr>
                <w:color w:val="595959"/>
                <w:sz w:val="17"/>
                <w:szCs w:val="17"/>
              </w:rPr>
              <w:t xml:space="preserve">Small label above the page title</w:t>
            </w:r>
          </w:p>
        </w:tc>
        <w:tc>
          <w:tcPr>
            <w:tcW w:w="4300" w:type="dxa"/>
          </w:tcPr>
          <w:p>
            <w:pPr>
              <w:spacing w:before="0" w:after="0"/>
            </w:pPr>
            <w:r>
              <w:rPr>
                <w:sz w:val="21"/>
                <w:szCs w:val="21"/>
              </w:rPr>
              <w:t xml:space="preserve">Housing dashboard</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T03</w:t>
            </w:r>
          </w:p>
          <w:p>
            <w:pPr>
              <w:spacing w:before="0" w:after="0"/>
            </w:pPr>
            <w:r>
              <w:rPr>
                <w:color w:val="595959"/>
                <w:sz w:val="17"/>
                <w:szCs w:val="17"/>
              </w:rPr>
              <w:t xml:space="preserve">Page title (top of every screen, keep it short)</w:t>
            </w:r>
          </w:p>
        </w:tc>
        <w:tc>
          <w:tcPr>
            <w:tcW w:w="4300" w:type="dxa"/>
          </w:tcPr>
          <w:p>
            <w:pPr>
              <w:spacing w:before="0" w:after="0"/>
            </w:pPr>
            <w:r>
              <w:rPr>
                <w:sz w:val="21"/>
                <w:szCs w:val="21"/>
              </w:rPr>
              <w:t xml:space="preserve">Housing Progress</w:t>
            </w:r>
          </w:p>
        </w:tc>
        <w:tc>
          <w:tcPr>
            <w:tcW w:w="3580" w:type="dxa"/>
            <w:shd w:val="clear" w:color="auto" w:fill="FFFDF0"/>
          </w:tcPr>
          <w:p>
            <w:pPr>
              <w:spacing w:before="0" w:after="0"/>
            </w:pPr>
          </w:p>
        </w:tc>
      </w:tr>
      <w:tr>
        <w:tc>
          <w:tcPr>
            <w:tcW w:w="10080" w:type="dxa"/>
            <w:gridSpan w:val="3"/>
            <w:shd w:val="clear" w:color="auto" w:fill="EDF4FA"/>
          </w:tcPr>
          <w:p>
            <w:pPr>
              <w:spacing w:before="0" w:after="0"/>
            </w:pPr>
            <w:r>
              <w:rPr>
                <w:i/>
                <w:color w:val="595959"/>
                <w:sz w:val="19"/>
                <w:szCs w:val="19"/>
              </w:rPr>
              <w:t xml:space="preserve">Navigation links across the top right:</w:t>
            </w:r>
          </w:p>
        </w:tc>
      </w:tr>
      <w:tr>
        <w:trPr>
          <w:trHeight w:val="340" w:hRule="atLeast"/>
        </w:trPr>
        <w:tc>
          <w:tcPr>
            <w:tcW w:w="2200" w:type="dxa"/>
          </w:tcPr>
          <w:p>
            <w:pPr>
              <w:spacing w:before="0" w:after="0"/>
            </w:pPr>
            <w:r>
              <w:rPr>
                <w:b/>
                <w:color w:val="075481"/>
                <w:sz w:val="21"/>
                <w:szCs w:val="21"/>
              </w:rPr>
              <w:t xml:space="preserve">T04</w:t>
            </w:r>
          </w:p>
        </w:tc>
        <w:tc>
          <w:tcPr>
            <w:tcW w:w="4300" w:type="dxa"/>
          </w:tcPr>
          <w:p>
            <w:pPr>
              <w:spacing w:before="0" w:after="0"/>
            </w:pPr>
            <w:r>
              <w:rPr>
                <w:sz w:val="21"/>
                <w:szCs w:val="21"/>
              </w:rPr>
              <w:t xml:space="preserve">Map</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T05</w:t>
            </w:r>
          </w:p>
        </w:tc>
        <w:tc>
          <w:tcPr>
            <w:tcW w:w="4300" w:type="dxa"/>
          </w:tcPr>
          <w:p>
            <w:pPr>
              <w:spacing w:before="0" w:after="0"/>
            </w:pPr>
            <w:r>
              <w:rPr>
                <w:sz w:val="21"/>
                <w:szCs w:val="21"/>
              </w:rPr>
              <w:t xml:space="preserve">Timeline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T06</w:t>
            </w:r>
          </w:p>
        </w:tc>
        <w:tc>
          <w:tcPr>
            <w:tcW w:w="4300" w:type="dxa"/>
          </w:tcPr>
          <w:p>
            <w:pPr>
              <w:spacing w:before="0" w:after="0"/>
            </w:pPr>
            <w:r>
              <w:rPr>
                <w:sz w:val="21"/>
                <w:szCs w:val="21"/>
              </w:rPr>
              <w:t xml:space="preserve">Featured projects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T08</w:t>
            </w:r>
          </w:p>
        </w:tc>
        <w:tc>
          <w:tcPr>
            <w:tcW w:w="4300" w:type="dxa"/>
          </w:tcPr>
          <w:p>
            <w:pPr>
              <w:spacing w:before="0" w:after="0"/>
            </w:pPr>
            <w:r>
              <w:rPr>
                <w:sz w:val="21"/>
                <w:szCs w:val="21"/>
              </w:rPr>
              <w:t xml:space="preserve">All planning tools</w:t>
            </w:r>
          </w:p>
        </w:tc>
        <w:tc>
          <w:tcPr>
            <w:tcW w:w="3580" w:type="dxa"/>
            <w:shd w:val="clear" w:color="auto" w:fill="FFFDF0"/>
          </w:tcPr>
          <w:p>
            <w:pPr>
              <w:spacing w:before="0" w:after="0"/>
            </w:pPr>
          </w:p>
        </w:tc>
      </w:tr>
    </w:tbl>
    <w:p>
      <w:pPr>
        <w:spacing w:before="0" w:after="200"/>
      </w:pPr>
    </w:p>
    <w:p>
      <w:pPr>
        <w:spacing w:before="260" w:after="130"/>
      </w:pPr>
      <w:r>
        <w:rPr>
          <w:b/>
          <w:color w:val="075481"/>
          <w:sz w:val="26"/>
          <w:szCs w:val="26"/>
        </w:rPr>
        <w:t xml:space="preserve">2. Opening section</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Pr>
      <w:tblGrid>
        <w:gridCol w:w="2200"/>
        <w:gridCol w:w="4300"/>
        <w:gridCol w:w="3580"/>
      </w:tblGrid>
      <w:tr>
        <w:trPr>
          <w:tblHeader/>
        </w:trPr>
        <w:tc>
          <w:tcPr>
            <w:tcW w:w="2200" w:type="dxa"/>
            <w:shd w:val="clear" w:color="auto" w:fill="0A7EC2"/>
          </w:tcPr>
          <w:p>
            <w:pPr>
              <w:spacing w:before="0" w:after="0"/>
            </w:pPr>
            <w:r>
              <w:rPr>
                <w:b/>
                <w:color w:val="FFFFFF"/>
                <w:sz w:val="19"/>
                <w:szCs w:val="19"/>
              </w:rPr>
              <w:t xml:space="preserve">Where it appears</w:t>
            </w:r>
          </w:p>
        </w:tc>
        <w:tc>
          <w:tcPr>
            <w:tcW w:w="4300" w:type="dxa"/>
            <w:shd w:val="clear" w:color="auto" w:fill="0A7EC2"/>
          </w:tcPr>
          <w:p>
            <w:pPr>
              <w:spacing w:before="0" w:after="0"/>
            </w:pPr>
            <w:r>
              <w:rPr>
                <w:b/>
                <w:color w:val="FFFFFF"/>
                <w:sz w:val="19"/>
                <w:szCs w:val="19"/>
              </w:rPr>
              <w:t xml:space="preserve">Current wording</w:t>
            </w:r>
          </w:p>
        </w:tc>
        <w:tc>
          <w:tcPr>
            <w:tcW w:w="3580" w:type="dxa"/>
            <w:shd w:val="clear" w:color="auto" w:fill="0A7EC2"/>
          </w:tcPr>
          <w:p>
            <w:pPr>
              <w:spacing w:before="0" w:after="0"/>
            </w:pPr>
            <w:r>
              <w:rPr>
                <w:b/>
                <w:color w:val="FFFFFF"/>
                <w:sz w:val="19"/>
                <w:szCs w:val="19"/>
              </w:rPr>
              <w:t xml:space="preserve">Your new wording</w:t>
            </w:r>
          </w:p>
        </w:tc>
      </w:tr>
      <w:tr>
        <w:trPr>
          <w:trHeight w:val="340" w:hRule="atLeast"/>
        </w:trPr>
        <w:tc>
          <w:tcPr>
            <w:tcW w:w="2200" w:type="dxa"/>
          </w:tcPr>
          <w:p>
            <w:pPr>
              <w:spacing w:before="0" w:after="0"/>
            </w:pPr>
            <w:r>
              <w:rPr>
                <w:b/>
                <w:color w:val="075481"/>
                <w:sz w:val="21"/>
                <w:szCs w:val="21"/>
              </w:rPr>
              <w:t xml:space="preserve">T09</w:t>
            </w:r>
          </w:p>
          <w:p>
            <w:pPr>
              <w:spacing w:before="0" w:after="0"/>
            </w:pPr>
            <w:r>
              <w:rPr>
                <w:color w:val="595959"/>
                <w:sz w:val="17"/>
                <w:szCs w:val="17"/>
              </w:rPr>
              <w:t xml:space="preserve">Section label (small blue text above the headline)</w:t>
            </w:r>
          </w:p>
        </w:tc>
        <w:tc>
          <w:tcPr>
            <w:tcW w:w="4300" w:type="dxa"/>
          </w:tcPr>
          <w:p>
            <w:pPr>
              <w:spacing w:before="0" w:after="0"/>
            </w:pPr>
            <w:r>
              <w:rPr>
                <w:sz w:val="21"/>
                <w:szCs w:val="21"/>
              </w:rPr>
              <w:t xml:space="preserve">Cultivating Community, Conserving the Basin</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T10</w:t>
            </w:r>
          </w:p>
          <w:p>
            <w:pPr>
              <w:spacing w:before="0" w:after="0"/>
            </w:pPr>
            <w:r>
              <w:rPr>
                <w:color w:val="595959"/>
                <w:sz w:val="17"/>
                <w:szCs w:val="17"/>
              </w:rPr>
              <w:t xml:space="preserve">Main headline</w:t>
            </w:r>
          </w:p>
        </w:tc>
        <w:tc>
          <w:tcPr>
            <w:tcW w:w="4300" w:type="dxa"/>
          </w:tcPr>
          <w:p>
            <w:pPr>
              <w:spacing w:before="0" w:after="0"/>
            </w:pPr>
            <w:r>
              <w:rPr>
                <w:sz w:val="21"/>
                <w:szCs w:val="21"/>
              </w:rPr>
              <w:t xml:space="preserve">Lake Tahoe Affordable and Workforce Housing Snapshot</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T11</w:t>
            </w:r>
          </w:p>
          <w:p>
            <w:pPr>
              <w:spacing w:before="0" w:after="0"/>
            </w:pPr>
            <w:r>
              <w:rPr>
                <w:color w:val="595959"/>
                <w:sz w:val="17"/>
                <w:szCs w:val="17"/>
              </w:rPr>
              <w:t xml:space="preserve">Opening paragraph</w:t>
            </w:r>
          </w:p>
        </w:tc>
        <w:tc>
          <w:tcPr>
            <w:tcW w:w="4300" w:type="dxa"/>
          </w:tcPr>
          <w:p>
            <w:pPr>
              <w:spacing w:before="0" w:after="0"/>
            </w:pPr>
            <w:r>
              <w:rPr>
                <w:sz w:val="21"/>
                <w:szCs w:val="21"/>
              </w:rPr>
              <w:t xml:space="preserve">Multifamily, deed-restricted, and accessory dwelling units built across the Tahoe Basin's jurisdictions, plus the projects now in the pipeline.</w:t>
            </w:r>
          </w:p>
        </w:tc>
        <w:tc>
          <w:tcPr>
            <w:tcW w:w="3580" w:type="dxa"/>
            <w:shd w:val="clear" w:color="auto" w:fill="FFFDF0"/>
          </w:tcPr>
          <w:p>
            <w:pPr>
              <w:spacing w:before="0" w:after="0"/>
            </w:pPr>
          </w:p>
        </w:tc>
      </w:tr>
    </w:tbl>
    <w:p>
      <w:pPr>
        <w:spacing w:before="0" w:after="200"/>
      </w:pPr>
    </w:p>
    <w:p>
      <w:pPr>
        <w:spacing w:before="260" w:after="130"/>
      </w:pPr>
      <w:r>
        <w:rPr>
          <w:b/>
          <w:color w:val="075481"/>
          <w:sz w:val="26"/>
          <w:szCs w:val="26"/>
        </w:rPr>
        <w:t xml:space="preserve">3. The five big numbers</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Pr>
      <w:tblGrid>
        <w:gridCol w:w="2200"/>
        <w:gridCol w:w="4300"/>
        <w:gridCol w:w="3580"/>
      </w:tblGrid>
      <w:tr>
        <w:trPr>
          <w:tblHeader/>
        </w:trPr>
        <w:tc>
          <w:tcPr>
            <w:tcW w:w="2200" w:type="dxa"/>
            <w:shd w:val="clear" w:color="auto" w:fill="0A7EC2"/>
          </w:tcPr>
          <w:p>
            <w:pPr>
              <w:spacing w:before="0" w:after="0"/>
            </w:pPr>
            <w:r>
              <w:rPr>
                <w:b/>
                <w:color w:val="FFFFFF"/>
                <w:sz w:val="19"/>
                <w:szCs w:val="19"/>
              </w:rPr>
              <w:t xml:space="preserve">Where it appears</w:t>
            </w:r>
          </w:p>
        </w:tc>
        <w:tc>
          <w:tcPr>
            <w:tcW w:w="4300" w:type="dxa"/>
            <w:shd w:val="clear" w:color="auto" w:fill="0A7EC2"/>
          </w:tcPr>
          <w:p>
            <w:pPr>
              <w:spacing w:before="0" w:after="0"/>
            </w:pPr>
            <w:r>
              <w:rPr>
                <w:b/>
                <w:color w:val="FFFFFF"/>
                <w:sz w:val="19"/>
                <w:szCs w:val="19"/>
              </w:rPr>
              <w:t xml:space="preserve">Current wording</w:t>
            </w:r>
          </w:p>
        </w:tc>
        <w:tc>
          <w:tcPr>
            <w:tcW w:w="3580" w:type="dxa"/>
            <w:shd w:val="clear" w:color="auto" w:fill="0A7EC2"/>
          </w:tcPr>
          <w:p>
            <w:pPr>
              <w:spacing w:before="0" w:after="0"/>
            </w:pPr>
            <w:r>
              <w:rPr>
                <w:b/>
                <w:color w:val="FFFFFF"/>
                <w:sz w:val="19"/>
                <w:szCs w:val="19"/>
              </w:rPr>
              <w:t xml:space="preserve">Your new wording</w:t>
            </w:r>
          </w:p>
        </w:tc>
      </w:tr>
      <w:tr>
        <w:tc>
          <w:tcPr>
            <w:tcW w:w="10080" w:type="dxa"/>
            <w:gridSpan w:val="3"/>
            <w:shd w:val="clear" w:color="auto" w:fill="EDF4FA"/>
          </w:tcPr>
          <w:p>
            <w:pPr>
              <w:spacing w:before="0" w:after="0"/>
            </w:pPr>
            <w:r>
              <w:rPr>
                <w:i/>
                <w:color w:val="595959"/>
                <w:sz w:val="19"/>
                <w:szCs w:val="19"/>
              </w:rPr>
              <w:t xml:space="preserve">Only the labels can change here. The numbers are calculated from the spreadsheet. Each card also has a hover note, listed in section 4. The cards now run in the order Karen asked for on 16 Sept. 2026, so on the page you meet T13, T14, T15, then T12, then T16. The ID codes have not moved, so they still match earlier copies of this sheet.</w:t>
            </w:r>
          </w:p>
        </w:tc>
      </w:tr>
      <w:tr>
        <w:trPr>
          <w:trHeight w:val="340" w:hRule="atLeast"/>
        </w:trPr>
        <w:tc>
          <w:tcPr>
            <w:tcW w:w="2200" w:type="dxa"/>
          </w:tcPr>
          <w:p>
            <w:pPr>
              <w:spacing w:before="0" w:after="0"/>
            </w:pPr>
            <w:r>
              <w:rPr>
                <w:b/>
                <w:color w:val="075481"/>
                <w:sz w:val="21"/>
                <w:szCs w:val="21"/>
              </w:rPr>
              <w:t xml:space="preserve">T12</w:t>
            </w:r>
          </w:p>
          <w:p>
            <w:pPr>
              <w:spacing w:before="0" w:after="0"/>
            </w:pPr>
            <w:r>
              <w:rPr>
                <w:color w:val="595959"/>
                <w:sz w:val="17"/>
                <w:szCs w:val="17"/>
              </w:rPr>
              <w:t xml:space="preserve">Label under the first number</w:t>
            </w:r>
          </w:p>
        </w:tc>
        <w:tc>
          <w:tcPr>
            <w:tcW w:w="4300" w:type="dxa"/>
          </w:tcPr>
          <w:p>
            <w:pPr>
              <w:spacing w:before="0" w:after="0"/>
            </w:pPr>
            <w:r>
              <w:rPr>
                <w:sz w:val="21"/>
                <w:szCs w:val="21"/>
              </w:rPr>
              <w:t xml:space="preserve">Affordable &amp; workforce units built since 2012</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T13</w:t>
            </w:r>
          </w:p>
        </w:tc>
        <w:tc>
          <w:tcPr>
            <w:tcW w:w="4300" w:type="dxa"/>
          </w:tcPr>
          <w:p>
            <w:pPr>
              <w:spacing w:before="0" w:after="0"/>
            </w:pPr>
            <w:r>
              <w:rPr>
                <w:sz w:val="21"/>
                <w:szCs w:val="21"/>
              </w:rPr>
              <w:t xml:space="preserve">Affordable &amp; workforce units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T14</w:t>
            </w:r>
          </w:p>
        </w:tc>
        <w:tc>
          <w:tcPr>
            <w:tcW w:w="4300" w:type="dxa"/>
          </w:tcPr>
          <w:p>
            <w:pPr>
              <w:spacing w:before="0" w:after="0"/>
            </w:pPr>
            <w:r>
              <w:rPr>
                <w:sz w:val="21"/>
                <w:szCs w:val="21"/>
              </w:rPr>
              <w:t xml:space="preserve">Deed-restricted units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T15</w:t>
            </w:r>
          </w:p>
        </w:tc>
        <w:tc>
          <w:tcPr>
            <w:tcW w:w="4300" w:type="dxa"/>
          </w:tcPr>
          <w:p>
            <w:pPr>
              <w:spacing w:before="0" w:after="0"/>
            </w:pPr>
            <w:r>
              <w:rPr>
                <w:sz w:val="21"/>
                <w:szCs w:val="21"/>
              </w:rPr>
              <w:t xml:space="preserve">Accessory dwelling units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T16</w:t>
            </w:r>
          </w:p>
        </w:tc>
        <w:tc>
          <w:tcPr>
            <w:tcW w:w="4300" w:type="dxa"/>
          </w:tcPr>
          <w:p>
            <w:pPr>
              <w:spacing w:before="0" w:after="0"/>
            </w:pPr>
            <w:r>
              <w:rPr>
                <w:sz w:val="21"/>
                <w:szCs w:val="21"/>
              </w:rPr>
              <w:t xml:space="preserve">Units in the pipeline</w:t>
            </w:r>
          </w:p>
        </w:tc>
        <w:tc>
          <w:tcPr>
            <w:tcW w:w="3580" w:type="dxa"/>
            <w:shd w:val="clear" w:color="auto" w:fill="FFFDF0"/>
          </w:tcPr>
          <w:p>
            <w:pPr>
              <w:spacing w:before="0" w:after="0"/>
            </w:pPr>
          </w:p>
        </w:tc>
      </w:tr>
      <w:tr>
        <w:tc>
          <w:tcPr>
            <w:tcW w:w="10080" w:type="dxa"/>
            <w:gridSpan w:val="3"/>
            <w:shd w:val="clear" w:color="auto" w:fill="EDF4FA"/>
          </w:tcPr>
          <w:p>
            <w:pPr>
              <w:spacing w:before="0" w:after="0"/>
            </w:pPr>
            <w:r>
              <w:rPr>
                <w:i/>
                <w:color w:val="595959"/>
                <w:sz w:val="19"/>
                <w:szCs w:val="19"/>
              </w:rPr>
              <w:t xml:space="preserve">Grey small print under each number. The count fills itself in, so only the words after it can change.</w:t>
            </w:r>
          </w:p>
        </w:tc>
      </w:tr>
      <w:tr>
        <w:trPr>
          <w:trHeight w:val="340" w:hRule="atLeast"/>
        </w:trPr>
        <w:tc>
          <w:tcPr>
            <w:tcW w:w="2200" w:type="dxa"/>
          </w:tcPr>
          <w:p>
            <w:pPr>
              <w:spacing w:before="0" w:after="0"/>
            </w:pPr>
            <w:r>
              <w:rPr>
                <w:b/>
                <w:color w:val="075481"/>
                <w:sz w:val="21"/>
                <w:szCs w:val="21"/>
              </w:rPr>
              <w:t xml:space="preserve">T17</w:t>
            </w:r>
          </w:p>
          <w:p>
            <w:pPr>
              <w:spacing w:before="0" w:after="0"/>
            </w:pPr>
            <w:r>
              <w:rPr>
                <w:color w:val="595959"/>
                <w:sz w:val="17"/>
                <w:szCs w:val="17"/>
              </w:rPr>
              <w:t xml:space="preserve">Under the first number, for example "358 parcels · of 1,469 added regionwide"</w:t>
            </w:r>
          </w:p>
        </w:tc>
        <w:tc>
          <w:tcPr>
            <w:tcW w:w="4300" w:type="dxa"/>
          </w:tcPr>
          <w:p>
            <w:pPr>
              <w:spacing w:before="0" w:after="0"/>
            </w:pPr>
            <w:r>
              <w:rPr>
                <w:sz w:val="21"/>
                <w:szCs w:val="21"/>
              </w:rPr>
              <w:t xml:space="preserve">parcels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T18</w:t>
            </w:r>
          </w:p>
          <w:p>
            <w:pPr>
              <w:spacing w:before="0" w:after="0"/>
            </w:pPr>
            <w:r>
              <w:rPr>
                <w:color w:val="595959"/>
                <w:sz w:val="17"/>
                <w:szCs w:val="17"/>
              </w:rPr>
              <w:t xml:space="preserve">Under affordable &amp; workforce</w:t>
            </w:r>
          </w:p>
        </w:tc>
        <w:tc>
          <w:tcPr>
            <w:tcW w:w="4300" w:type="dxa"/>
          </w:tcPr>
          <w:p>
            <w:pPr>
              <w:spacing w:before="0" w:after="0"/>
            </w:pPr>
            <w:r>
              <w:rPr>
                <w:sz w:val="21"/>
                <w:szCs w:val="21"/>
              </w:rPr>
              <w:t xml:space="preserve">parcels, estimated</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T19</w:t>
            </w:r>
          </w:p>
          <w:p>
            <w:pPr>
              <w:spacing w:before="0" w:after="0"/>
            </w:pPr>
            <w:r>
              <w:rPr>
                <w:color w:val="595959"/>
                <w:sz w:val="17"/>
                <w:szCs w:val="17"/>
              </w:rPr>
              <w:t xml:space="preserve">Under deed-restricted</w:t>
            </w:r>
          </w:p>
        </w:tc>
        <w:tc>
          <w:tcPr>
            <w:tcW w:w="4300" w:type="dxa"/>
          </w:tcPr>
          <w:p>
            <w:pPr>
              <w:spacing w:before="0" w:after="0"/>
            </w:pPr>
            <w:r>
              <w:rPr>
                <w:sz w:val="21"/>
                <w:szCs w:val="21"/>
              </w:rPr>
              <w:t xml:space="preserve">parcels, constructed only</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T20</w:t>
            </w:r>
          </w:p>
          <w:p>
            <w:pPr>
              <w:spacing w:before="0" w:after="0"/>
            </w:pPr>
            <w:r>
              <w:rPr>
                <w:color w:val="595959"/>
                <w:sz w:val="17"/>
                <w:szCs w:val="17"/>
              </w:rPr>
              <w:t xml:space="preserve">Under accessory dwelling units</w:t>
            </w:r>
          </w:p>
        </w:tc>
        <w:tc>
          <w:tcPr>
            <w:tcW w:w="4300" w:type="dxa"/>
          </w:tcPr>
          <w:p>
            <w:pPr>
              <w:spacing w:before="0" w:after="0"/>
            </w:pPr>
            <w:r>
              <w:rPr>
                <w:sz w:val="21"/>
                <w:szCs w:val="21"/>
              </w:rPr>
              <w:t xml:space="preserve">parcels, existing</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T21</w:t>
            </w:r>
          </w:p>
          <w:p>
            <w:pPr>
              <w:spacing w:before="0" w:after="0"/>
            </w:pPr>
            <w:r>
              <w:rPr>
                <w:color w:val="595959"/>
                <w:sz w:val="17"/>
                <w:szCs w:val="17"/>
              </w:rPr>
              <w:t xml:space="preserve">Under units in the pipeline</w:t>
            </w:r>
          </w:p>
        </w:tc>
        <w:tc>
          <w:tcPr>
            <w:tcW w:w="4300" w:type="dxa"/>
          </w:tcPr>
          <w:p>
            <w:pPr>
              <w:spacing w:before="0" w:after="0"/>
            </w:pPr>
            <w:r>
              <w:rPr>
                <w:sz w:val="21"/>
                <w:szCs w:val="21"/>
              </w:rPr>
              <w:t xml:space="preserve">parcels, permitted or reserved</w:t>
            </w:r>
          </w:p>
        </w:tc>
        <w:tc>
          <w:tcPr>
            <w:tcW w:w="3580" w:type="dxa"/>
            <w:shd w:val="clear" w:color="auto" w:fill="FFFDF0"/>
          </w:tcPr>
          <w:p>
            <w:pPr>
              <w:spacing w:before="0" w:after="0"/>
            </w:pPr>
          </w:p>
        </w:tc>
      </w:tr>
    </w:tbl>
    <w:p>
      <w:pPr>
        <w:spacing w:before="0" w:after="200"/>
      </w:pPr>
    </w:p>
    <w:p>
      <w:pPr>
        <w:spacing w:before="260" w:after="130"/>
      </w:pPr>
      <w:r>
        <w:rPr>
          <w:b/>
          <w:color w:val="075481"/>
          <w:sz w:val="26"/>
          <w:szCs w:val="26"/>
        </w:rPr>
        <w:t xml:space="preserve">4. Hover notes</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Pr>
      <w:tblGrid>
        <w:gridCol w:w="2200"/>
        <w:gridCol w:w="4300"/>
        <w:gridCol w:w="3580"/>
      </w:tblGrid>
      <w:tr>
        <w:trPr>
          <w:tblHeader/>
        </w:trPr>
        <w:tc>
          <w:tcPr>
            <w:tcW w:w="2200" w:type="dxa"/>
            <w:shd w:val="clear" w:color="auto" w:fill="0A7EC2"/>
          </w:tcPr>
          <w:p>
            <w:pPr>
              <w:spacing w:before="0" w:after="0"/>
            </w:pPr>
            <w:r>
              <w:rPr>
                <w:b/>
                <w:color w:val="FFFFFF"/>
                <w:sz w:val="19"/>
                <w:szCs w:val="19"/>
              </w:rPr>
              <w:t xml:space="preserve">Where it appears</w:t>
            </w:r>
          </w:p>
        </w:tc>
        <w:tc>
          <w:tcPr>
            <w:tcW w:w="4300" w:type="dxa"/>
            <w:shd w:val="clear" w:color="auto" w:fill="0A7EC2"/>
          </w:tcPr>
          <w:p>
            <w:pPr>
              <w:spacing w:before="0" w:after="0"/>
            </w:pPr>
            <w:r>
              <w:rPr>
                <w:b/>
                <w:color w:val="FFFFFF"/>
                <w:sz w:val="19"/>
                <w:szCs w:val="19"/>
              </w:rPr>
              <w:t xml:space="preserve">Current wording</w:t>
            </w:r>
          </w:p>
        </w:tc>
        <w:tc>
          <w:tcPr>
            <w:tcW w:w="3580" w:type="dxa"/>
            <w:shd w:val="clear" w:color="auto" w:fill="0A7EC2"/>
          </w:tcPr>
          <w:p>
            <w:pPr>
              <w:spacing w:before="0" w:after="0"/>
            </w:pPr>
            <w:r>
              <w:rPr>
                <w:b/>
                <w:color w:val="FFFFFF"/>
                <w:sz w:val="19"/>
                <w:szCs w:val="19"/>
              </w:rPr>
              <w:t xml:space="preserve">Your new wording</w:t>
            </w:r>
          </w:p>
        </w:tc>
      </w:tr>
      <w:tr>
        <w:tc>
          <w:tcPr>
            <w:tcW w:w="10080" w:type="dxa"/>
            <w:gridSpan w:val="3"/>
            <w:shd w:val="clear" w:color="auto" w:fill="EDF4FA"/>
          </w:tcPr>
          <w:p>
            <w:pPr>
              <w:spacing w:before="0" w:after="0"/>
            </w:pPr>
            <w:r>
              <w:rPr>
                <w:i/>
                <w:color w:val="595959"/>
                <w:sz w:val="19"/>
                <w:szCs w:val="19"/>
              </w:rPr>
              <w:t xml:space="preserve">*These appear when you hover the small (i) next to a label. They carry the data caveats from Ken's review, so please keep them accurate as well as readable.*</w:t>
            </w:r>
          </w:p>
        </w:tc>
      </w:tr>
      <w:tr>
        <w:trPr>
          <w:trHeight w:val="340" w:hRule="atLeast"/>
        </w:trPr>
        <w:tc>
          <w:tcPr>
            <w:tcW w:w="2200" w:type="dxa"/>
          </w:tcPr>
          <w:p>
            <w:pPr>
              <w:spacing w:before="0" w:after="0"/>
            </w:pPr>
            <w:r>
              <w:rPr>
                <w:b/>
                <w:color w:val="075481"/>
                <w:sz w:val="21"/>
                <w:szCs w:val="21"/>
              </w:rPr>
              <w:t xml:space="preserve">T22</w:t>
            </w:r>
          </w:p>
          <w:p>
            <w:pPr>
              <w:spacing w:before="0" w:after="0"/>
            </w:pPr>
            <w:r>
              <w:rPr>
                <w:color w:val="595959"/>
                <w:sz w:val="17"/>
                <w:szCs w:val="17"/>
              </w:rPr>
              <w:t xml:space="preserve">On "Multifamily units built since 2012"</w:t>
            </w:r>
          </w:p>
        </w:tc>
        <w:tc>
          <w:tcPr>
            <w:tcW w:w="4300" w:type="dxa"/>
          </w:tcPr>
          <w:p>
            <w:pPr>
              <w:spacing w:before="0" w:after="0"/>
            </w:pPr>
            <w:r>
              <w:rPr>
                <w:sz w:val="21"/>
                <w:szCs w:val="21"/>
              </w:rPr>
              <w:t xml:space="preserve">Counts only the records TRPA tracks for affordable and workforce housing, not everything built in the Basin. Since 2012, N affordable and workforce units have been constructed. Regionwide, 1,469 residential units were added since 2012, see data.trpa.gov/regional-plan-tracking for more details.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T23</w:t>
            </w:r>
          </w:p>
          <w:p>
            <w:pPr>
              <w:spacing w:before="0" w:after="0"/>
            </w:pPr>
            <w:r>
              <w:rPr>
                <w:color w:val="595959"/>
                <w:sz w:val="17"/>
                <w:szCs w:val="17"/>
              </w:rPr>
              <w:t xml:space="preserve">On "Affordable &amp; workforce units"</w:t>
            </w:r>
          </w:p>
        </w:tc>
        <w:tc>
          <w:tcPr>
            <w:tcW w:w="4300" w:type="dxa"/>
          </w:tcPr>
          <w:p>
            <w:pPr>
              <w:spacing w:before="0" w:after="0"/>
            </w:pPr>
            <w:r>
              <w:rPr>
                <w:sz w:val="21"/>
                <w:szCs w:val="21"/>
              </w:rPr>
              <w:t xml:space="preserve">An estimate of the effective number of existing affordable and workforce units.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T24</w:t>
            </w:r>
          </w:p>
          <w:p>
            <w:pPr>
              <w:spacing w:before="0" w:after="0"/>
            </w:pPr>
            <w:r>
              <w:rPr>
                <w:color w:val="595959"/>
                <w:sz w:val="17"/>
                <w:szCs w:val="17"/>
              </w:rPr>
              <w:t xml:space="preserve">On "Deed-restricted units"</w:t>
            </w:r>
          </w:p>
        </w:tc>
        <w:tc>
          <w:tcPr>
            <w:tcW w:w="4300" w:type="dxa"/>
          </w:tcPr>
          <w:p>
            <w:pPr>
              <w:spacing w:before="0" w:after="0"/>
            </w:pPr>
            <w:r>
              <w:rPr>
                <w:sz w:val="21"/>
                <w:szCs w:val="21"/>
              </w:rPr>
              <w:t xml:space="preserve">Constructed deed-restricted units only. Permitted units that are not yet built, and units still in the pipeline, are not counted here. Includes deed-restricted accessory dwelling units.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T25</w:t>
            </w:r>
          </w:p>
          <w:p>
            <w:pPr>
              <w:spacing w:before="0" w:after="0"/>
            </w:pPr>
            <w:r>
              <w:rPr>
                <w:color w:val="595959"/>
                <w:sz w:val="17"/>
                <w:szCs w:val="17"/>
              </w:rPr>
              <w:t xml:space="preserve">On "Accessory dwelling units"</w:t>
            </w:r>
          </w:p>
        </w:tc>
        <w:tc>
          <w:tcPr>
            <w:tcW w:w="4300" w:type="dxa"/>
          </w:tcPr>
          <w:p>
            <w:pPr>
              <w:spacing w:before="0" w:after="0"/>
            </w:pPr>
            <w:r>
              <w:rPr>
                <w:sz w:val="21"/>
                <w:szCs w:val="21"/>
              </w:rPr>
              <w:t xml:space="preserve">Constructed accessory dwelling units. Those approved but not yet constructed appear in the chart below. Some accessory dwelling units are deed-restricted, some are unrestricted.</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T26</w:t>
            </w:r>
          </w:p>
          <w:p>
            <w:pPr>
              <w:spacing w:before="0" w:after="0"/>
            </w:pPr>
            <w:r>
              <w:rPr>
                <w:color w:val="595959"/>
                <w:sz w:val="17"/>
                <w:szCs w:val="17"/>
              </w:rPr>
              <w:t xml:space="preserve">On "Units in the pipeline"</w:t>
            </w:r>
          </w:p>
        </w:tc>
        <w:tc>
          <w:tcPr>
            <w:tcW w:w="4300" w:type="dxa"/>
          </w:tcPr>
          <w:p>
            <w:pPr>
              <w:spacing w:before="0" w:after="0"/>
            </w:pPr>
            <w:r>
              <w:rPr>
                <w:sz w:val="21"/>
                <w:szCs w:val="21"/>
              </w:rPr>
              <w:t xml:space="preserve">Affordable and workforce units only. Unrestricted single-family projects in the pipeline are not tracked here.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T27</w:t>
            </w:r>
          </w:p>
          <w:p>
            <w:pPr>
              <w:spacing w:before="0" w:after="0"/>
            </w:pPr>
            <w:r>
              <w:rPr>
                <w:color w:val="595959"/>
                <w:sz w:val="17"/>
                <w:szCs w:val="17"/>
              </w:rPr>
              <w:t xml:space="preserve">On the "Existing affordable &amp; workforce units" chart</w:t>
            </w:r>
          </w:p>
        </w:tc>
        <w:tc>
          <w:tcPr>
            <w:tcW w:w="4300" w:type="dxa"/>
          </w:tcPr>
          <w:p>
            <w:pPr>
              <w:spacing w:before="0" w:after="0"/>
            </w:pPr>
            <w:r>
              <w:rPr>
                <w:sz w:val="21"/>
                <w:szCs w:val="21"/>
              </w:rPr>
              <w:t xml:space="preserve">Washoe and Douglas totals are shaped by multifamily condominium units being subdivided into individually owned units. This data does not treat those as affordable or workforce housing.</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T29</w:t>
            </w:r>
          </w:p>
          <w:p>
            <w:pPr>
              <w:spacing w:before="0" w:after="0"/>
            </w:pPr>
            <w:r>
              <w:rPr>
                <w:color w:val="595959"/>
                <w:sz w:val="17"/>
                <w:szCs w:val="17"/>
              </w:rPr>
              <w:t xml:space="preserve">On the "Units in the pipeline" chart</w:t>
            </w:r>
          </w:p>
        </w:tc>
        <w:tc>
          <w:tcPr>
            <w:tcW w:w="4300" w:type="dxa"/>
          </w:tcPr>
          <w:p>
            <w:pPr>
              <w:spacing w:before="0" w:after="0"/>
            </w:pPr>
            <w:r>
              <w:rPr>
                <w:sz w:val="21"/>
                <w:szCs w:val="21"/>
              </w:rPr>
              <w:t xml:space="preserve">Unrestricted single-family housing, including condominiums, is not tracked here.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T30</w:t>
            </w:r>
          </w:p>
          <w:p>
            <w:pPr>
              <w:spacing w:before="0" w:after="0"/>
            </w:pPr>
            <w:r>
              <w:rPr>
                <w:color w:val="595959"/>
                <w:sz w:val="17"/>
                <w:szCs w:val="17"/>
              </w:rPr>
              <w:t xml:space="preserve">On the "Existing units by year built" chart</w:t>
            </w:r>
          </w:p>
        </w:tc>
        <w:tc>
          <w:tcPr>
            <w:tcW w:w="4300" w:type="dxa"/>
          </w:tcPr>
          <w:p>
            <w:pPr>
              <w:spacing w:before="0" w:after="0"/>
            </w:pPr>
            <w:r>
              <w:rPr>
                <w:sz w:val="21"/>
                <w:szCs w:val="21"/>
              </w:rPr>
              <w:t xml:space="preserve">Units built since 2012, split into deed-restricted units, accessory dwelling units, and other affordable and workforce inventory. Single-family homes and subdivided units are not included.</w:t>
            </w:r>
          </w:p>
        </w:tc>
        <w:tc>
          <w:tcPr>
            <w:tcW w:w="3580" w:type="dxa"/>
            <w:shd w:val="clear" w:color="auto" w:fill="FFFDF0"/>
          </w:tcPr>
          <w:p>
            <w:pPr>
              <w:spacing w:before="0" w:after="0"/>
            </w:pPr>
          </w:p>
        </w:tc>
      </w:tr>
    </w:tbl>
    <w:p>
      <w:pPr>
        <w:spacing w:before="0" w:after="200"/>
      </w:pPr>
    </w:p>
    <w:p>
      <w:pPr>
        <w:spacing w:before="260" w:after="130"/>
      </w:pPr>
      <w:r>
        <w:rPr>
          <w:b/>
          <w:color w:val="075481"/>
          <w:sz w:val="26"/>
          <w:szCs w:val="26"/>
        </w:rPr>
        <w:t xml:space="preserve">5. Filter bar</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Pr>
      <w:tblGrid>
        <w:gridCol w:w="2200"/>
        <w:gridCol w:w="4300"/>
        <w:gridCol w:w="3580"/>
      </w:tblGrid>
      <w:tr>
        <w:trPr>
          <w:tblHeader/>
        </w:trPr>
        <w:tc>
          <w:tcPr>
            <w:tcW w:w="2200" w:type="dxa"/>
            <w:shd w:val="clear" w:color="auto" w:fill="0A7EC2"/>
          </w:tcPr>
          <w:p>
            <w:pPr>
              <w:spacing w:before="0" w:after="0"/>
            </w:pPr>
            <w:r>
              <w:rPr>
                <w:b/>
                <w:color w:val="FFFFFF"/>
                <w:sz w:val="19"/>
                <w:szCs w:val="19"/>
              </w:rPr>
              <w:t xml:space="preserve">Where it appears</w:t>
            </w:r>
          </w:p>
        </w:tc>
        <w:tc>
          <w:tcPr>
            <w:tcW w:w="4300" w:type="dxa"/>
            <w:shd w:val="clear" w:color="auto" w:fill="0A7EC2"/>
          </w:tcPr>
          <w:p>
            <w:pPr>
              <w:spacing w:before="0" w:after="0"/>
            </w:pPr>
            <w:r>
              <w:rPr>
                <w:b/>
                <w:color w:val="FFFFFF"/>
                <w:sz w:val="19"/>
                <w:szCs w:val="19"/>
              </w:rPr>
              <w:t xml:space="preserve">Current wording</w:t>
            </w:r>
          </w:p>
        </w:tc>
        <w:tc>
          <w:tcPr>
            <w:tcW w:w="3580" w:type="dxa"/>
            <w:shd w:val="clear" w:color="auto" w:fill="0A7EC2"/>
          </w:tcPr>
          <w:p>
            <w:pPr>
              <w:spacing w:before="0" w:after="0"/>
            </w:pPr>
            <w:r>
              <w:rPr>
                <w:b/>
                <w:color w:val="FFFFFF"/>
                <w:sz w:val="19"/>
                <w:szCs w:val="19"/>
              </w:rPr>
              <w:t xml:space="preserve">Your new wording</w:t>
            </w:r>
          </w:p>
        </w:tc>
      </w:tr>
      <w:tr>
        <w:trPr>
          <w:trHeight w:val="340" w:hRule="atLeast"/>
        </w:trPr>
        <w:tc>
          <w:tcPr>
            <w:tcW w:w="2200" w:type="dxa"/>
          </w:tcPr>
          <w:p>
            <w:pPr>
              <w:spacing w:before="0" w:after="0"/>
            </w:pPr>
            <w:r>
              <w:rPr>
                <w:b/>
                <w:color w:val="075481"/>
                <w:sz w:val="21"/>
                <w:szCs w:val="21"/>
              </w:rPr>
              <w:t xml:space="preserve">T31</w:t>
            </w:r>
          </w:p>
          <w:p>
            <w:pPr>
              <w:spacing w:before="0" w:after="0"/>
            </w:pPr>
            <w:r>
              <w:rPr>
                <w:color w:val="595959"/>
                <w:sz w:val="17"/>
                <w:szCs w:val="17"/>
              </w:rPr>
              <w:t xml:space="preserve">Button that opens and closes the filters</w:t>
            </w:r>
          </w:p>
        </w:tc>
        <w:tc>
          <w:tcPr>
            <w:tcW w:w="4300" w:type="dxa"/>
          </w:tcPr>
          <w:p>
            <w:pPr>
              <w:spacing w:before="0" w:after="0"/>
            </w:pPr>
            <w:r>
              <w:rPr>
                <w:sz w:val="21"/>
                <w:szCs w:val="21"/>
              </w:rPr>
              <w:t xml:space="preserve">Filters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T32</w:t>
            </w:r>
          </w:p>
          <w:p>
            <w:pPr>
              <w:spacing w:before="0" w:after="0"/>
            </w:pPr>
            <w:r>
              <w:rPr>
                <w:color w:val="595959"/>
                <w:sz w:val="17"/>
                <w:szCs w:val="17"/>
              </w:rPr>
              <w:t xml:space="preserve">Search box placeholder</w:t>
            </w:r>
          </w:p>
        </w:tc>
        <w:tc>
          <w:tcPr>
            <w:tcW w:w="4300" w:type="dxa"/>
          </w:tcPr>
          <w:p>
            <w:pPr>
              <w:spacing w:before="0" w:after="0"/>
            </w:pPr>
            <w:r>
              <w:rPr>
                <w:sz w:val="21"/>
                <w:szCs w:val="21"/>
              </w:rPr>
              <w:t xml:space="preserve">Search APN, address, notes…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T33</w:t>
            </w:r>
          </w:p>
          <w:p>
            <w:pPr>
              <w:spacing w:before="0" w:after="0"/>
            </w:pPr>
            <w:r>
              <w:rPr>
                <w:color w:val="595959"/>
                <w:sz w:val="17"/>
                <w:szCs w:val="17"/>
              </w:rPr>
              <w:t xml:space="preserve">Button that clears all filters</w:t>
            </w:r>
          </w:p>
        </w:tc>
        <w:tc>
          <w:tcPr>
            <w:tcW w:w="4300" w:type="dxa"/>
          </w:tcPr>
          <w:p>
            <w:pPr>
              <w:spacing w:before="0" w:after="0"/>
            </w:pPr>
            <w:r>
              <w:rPr>
                <w:sz w:val="21"/>
                <w:szCs w:val="21"/>
              </w:rPr>
              <w:t xml:space="preserve">Clear</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T34</w:t>
            </w:r>
          </w:p>
          <w:p>
            <w:pPr>
              <w:spacing w:before="0" w:after="0"/>
            </w:pPr>
            <w:r>
              <w:rPr>
                <w:color w:val="595959"/>
                <w:sz w:val="17"/>
                <w:szCs w:val="17"/>
              </w:rPr>
              <w:t xml:space="preserve">Filter group heading</w:t>
            </w:r>
          </w:p>
        </w:tc>
        <w:tc>
          <w:tcPr>
            <w:tcW w:w="4300" w:type="dxa"/>
          </w:tcPr>
          <w:p>
            <w:pPr>
              <w:spacing w:before="0" w:after="0"/>
            </w:pPr>
            <w:r>
              <w:rPr>
                <w:sz w:val="21"/>
                <w:szCs w:val="21"/>
              </w:rPr>
              <w:t xml:space="preserve">Jurisdiction</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T35</w:t>
            </w:r>
          </w:p>
        </w:tc>
        <w:tc>
          <w:tcPr>
            <w:tcW w:w="4300" w:type="dxa"/>
          </w:tcPr>
          <w:p>
            <w:pPr>
              <w:spacing w:before="0" w:after="0"/>
            </w:pPr>
            <w:r>
              <w:rPr>
                <w:sz w:val="21"/>
                <w:szCs w:val="21"/>
              </w:rPr>
              <w:t xml:space="preserve">Timing</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T36</w:t>
            </w:r>
          </w:p>
        </w:tc>
        <w:tc>
          <w:tcPr>
            <w:tcW w:w="4300" w:type="dxa"/>
          </w:tcPr>
          <w:p>
            <w:pPr>
              <w:spacing w:before="0" w:after="0"/>
            </w:pPr>
            <w:r>
              <w:rPr>
                <w:sz w:val="21"/>
                <w:szCs w:val="21"/>
              </w:rPr>
              <w:t xml:space="preserve">Affordable &amp; workforce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T37</w:t>
            </w:r>
          </w:p>
        </w:tc>
        <w:tc>
          <w:tcPr>
            <w:tcW w:w="4300" w:type="dxa"/>
          </w:tcPr>
          <w:p>
            <w:pPr>
              <w:spacing w:before="0" w:after="0"/>
            </w:pPr>
            <w:r>
              <w:rPr>
                <w:sz w:val="21"/>
                <w:szCs w:val="21"/>
              </w:rPr>
              <w:t xml:space="preserve">Vacation home rental</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T38</w:t>
            </w:r>
          </w:p>
        </w:tc>
        <w:tc>
          <w:tcPr>
            <w:tcW w:w="4300" w:type="dxa"/>
          </w:tcPr>
          <w:p>
            <w:pPr>
              <w:spacing w:before="0" w:after="0"/>
            </w:pPr>
            <w:r>
              <w:rPr>
                <w:sz w:val="21"/>
                <w:szCs w:val="21"/>
              </w:rPr>
              <w:t xml:space="preserve">Housing type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T39</w:t>
            </w:r>
          </w:p>
          <w:p>
            <w:pPr>
              <w:spacing w:before="0" w:after="0"/>
            </w:pPr>
            <w:r>
              <w:rPr>
                <w:color w:val="595959"/>
                <w:sz w:val="17"/>
                <w:szCs w:val="17"/>
              </w:rPr>
              <w:t xml:space="preserve">Link that reveals the rarer housing types</w:t>
            </w:r>
          </w:p>
        </w:tc>
        <w:tc>
          <w:tcPr>
            <w:tcW w:w="4300" w:type="dxa"/>
          </w:tcPr>
          <w:p>
            <w:pPr>
              <w:spacing w:before="0" w:after="0"/>
            </w:pPr>
            <w:r>
              <w:rPr>
                <w:sz w:val="21"/>
                <w:szCs w:val="21"/>
              </w:rPr>
              <w:t xml:space="preserve">Show all types (becomes "Show fewer types" once opened)</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T40</w:t>
            </w:r>
          </w:p>
          <w:p>
            <w:pPr>
              <w:spacing w:before="0" w:after="0"/>
            </w:pPr>
            <w:r>
              <w:rPr>
                <w:color w:val="595959"/>
                <w:sz w:val="17"/>
                <w:szCs w:val="17"/>
              </w:rPr>
              <w:t xml:space="preserve">Record counter, where the numbers fill themselves in</w:t>
            </w:r>
          </w:p>
        </w:tc>
        <w:tc>
          <w:tcPr>
            <w:tcW w:w="4300" w:type="dxa"/>
          </w:tcPr>
          <w:p>
            <w:pPr>
              <w:spacing w:before="0" w:after="0"/>
            </w:pPr>
            <w:r>
              <w:rPr>
                <w:sz w:val="21"/>
                <w:szCs w:val="21"/>
              </w:rPr>
              <w:t xml:space="preserve">11,457 of 11,457 records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T41</w:t>
            </w:r>
          </w:p>
          <w:p>
            <w:pPr>
              <w:spacing w:before="0" w:after="0"/>
            </w:pPr>
            <w:r>
              <w:rPr>
                <w:color w:val="595959"/>
                <w:sz w:val="17"/>
                <w:szCs w:val="17"/>
              </w:rPr>
              <w:t xml:space="preserve">Timing option for rows with no timing in the spreadsheet</w:t>
            </w:r>
          </w:p>
        </w:tc>
        <w:tc>
          <w:tcPr>
            <w:tcW w:w="4300" w:type="dxa"/>
          </w:tcPr>
          <w:p>
            <w:pPr>
              <w:spacing w:before="0" w:after="0"/>
            </w:pPr>
            <w:r>
              <w:rPr>
                <w:sz w:val="21"/>
                <w:szCs w:val="21"/>
              </w:rPr>
              <w:t xml:space="preserve">Constructed, unverified or non-residential</w:t>
            </w:r>
          </w:p>
        </w:tc>
        <w:tc>
          <w:tcPr>
            <w:tcW w:w="3580" w:type="dxa"/>
            <w:shd w:val="clear" w:color="auto" w:fill="FFFDF0"/>
          </w:tcPr>
          <w:p>
            <w:pPr>
              <w:spacing w:before="0" w:after="0"/>
            </w:pPr>
          </w:p>
        </w:tc>
      </w:tr>
    </w:tbl>
    <w:p>
      <w:pPr>
        <w:spacing w:before="0" w:after="200"/>
      </w:pPr>
    </w:p>
    <w:p>
      <w:pPr>
        <w:spacing w:before="260" w:after="130"/>
      </w:pPr>
      <w:r>
        <w:rPr>
          <w:b/>
          <w:color w:val="075481"/>
          <w:sz w:val="26"/>
          <w:szCs w:val="26"/>
        </w:rPr>
        <w:t xml:space="preserve">6. Map and jurisdiction charts</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Pr>
      <w:tblGrid>
        <w:gridCol w:w="2200"/>
        <w:gridCol w:w="4300"/>
        <w:gridCol w:w="3580"/>
      </w:tblGrid>
      <w:tr>
        <w:trPr>
          <w:tblHeader/>
        </w:trPr>
        <w:tc>
          <w:tcPr>
            <w:tcW w:w="2200" w:type="dxa"/>
            <w:shd w:val="clear" w:color="auto" w:fill="0A7EC2"/>
          </w:tcPr>
          <w:p>
            <w:pPr>
              <w:spacing w:before="0" w:after="0"/>
            </w:pPr>
            <w:r>
              <w:rPr>
                <w:b/>
                <w:color w:val="FFFFFF"/>
                <w:sz w:val="19"/>
                <w:szCs w:val="19"/>
              </w:rPr>
              <w:t xml:space="preserve">Where it appears</w:t>
            </w:r>
          </w:p>
        </w:tc>
        <w:tc>
          <w:tcPr>
            <w:tcW w:w="4300" w:type="dxa"/>
            <w:shd w:val="clear" w:color="auto" w:fill="0A7EC2"/>
          </w:tcPr>
          <w:p>
            <w:pPr>
              <w:spacing w:before="0" w:after="0"/>
            </w:pPr>
            <w:r>
              <w:rPr>
                <w:b/>
                <w:color w:val="FFFFFF"/>
                <w:sz w:val="19"/>
                <w:szCs w:val="19"/>
              </w:rPr>
              <w:t xml:space="preserve">Current wording</w:t>
            </w:r>
          </w:p>
        </w:tc>
        <w:tc>
          <w:tcPr>
            <w:tcW w:w="3580" w:type="dxa"/>
            <w:shd w:val="clear" w:color="auto" w:fill="0A7EC2"/>
          </w:tcPr>
          <w:p>
            <w:pPr>
              <w:spacing w:before="0" w:after="0"/>
            </w:pPr>
            <w:r>
              <w:rPr>
                <w:b/>
                <w:color w:val="FFFFFF"/>
                <w:sz w:val="19"/>
                <w:szCs w:val="19"/>
              </w:rPr>
              <w:t xml:space="preserve">Your new wording</w:t>
            </w:r>
          </w:p>
        </w:tc>
      </w:tr>
      <w:tr>
        <w:trPr>
          <w:trHeight w:val="340" w:hRule="atLeast"/>
        </w:trPr>
        <w:tc>
          <w:tcPr>
            <w:tcW w:w="2200" w:type="dxa"/>
          </w:tcPr>
          <w:p>
            <w:pPr>
              <w:spacing w:before="0" w:after="0"/>
            </w:pPr>
            <w:r>
              <w:rPr>
                <w:b/>
                <w:color w:val="075481"/>
                <w:sz w:val="21"/>
                <w:szCs w:val="21"/>
              </w:rPr>
              <w:t xml:space="preserve">T42</w:t>
            </w:r>
          </w:p>
          <w:p>
            <w:pPr>
              <w:spacing w:before="0" w:after="0"/>
            </w:pPr>
            <w:r>
              <w:rPr>
                <w:color w:val="595959"/>
                <w:sz w:val="17"/>
                <w:szCs w:val="17"/>
              </w:rPr>
              <w:t xml:space="preserve">Section label</w:t>
            </w:r>
          </w:p>
        </w:tc>
        <w:tc>
          <w:tcPr>
            <w:tcW w:w="4300" w:type="dxa"/>
          </w:tcPr>
          <w:p>
            <w:pPr>
              <w:spacing w:before="0" w:after="0"/>
            </w:pPr>
            <w:r>
              <w:rPr>
                <w:sz w:val="21"/>
                <w:szCs w:val="21"/>
              </w:rPr>
              <w:t xml:space="preserve">By jurisdiction</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T43</w:t>
            </w:r>
          </w:p>
          <w:p>
            <w:pPr>
              <w:spacing w:before="0" w:after="0"/>
            </w:pPr>
            <w:r>
              <w:rPr>
                <w:color w:val="595959"/>
                <w:sz w:val="17"/>
                <w:szCs w:val="17"/>
              </w:rPr>
              <w:t xml:space="preserve">Section heading</w:t>
            </w:r>
          </w:p>
        </w:tc>
        <w:tc>
          <w:tcPr>
            <w:tcW w:w="4300" w:type="dxa"/>
          </w:tcPr>
          <w:p>
            <w:pPr>
              <w:spacing w:before="0" w:after="0"/>
            </w:pPr>
            <w:r>
              <w:rPr>
                <w:sz w:val="21"/>
                <w:szCs w:val="21"/>
              </w:rPr>
              <w:t xml:space="preserve">Each jurisdiction addresses housing in its own way</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T44</w:t>
            </w:r>
          </w:p>
          <w:p>
            <w:pPr>
              <w:spacing w:before="0" w:after="0"/>
            </w:pPr>
            <w:r>
              <w:rPr>
                <w:color w:val="595959"/>
                <w:sz w:val="17"/>
                <w:szCs w:val="17"/>
              </w:rPr>
              <w:t xml:space="preserve">Section paragraph</w:t>
            </w:r>
          </w:p>
        </w:tc>
        <w:tc>
          <w:tcPr>
            <w:tcW w:w="4300" w:type="dxa"/>
          </w:tcPr>
          <w:p>
            <w:pPr>
              <w:spacing w:before="0" w:after="0"/>
            </w:pPr>
            <w:r>
              <w:rPr>
                <w:sz w:val="21"/>
                <w:szCs w:val="21"/>
              </w:rPr>
              <w:t xml:space="preserve">The map groups existing affordable and workforce units by area, with bigger circles for more units. Click a circle to see how many units and parcels it covers. To change what the charts and map show, including units in the pipeline, use the filters above.</w:t>
            </w:r>
          </w:p>
        </w:tc>
        <w:tc>
          <w:tcPr>
            <w:tcW w:w="3580" w:type="dxa"/>
            <w:shd w:val="clear" w:color="auto" w:fill="FFFDF0"/>
          </w:tcPr>
          <w:p>
            <w:pPr>
              <w:spacing w:before="0" w:after="0"/>
            </w:pPr>
          </w:p>
        </w:tc>
      </w:tr>
      <w:tr>
        <w:tc>
          <w:tcPr>
            <w:tcW w:w="10080" w:type="dxa"/>
            <w:gridSpan w:val="3"/>
            <w:shd w:val="clear" w:color="auto" w:fill="EDF4FA"/>
          </w:tcPr>
          <w:p>
            <w:pPr>
              <w:spacing w:before="0" w:after="0"/>
            </w:pPr>
            <w:r>
              <w:rPr>
                <w:i/>
                <w:color w:val="595959"/>
                <w:sz w:val="19"/>
                <w:szCs w:val="19"/>
              </w:rPr>
              <w:t xml:space="preserve">The three charts, in the order they appear:</w:t>
            </w:r>
          </w:p>
        </w:tc>
      </w:tr>
      <w:tr>
        <w:trPr>
          <w:trHeight w:val="340" w:hRule="atLeast"/>
        </w:trPr>
        <w:tc>
          <w:tcPr>
            <w:tcW w:w="2200" w:type="dxa"/>
          </w:tcPr>
          <w:p>
            <w:pPr>
              <w:spacing w:before="0" w:after="0"/>
            </w:pPr>
            <w:r>
              <w:rPr>
                <w:b/>
                <w:color w:val="075481"/>
                <w:sz w:val="21"/>
                <w:szCs w:val="21"/>
              </w:rPr>
              <w:t xml:space="preserve">T45</w:t>
            </w:r>
          </w:p>
          <w:p>
            <w:pPr>
              <w:spacing w:before="0" w:after="0"/>
            </w:pPr>
            <w:r>
              <w:rPr>
                <w:color w:val="595959"/>
                <w:sz w:val="17"/>
                <w:szCs w:val="17"/>
              </w:rPr>
              <w:t xml:space="preserve">Chart 1 title</w:t>
            </w:r>
          </w:p>
        </w:tc>
        <w:tc>
          <w:tcPr>
            <w:tcW w:w="4300" w:type="dxa"/>
          </w:tcPr>
          <w:p>
            <w:pPr>
              <w:spacing w:before="0" w:after="0"/>
            </w:pPr>
            <w:r>
              <w:rPr>
                <w:sz w:val="21"/>
                <w:szCs w:val="21"/>
              </w:rPr>
              <w:t xml:space="preserve">Existing affordable &amp; workforce units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T46</w:t>
            </w:r>
          </w:p>
          <w:p>
            <w:pPr>
              <w:spacing w:before="0" w:after="0"/>
            </w:pPr>
            <w:r>
              <w:rPr>
                <w:color w:val="595959"/>
                <w:sz w:val="17"/>
                <w:szCs w:val="17"/>
              </w:rPr>
              <w:t xml:space="preserve">Chart 1 caption</w:t>
            </w:r>
          </w:p>
        </w:tc>
        <w:tc>
          <w:tcPr>
            <w:tcW w:w="4300" w:type="dxa"/>
          </w:tcPr>
          <w:p>
            <w:pPr>
              <w:spacing w:before="0" w:after="0"/>
            </w:pPr>
            <w:r>
              <w:rPr>
                <w:sz w:val="21"/>
                <w:szCs w:val="21"/>
              </w:rPr>
              <w:t xml:space="preserve">Deed-restricted units shown separately from other affordable and workforce housing</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T47</w:t>
            </w:r>
          </w:p>
          <w:p>
            <w:pPr>
              <w:spacing w:before="0" w:after="0"/>
            </w:pPr>
            <w:r>
              <w:rPr>
                <w:color w:val="595959"/>
                <w:sz w:val="17"/>
                <w:szCs w:val="17"/>
              </w:rPr>
              <w:t xml:space="preserve">Chart 2 title</w:t>
            </w:r>
          </w:p>
        </w:tc>
        <w:tc>
          <w:tcPr>
            <w:tcW w:w="4300" w:type="dxa"/>
          </w:tcPr>
          <w:p>
            <w:pPr>
              <w:spacing w:before="0" w:after="0"/>
            </w:pPr>
            <w:r>
              <w:rPr>
                <w:sz w:val="21"/>
                <w:szCs w:val="21"/>
              </w:rPr>
              <w:t xml:space="preserve">Existing accessory dwelling units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T48</w:t>
            </w:r>
          </w:p>
          <w:p>
            <w:pPr>
              <w:spacing w:before="0" w:after="0"/>
            </w:pPr>
            <w:r>
              <w:rPr>
                <w:color w:val="595959"/>
                <w:sz w:val="17"/>
                <w:szCs w:val="17"/>
              </w:rPr>
              <w:t xml:space="preserve">Chart 2 caption</w:t>
            </w:r>
          </w:p>
        </w:tc>
        <w:tc>
          <w:tcPr>
            <w:tcW w:w="4300" w:type="dxa"/>
          </w:tcPr>
          <w:p>
            <w:pPr>
              <w:spacing w:before="0" w:after="0"/>
            </w:pPr>
            <w:r>
              <w:rPr>
                <w:sz w:val="21"/>
                <w:szCs w:val="21"/>
              </w:rPr>
              <w:t xml:space="preserve">ADUs built since the program began, and those approved but not yet constructed</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T49</w:t>
            </w:r>
          </w:p>
          <w:p>
            <w:pPr>
              <w:spacing w:before="0" w:after="0"/>
            </w:pPr>
            <w:r>
              <w:rPr>
                <w:color w:val="595959"/>
                <w:sz w:val="17"/>
                <w:szCs w:val="17"/>
              </w:rPr>
              <w:t xml:space="preserve">Chart 3 title</w:t>
            </w:r>
          </w:p>
        </w:tc>
        <w:tc>
          <w:tcPr>
            <w:tcW w:w="4300" w:type="dxa"/>
          </w:tcPr>
          <w:p>
            <w:pPr>
              <w:spacing w:before="0" w:after="0"/>
            </w:pPr>
            <w:r>
              <w:rPr>
                <w:sz w:val="21"/>
                <w:szCs w:val="21"/>
              </w:rPr>
              <w:t xml:space="preserve">Units in the pipeline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T50</w:t>
            </w:r>
          </w:p>
          <w:p>
            <w:pPr>
              <w:spacing w:before="0" w:after="0"/>
            </w:pPr>
            <w:r>
              <w:rPr>
                <w:color w:val="595959"/>
                <w:sz w:val="17"/>
                <w:szCs w:val="17"/>
              </w:rPr>
              <w:t xml:space="preserve">Chart 3 caption</w:t>
            </w:r>
          </w:p>
        </w:tc>
        <w:tc>
          <w:tcPr>
            <w:tcW w:w="4300" w:type="dxa"/>
          </w:tcPr>
          <w:p>
            <w:pPr>
              <w:spacing w:before="0" w:after="0"/>
            </w:pPr>
            <w:r>
              <w:rPr>
                <w:sz w:val="21"/>
                <w:szCs w:val="21"/>
              </w:rPr>
              <w:t xml:space="preserve">Permitted but not yet constructed, plus bonus units reserved for projects not yet submitted</w:t>
            </w:r>
          </w:p>
        </w:tc>
        <w:tc>
          <w:tcPr>
            <w:tcW w:w="3580" w:type="dxa"/>
            <w:shd w:val="clear" w:color="auto" w:fill="FFFDF0"/>
          </w:tcPr>
          <w:p>
            <w:pPr>
              <w:spacing w:before="0" w:after="0"/>
            </w:pPr>
          </w:p>
        </w:tc>
      </w:tr>
      <w:tr>
        <w:tc>
          <w:tcPr>
            <w:tcW w:w="10080" w:type="dxa"/>
            <w:gridSpan w:val="3"/>
            <w:shd w:val="clear" w:color="auto" w:fill="EDF4FA"/>
          </w:tcPr>
          <w:p>
            <w:pPr>
              <w:spacing w:before="0" w:after="0"/>
            </w:pPr>
            <w:r>
              <w:rPr>
                <w:i/>
                <w:color w:val="595959"/>
                <w:sz w:val="19"/>
                <w:szCs w:val="19"/>
              </w:rPr>
              <w:t xml:space="preserve">Labels inside the charts, shown in the small legends and when you hover:</w:t>
            </w:r>
          </w:p>
        </w:tc>
      </w:tr>
      <w:tr>
        <w:trPr>
          <w:trHeight w:val="340" w:hRule="atLeast"/>
        </w:trPr>
        <w:tc>
          <w:tcPr>
            <w:tcW w:w="2200" w:type="dxa"/>
          </w:tcPr>
          <w:p>
            <w:pPr>
              <w:spacing w:before="0" w:after="0"/>
            </w:pPr>
            <w:r>
              <w:rPr>
                <w:b/>
                <w:color w:val="075481"/>
                <w:sz w:val="21"/>
                <w:szCs w:val="21"/>
              </w:rPr>
              <w:t xml:space="preserve">T53</w:t>
            </w:r>
          </w:p>
        </w:tc>
        <w:tc>
          <w:tcPr>
            <w:tcW w:w="4300" w:type="dxa"/>
          </w:tcPr>
          <w:p>
            <w:pPr>
              <w:spacing w:before="0" w:after="0"/>
            </w:pPr>
            <w:r>
              <w:rPr>
                <w:sz w:val="21"/>
                <w:szCs w:val="21"/>
              </w:rPr>
              <w:t xml:space="preserve">Deed-restricted</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T54</w:t>
            </w:r>
          </w:p>
        </w:tc>
        <w:tc>
          <w:tcPr>
            <w:tcW w:w="4300" w:type="dxa"/>
          </w:tcPr>
          <w:p>
            <w:pPr>
              <w:spacing w:before="0" w:after="0"/>
            </w:pPr>
            <w:r>
              <w:rPr>
                <w:sz w:val="21"/>
                <w:szCs w:val="21"/>
              </w:rPr>
              <w:t xml:space="preserve">Other affordable &amp; workforce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T55</w:t>
            </w:r>
          </w:p>
        </w:tc>
        <w:tc>
          <w:tcPr>
            <w:tcW w:w="4300" w:type="dxa"/>
          </w:tcPr>
          <w:p>
            <w:pPr>
              <w:spacing w:before="0" w:after="0"/>
            </w:pPr>
            <w:r>
              <w:rPr>
                <w:sz w:val="21"/>
                <w:szCs w:val="21"/>
              </w:rPr>
              <w:t xml:space="preserve">Built</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T56</w:t>
            </w:r>
          </w:p>
        </w:tc>
        <w:tc>
          <w:tcPr>
            <w:tcW w:w="4300" w:type="dxa"/>
          </w:tcPr>
          <w:p>
            <w:pPr>
              <w:spacing w:before="0" w:after="0"/>
            </w:pPr>
            <w:r>
              <w:rPr>
                <w:sz w:val="21"/>
                <w:szCs w:val="21"/>
              </w:rPr>
              <w:t xml:space="preserve">Approved, not yet built</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T57</w:t>
            </w:r>
          </w:p>
        </w:tc>
        <w:tc>
          <w:tcPr>
            <w:tcW w:w="4300" w:type="dxa"/>
          </w:tcPr>
          <w:p>
            <w:pPr>
              <w:spacing w:before="0" w:after="0"/>
            </w:pPr>
            <w:r>
              <w:rPr>
                <w:sz w:val="21"/>
                <w:szCs w:val="21"/>
              </w:rPr>
              <w:t xml:space="preserve">Affordable &amp; workforce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T58</w:t>
            </w:r>
          </w:p>
        </w:tc>
        <w:tc>
          <w:tcPr>
            <w:tcW w:w="4300" w:type="dxa"/>
          </w:tcPr>
          <w:p>
            <w:pPr>
              <w:spacing w:before="0" w:after="0"/>
            </w:pPr>
            <w:r>
              <w:rPr>
                <w:sz w:val="21"/>
                <w:szCs w:val="21"/>
              </w:rPr>
              <w:t xml:space="preserve">Unrestricted</w:t>
            </w:r>
          </w:p>
        </w:tc>
        <w:tc>
          <w:tcPr>
            <w:tcW w:w="3580" w:type="dxa"/>
            <w:shd w:val="clear" w:color="auto" w:fill="FFFDF0"/>
          </w:tcPr>
          <w:p>
            <w:pPr>
              <w:spacing w:before="0" w:after="0"/>
            </w:pPr>
          </w:p>
        </w:tc>
      </w:tr>
      <w:tr>
        <w:tc>
          <w:tcPr>
            <w:tcW w:w="10080" w:type="dxa"/>
            <w:gridSpan w:val="3"/>
            <w:shd w:val="clear" w:color="auto" w:fill="EDF4FA"/>
          </w:tcPr>
          <w:p>
            <w:pPr>
              <w:spacing w:before="0" w:after="0"/>
            </w:pPr>
            <w:r>
              <w:rPr>
                <w:i/>
                <w:color w:val="595959"/>
                <w:sz w:val="19"/>
                <w:szCs w:val="19"/>
              </w:rPr>
              <w:t xml:space="preserve">Legend under the map:</w:t>
            </w:r>
          </w:p>
        </w:tc>
      </w:tr>
      <w:tr>
        <w:trPr>
          <w:trHeight w:val="340" w:hRule="atLeast"/>
        </w:trPr>
        <w:tc>
          <w:tcPr>
            <w:tcW w:w="2200" w:type="dxa"/>
          </w:tcPr>
          <w:p>
            <w:pPr>
              <w:spacing w:before="0" w:after="0"/>
            </w:pPr>
            <w:r>
              <w:rPr>
                <w:b/>
                <w:color w:val="075481"/>
                <w:sz w:val="21"/>
                <w:szCs w:val="21"/>
              </w:rPr>
              <w:t xml:space="preserve">T60</w:t>
            </w:r>
          </w:p>
        </w:tc>
        <w:tc>
          <w:tcPr>
            <w:tcW w:w="4300" w:type="dxa"/>
          </w:tcPr>
          <w:p>
            <w:pPr>
              <w:spacing w:before="0" w:after="0"/>
            </w:pPr>
            <w:r>
              <w:rPr>
                <w:sz w:val="21"/>
                <w:szCs w:val="21"/>
              </w:rPr>
              <w:t xml:space="preserve">Existing affordable &amp; workforce units. Circle size and label show the total.</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T64</w:t>
            </w:r>
          </w:p>
        </w:tc>
        <w:tc>
          <w:tcPr>
            <w:tcW w:w="4300" w:type="dxa"/>
          </w:tcPr>
          <w:p>
            <w:pPr>
              <w:spacing w:before="0" w:after="0"/>
            </w:pPr>
            <w:r>
              <w:rPr>
                <w:sz w:val="21"/>
                <w:szCs w:val="21"/>
              </w:rPr>
              <w:t xml:space="preserve">TRPA boundary</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T132</w:t>
            </w:r>
          </w:p>
          <w:p>
            <w:pPr>
              <w:spacing w:before="0" w:after="0"/>
            </w:pPr>
            <w:r>
              <w:rPr>
                <w:color w:val="595959"/>
                <w:sz w:val="17"/>
                <w:szCs w:val="17"/>
              </w:rPr>
              <w:t xml:space="preserve">Shown on a chart when the filters leave it with nothing to draw</w:t>
            </w:r>
          </w:p>
        </w:tc>
        <w:tc>
          <w:tcPr>
            <w:tcW w:w="4300" w:type="dxa"/>
          </w:tcPr>
          <w:p>
            <w:pPr>
              <w:spacing w:before="0" w:after="0"/>
            </w:pPr>
            <w:r>
              <w:rPr>
                <w:sz w:val="21"/>
                <w:szCs w:val="21"/>
              </w:rPr>
              <w:t xml:space="preserve">No units match the current filters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T66</w:t>
            </w:r>
          </w:p>
          <w:p>
            <w:pPr>
              <w:spacing w:before="0" w:after="0"/>
            </w:pPr>
            <w:r>
              <w:rPr>
                <w:color w:val="595959"/>
                <w:sz w:val="17"/>
                <w:szCs w:val="17"/>
              </w:rPr>
              <w:t xml:space="preserve">Note at the end of the map legend</w:t>
            </w:r>
          </w:p>
        </w:tc>
        <w:tc>
          <w:tcPr>
            <w:tcW w:w="4300" w:type="dxa"/>
          </w:tcPr>
          <w:p>
            <w:pPr>
              <w:spacing w:before="0" w:after="0"/>
            </w:pPr>
            <w:r>
              <w:rPr>
                <w:sz w:val="21"/>
                <w:szCs w:val="21"/>
              </w:rPr>
              <w:t xml:space="preserve">Select a Timing filter to map units in the pipeline. The map stays at neighborhood scale, so individual parcels are not shown.</w:t>
            </w:r>
          </w:p>
        </w:tc>
        <w:tc>
          <w:tcPr>
            <w:tcW w:w="3580" w:type="dxa"/>
            <w:shd w:val="clear" w:color="auto" w:fill="FFFDF0"/>
          </w:tcPr>
          <w:p>
            <w:pPr>
              <w:spacing w:before="0" w:after="0"/>
            </w:pPr>
          </w:p>
        </w:tc>
      </w:tr>
    </w:tbl>
    <w:p>
      <w:pPr>
        <w:spacing w:before="0" w:after="200"/>
      </w:pPr>
    </w:p>
    <w:p>
      <w:pPr>
        <w:spacing w:before="260" w:after="130"/>
      </w:pPr>
      <w:r>
        <w:rPr>
          <w:b/>
          <w:color w:val="075481"/>
          <w:sz w:val="26"/>
          <w:szCs w:val="26"/>
        </w:rPr>
        <w:t xml:space="preserve">7. Timeline section</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Pr>
      <w:tblGrid>
        <w:gridCol w:w="2200"/>
        <w:gridCol w:w="4300"/>
        <w:gridCol w:w="3580"/>
      </w:tblGrid>
      <w:tr>
        <w:trPr>
          <w:tblHeader/>
        </w:trPr>
        <w:tc>
          <w:tcPr>
            <w:tcW w:w="2200" w:type="dxa"/>
            <w:shd w:val="clear" w:color="auto" w:fill="0A7EC2"/>
          </w:tcPr>
          <w:p>
            <w:pPr>
              <w:spacing w:before="0" w:after="0"/>
            </w:pPr>
            <w:r>
              <w:rPr>
                <w:b/>
                <w:color w:val="FFFFFF"/>
                <w:sz w:val="19"/>
                <w:szCs w:val="19"/>
              </w:rPr>
              <w:t xml:space="preserve">Where it appears</w:t>
            </w:r>
          </w:p>
        </w:tc>
        <w:tc>
          <w:tcPr>
            <w:tcW w:w="4300" w:type="dxa"/>
            <w:shd w:val="clear" w:color="auto" w:fill="0A7EC2"/>
          </w:tcPr>
          <w:p>
            <w:pPr>
              <w:spacing w:before="0" w:after="0"/>
            </w:pPr>
            <w:r>
              <w:rPr>
                <w:b/>
                <w:color w:val="FFFFFF"/>
                <w:sz w:val="19"/>
                <w:szCs w:val="19"/>
              </w:rPr>
              <w:t xml:space="preserve">Current wording</w:t>
            </w:r>
          </w:p>
        </w:tc>
        <w:tc>
          <w:tcPr>
            <w:tcW w:w="3580" w:type="dxa"/>
            <w:shd w:val="clear" w:color="auto" w:fill="0A7EC2"/>
          </w:tcPr>
          <w:p>
            <w:pPr>
              <w:spacing w:before="0" w:after="0"/>
            </w:pPr>
            <w:r>
              <w:rPr>
                <w:b/>
                <w:color w:val="FFFFFF"/>
                <w:sz w:val="19"/>
                <w:szCs w:val="19"/>
              </w:rPr>
              <w:t xml:space="preserve">Your new wording</w:t>
            </w:r>
          </w:p>
        </w:tc>
      </w:tr>
      <w:tr>
        <w:trPr>
          <w:trHeight w:val="340" w:hRule="atLeast"/>
        </w:trPr>
        <w:tc>
          <w:tcPr>
            <w:tcW w:w="2200" w:type="dxa"/>
          </w:tcPr>
          <w:p>
            <w:pPr>
              <w:spacing w:before="0" w:after="0"/>
            </w:pPr>
            <w:r>
              <w:rPr>
                <w:b/>
                <w:color w:val="075481"/>
                <w:sz w:val="21"/>
                <w:szCs w:val="21"/>
              </w:rPr>
              <w:t xml:space="preserve">T67</w:t>
            </w:r>
          </w:p>
          <w:p>
            <w:pPr>
              <w:spacing w:before="0" w:after="0"/>
            </w:pPr>
            <w:r>
              <w:rPr>
                <w:color w:val="595959"/>
                <w:sz w:val="17"/>
                <w:szCs w:val="17"/>
              </w:rPr>
              <w:t xml:space="preserve">Section label</w:t>
            </w:r>
          </w:p>
        </w:tc>
        <w:tc>
          <w:tcPr>
            <w:tcW w:w="4300" w:type="dxa"/>
          </w:tcPr>
          <w:p>
            <w:pPr>
              <w:spacing w:before="0" w:after="0"/>
            </w:pPr>
            <w:r>
              <w:rPr>
                <w:sz w:val="21"/>
                <w:szCs w:val="21"/>
              </w:rPr>
              <w:t xml:space="preserve">Over time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T68</w:t>
            </w:r>
          </w:p>
          <w:p>
            <w:pPr>
              <w:spacing w:before="0" w:after="0"/>
            </w:pPr>
            <w:r>
              <w:rPr>
                <w:color w:val="595959"/>
                <w:sz w:val="17"/>
                <w:szCs w:val="17"/>
              </w:rPr>
              <w:t xml:space="preserve">Section heading</w:t>
            </w:r>
          </w:p>
        </w:tc>
        <w:tc>
          <w:tcPr>
            <w:tcW w:w="4300" w:type="dxa"/>
          </w:tcPr>
          <w:p>
            <w:pPr>
              <w:spacing w:before="0" w:after="0"/>
            </w:pPr>
            <w:r>
              <w:rPr>
                <w:sz w:val="21"/>
                <w:szCs w:val="21"/>
              </w:rPr>
              <w:t xml:space="preserve">Units added each year since the 2012 Regional Plan</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T69</w:t>
            </w:r>
          </w:p>
          <w:p>
            <w:pPr>
              <w:spacing w:before="0" w:after="0"/>
            </w:pPr>
            <w:r>
              <w:rPr>
                <w:color w:val="595959"/>
                <w:sz w:val="17"/>
                <w:szCs w:val="17"/>
              </w:rPr>
              <w:t xml:space="preserve">Chart title</w:t>
            </w:r>
          </w:p>
        </w:tc>
        <w:tc>
          <w:tcPr>
            <w:tcW w:w="4300" w:type="dxa"/>
          </w:tcPr>
          <w:p>
            <w:pPr>
              <w:spacing w:before="0" w:after="0"/>
            </w:pPr>
            <w:r>
              <w:rPr>
                <w:sz w:val="21"/>
                <w:szCs w:val="21"/>
              </w:rPr>
              <w:t xml:space="preserve">Existing units by year built</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T70</w:t>
            </w:r>
          </w:p>
          <w:p>
            <w:pPr>
              <w:spacing w:before="0" w:after="0"/>
            </w:pPr>
            <w:r>
              <w:rPr>
                <w:color w:val="595959"/>
                <w:sz w:val="17"/>
                <w:szCs w:val="17"/>
              </w:rPr>
              <w:t xml:space="preserve">Chart caption</w:t>
            </w:r>
          </w:p>
        </w:tc>
        <w:tc>
          <w:tcPr>
            <w:tcW w:w="4300" w:type="dxa"/>
          </w:tcPr>
          <w:p>
            <w:pPr>
              <w:spacing w:before="0" w:after="0"/>
            </w:pPr>
            <w:r>
              <w:rPr>
                <w:sz w:val="21"/>
                <w:szCs w:val="21"/>
              </w:rPr>
              <w:t xml:space="preserve">Affordable and workforce units built 2012 or later, with accessory dwelling units shown on their own. Policy milestones marked.</w:t>
            </w:r>
          </w:p>
        </w:tc>
        <w:tc>
          <w:tcPr>
            <w:tcW w:w="3580" w:type="dxa"/>
            <w:shd w:val="clear" w:color="auto" w:fill="FFFDF0"/>
          </w:tcPr>
          <w:p>
            <w:pPr>
              <w:spacing w:before="0" w:after="0"/>
            </w:pPr>
          </w:p>
        </w:tc>
      </w:tr>
      <w:tr>
        <w:tc>
          <w:tcPr>
            <w:tcW w:w="10080" w:type="dxa"/>
            <w:gridSpan w:val="3"/>
            <w:shd w:val="clear" w:color="auto" w:fill="EDF4FA"/>
          </w:tcPr>
          <w:p>
            <w:pPr>
              <w:spacing w:before="0" w:after="0"/>
            </w:pPr>
            <w:r>
              <w:rPr>
                <w:i/>
                <w:color w:val="595959"/>
                <w:sz w:val="19"/>
                <w:szCs w:val="19"/>
              </w:rPr>
              <w:t xml:space="preserve">The policy milestones marked on this chart. The year and its label can both change.</w:t>
            </w:r>
          </w:p>
        </w:tc>
      </w:tr>
      <w:tr>
        <w:trPr>
          <w:trHeight w:val="340" w:hRule="atLeast"/>
        </w:trPr>
        <w:tc>
          <w:tcPr>
            <w:tcW w:w="2200" w:type="dxa"/>
          </w:tcPr>
          <w:p>
            <w:pPr>
              <w:spacing w:before="0" w:after="0"/>
            </w:pPr>
            <w:r>
              <w:rPr>
                <w:b/>
                <w:color w:val="075481"/>
                <w:sz w:val="21"/>
                <w:szCs w:val="21"/>
              </w:rPr>
              <w:t xml:space="preserve">T71</w:t>
            </w:r>
          </w:p>
        </w:tc>
        <w:tc>
          <w:tcPr>
            <w:tcW w:w="4300" w:type="dxa"/>
          </w:tcPr>
          <w:p>
            <w:pPr>
              <w:spacing w:before="0" w:after="0"/>
            </w:pPr>
            <w:r>
              <w:rPr>
                <w:sz w:val="21"/>
                <w:szCs w:val="21"/>
              </w:rPr>
              <w:t xml:space="preserve">2012 Regional Plan Update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T72</w:t>
            </w:r>
          </w:p>
        </w:tc>
        <w:tc>
          <w:tcPr>
            <w:tcW w:w="4300" w:type="dxa"/>
          </w:tcPr>
          <w:p>
            <w:pPr>
              <w:spacing w:before="0" w:after="0"/>
            </w:pPr>
            <w:r>
              <w:rPr>
                <w:sz w:val="21"/>
                <w:szCs w:val="21"/>
              </w:rPr>
              <w:t xml:space="preserve">2018 Development Rights Initiative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T73</w:t>
            </w:r>
          </w:p>
        </w:tc>
        <w:tc>
          <w:tcPr>
            <w:tcW w:w="4300" w:type="dxa"/>
          </w:tcPr>
          <w:p>
            <w:pPr>
              <w:spacing w:before="0" w:after="0"/>
            </w:pPr>
            <w:r>
              <w:rPr>
                <w:sz w:val="21"/>
                <w:szCs w:val="21"/>
              </w:rPr>
              <w:t xml:space="preserve">2023 Phase 2 Housing Amendments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T133</w:t>
            </w:r>
          </w:p>
        </w:tc>
        <w:tc>
          <w:tcPr>
            <w:tcW w:w="4300" w:type="dxa"/>
          </w:tcPr>
          <w:p>
            <w:pPr>
              <w:spacing w:before="0" w:after="0"/>
            </w:pPr>
            <w:r>
              <w:rPr>
                <w:sz w:val="21"/>
                <w:szCs w:val="21"/>
              </w:rPr>
              <w:t xml:space="preserve">2021 Phase 1 Housing Amendments</w:t>
            </w:r>
          </w:p>
        </w:tc>
        <w:tc>
          <w:tcPr>
            <w:tcW w:w="3580" w:type="dxa"/>
            <w:shd w:val="clear" w:color="auto" w:fill="FFFDF0"/>
          </w:tcPr>
          <w:p>
            <w:pPr>
              <w:spacing w:before="0" w:after="0"/>
            </w:pPr>
          </w:p>
        </w:tc>
      </w:tr>
      <w:tr>
        <w:tc>
          <w:tcPr>
            <w:tcW w:w="10080" w:type="dxa"/>
            <w:gridSpan w:val="3"/>
            <w:shd w:val="clear" w:color="auto" w:fill="EDF4FA"/>
          </w:tcPr>
          <w:p>
            <w:pPr>
              <w:spacing w:before="0" w:after="0"/>
            </w:pPr>
            <w:r>
              <w:rPr>
                <w:i/>
                <w:color w:val="595959"/>
                <w:sz w:val="19"/>
                <w:szCs w:val="19"/>
              </w:rPr>
              <w:t xml:space="preserve">The sentence under each milestone, shown in the list below the chart:</w:t>
            </w:r>
          </w:p>
        </w:tc>
      </w:tr>
      <w:tr>
        <w:trPr>
          <w:trHeight w:val="340" w:hRule="atLeast"/>
        </w:trPr>
        <w:tc>
          <w:tcPr>
            <w:tcW w:w="2200" w:type="dxa"/>
          </w:tcPr>
          <w:p>
            <w:pPr>
              <w:spacing w:before="0" w:after="0"/>
            </w:pPr>
            <w:r>
              <w:rPr>
                <w:b/>
                <w:color w:val="075481"/>
                <w:sz w:val="21"/>
                <w:szCs w:val="21"/>
              </w:rPr>
              <w:t xml:space="preserve">T134</w:t>
            </w:r>
          </w:p>
          <w:p>
            <w:pPr>
              <w:spacing w:before="0" w:after="0"/>
            </w:pPr>
            <w:r>
              <w:rPr>
                <w:color w:val="595959"/>
                <w:sz w:val="17"/>
                <w:szCs w:val="17"/>
              </w:rPr>
              <w:t xml:space="preserve">Under 2012 Regional Plan Update</w:t>
            </w:r>
          </w:p>
        </w:tc>
        <w:tc>
          <w:tcPr>
            <w:tcW w:w="4300" w:type="dxa"/>
          </w:tcPr>
          <w:p>
            <w:pPr>
              <w:spacing w:before="0" w:after="0"/>
            </w:pPr>
            <w:r>
              <w:rPr>
                <w:sz w:val="21"/>
                <w:szCs w:val="21"/>
              </w:rPr>
              <w:t xml:space="preserve">The updated Regional Plan set the framework that later housing incentives build on.</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T135</w:t>
            </w:r>
          </w:p>
          <w:p>
            <w:pPr>
              <w:spacing w:before="0" w:after="0"/>
            </w:pPr>
            <w:r>
              <w:rPr>
                <w:color w:val="595959"/>
                <w:sz w:val="17"/>
                <w:szCs w:val="17"/>
              </w:rPr>
              <w:t xml:space="preserve">Under 2018 Development Rights Strategic Initiative</w:t>
            </w:r>
          </w:p>
        </w:tc>
        <w:tc>
          <w:tcPr>
            <w:tcW w:w="4300" w:type="dxa"/>
          </w:tcPr>
          <w:p>
            <w:pPr>
              <w:spacing w:before="0" w:after="0"/>
            </w:pPr>
            <w:r>
              <w:rPr>
                <w:sz w:val="21"/>
                <w:szCs w:val="21"/>
              </w:rPr>
              <w:t xml:space="preserve">Allowed the conversion of existing development using environmentally neutral conversion rates.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T136</w:t>
            </w:r>
          </w:p>
          <w:p>
            <w:pPr>
              <w:spacing w:before="0" w:after="0"/>
            </w:pPr>
            <w:r>
              <w:rPr>
                <w:color w:val="595959"/>
                <w:sz w:val="17"/>
                <w:szCs w:val="17"/>
              </w:rPr>
              <w:t xml:space="preserve">Under 2021 Phase 1 Housing Amendments</w:t>
            </w:r>
          </w:p>
        </w:tc>
        <w:tc>
          <w:tcPr>
            <w:tcW w:w="4300" w:type="dxa"/>
          </w:tcPr>
          <w:p>
            <w:pPr>
              <w:spacing w:before="0" w:after="0"/>
            </w:pPr>
            <w:r>
              <w:rPr>
                <w:sz w:val="21"/>
                <w:szCs w:val="21"/>
              </w:rPr>
              <w:t xml:space="preserve">Made accessory dwelling units easier to build, allowing up to two per residential parcel, and expanded where bonus units can be used.</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T137</w:t>
            </w:r>
          </w:p>
          <w:p>
            <w:pPr>
              <w:spacing w:before="0" w:after="0"/>
            </w:pPr>
            <w:r>
              <w:rPr>
                <w:color w:val="595959"/>
                <w:sz w:val="17"/>
                <w:szCs w:val="17"/>
              </w:rPr>
              <w:t xml:space="preserve">Under 2023 Phase 2 Housing Amendments</w:t>
            </w:r>
          </w:p>
        </w:tc>
        <w:tc>
          <w:tcPr>
            <w:tcW w:w="4300" w:type="dxa"/>
          </w:tcPr>
          <w:p>
            <w:pPr>
              <w:spacing w:before="0" w:after="0"/>
            </w:pPr>
            <w:r>
              <w:rPr>
                <w:sz w:val="21"/>
                <w:szCs w:val="21"/>
              </w:rPr>
              <w:t xml:space="preserve">Gave deed-restricted housing more height, density, and coverage flexibility in and near town centers.</w:t>
            </w:r>
          </w:p>
        </w:tc>
        <w:tc>
          <w:tcPr>
            <w:tcW w:w="3580" w:type="dxa"/>
            <w:shd w:val="clear" w:color="auto" w:fill="FFFDF0"/>
          </w:tcPr>
          <w:p>
            <w:pPr>
              <w:spacing w:before="0" w:after="0"/>
            </w:pPr>
          </w:p>
        </w:tc>
      </w:tr>
      <w:tr>
        <w:tc>
          <w:tcPr>
            <w:tcW w:w="10080" w:type="dxa"/>
            <w:gridSpan w:val="3"/>
            <w:shd w:val="clear" w:color="auto" w:fill="EDF4FA"/>
          </w:tcPr>
          <w:p>
            <w:pPr>
              <w:spacing w:before="0" w:after="0"/>
            </w:pPr>
            <w:r>
              <w:rPr>
                <w:i/>
                <w:color w:val="595959"/>
                <w:sz w:val="19"/>
                <w:szCs w:val="19"/>
              </w:rPr>
              <w:t xml:space="preserve">The three bars on this chart:</w:t>
            </w:r>
          </w:p>
        </w:tc>
      </w:tr>
      <w:tr>
        <w:trPr>
          <w:trHeight w:val="340" w:hRule="atLeast"/>
        </w:trPr>
        <w:tc>
          <w:tcPr>
            <w:tcW w:w="2200" w:type="dxa"/>
          </w:tcPr>
          <w:p>
            <w:pPr>
              <w:spacing w:before="0" w:after="0"/>
            </w:pPr>
            <w:r>
              <w:rPr>
                <w:b/>
                <w:color w:val="075481"/>
                <w:sz w:val="21"/>
                <w:szCs w:val="21"/>
              </w:rPr>
              <w:t xml:space="preserve">T138</w:t>
            </w:r>
          </w:p>
        </w:tc>
        <w:tc>
          <w:tcPr>
            <w:tcW w:w="4300" w:type="dxa"/>
          </w:tcPr>
          <w:p>
            <w:pPr>
              <w:spacing w:before="0" w:after="0"/>
            </w:pPr>
            <w:r>
              <w:rPr>
                <w:sz w:val="21"/>
                <w:szCs w:val="21"/>
              </w:rPr>
              <w:t xml:space="preserve">Deed-restricted units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T139</w:t>
            </w:r>
          </w:p>
        </w:tc>
        <w:tc>
          <w:tcPr>
            <w:tcW w:w="4300" w:type="dxa"/>
          </w:tcPr>
          <w:p>
            <w:pPr>
              <w:spacing w:before="0" w:after="0"/>
            </w:pPr>
            <w:r>
              <w:rPr>
                <w:sz w:val="21"/>
                <w:szCs w:val="21"/>
              </w:rPr>
              <w:t xml:space="preserve">Accessory dwelling units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T140</w:t>
            </w:r>
          </w:p>
        </w:tc>
        <w:tc>
          <w:tcPr>
            <w:tcW w:w="4300" w:type="dxa"/>
          </w:tcPr>
          <w:p>
            <w:pPr>
              <w:spacing w:before="0" w:after="0"/>
            </w:pPr>
            <w:r>
              <w:rPr>
                <w:sz w:val="21"/>
                <w:szCs w:val="21"/>
              </w:rPr>
              <w:t xml:space="preserve">Other affordable and workforce</w:t>
            </w:r>
          </w:p>
        </w:tc>
        <w:tc>
          <w:tcPr>
            <w:tcW w:w="3580" w:type="dxa"/>
            <w:shd w:val="clear" w:color="auto" w:fill="FFFDF0"/>
          </w:tcPr>
          <w:p>
            <w:pPr>
              <w:spacing w:before="0" w:after="0"/>
            </w:pPr>
          </w:p>
        </w:tc>
      </w:tr>
      <w:tr>
        <w:tc>
          <w:tcPr>
            <w:tcW w:w="10080" w:type="dxa"/>
            <w:gridSpan w:val="3"/>
            <w:shd w:val="clear" w:color="auto" w:fill="FFF9E8"/>
          </w:tcPr>
          <w:p>
            <w:pPr>
              <w:spacing w:before="0" w:after="0"/>
            </w:pPr>
            <w:r>
              <w:rPr>
                <w:i/>
                <w:color w:val="595959"/>
                <w:sz w:val="19"/>
                <w:szCs w:val="19"/>
              </w:rPr>
              <w:t xml:space="preserve">Confirmed by Karen Fink, 16 Sept. 2026: the Phase 2 Housing Amendments were approved in December 2023.</w:t>
            </w:r>
          </w:p>
        </w:tc>
      </w:tr>
    </w:tbl>
    <w:p>
      <w:pPr>
        <w:spacing w:before="0" w:after="200"/>
      </w:pPr>
    </w:p>
    <w:p>
      <w:pPr>
        <w:spacing w:before="260" w:after="130"/>
      </w:pPr>
      <w:r>
        <w:rPr>
          <w:b/>
          <w:color w:val="075481"/>
          <w:sz w:val="26"/>
          <w:szCs w:val="26"/>
        </w:rPr>
        <w:t xml:space="preserve">8. Featured projects</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Pr>
      <w:tblGrid>
        <w:gridCol w:w="2200"/>
        <w:gridCol w:w="4300"/>
        <w:gridCol w:w="3580"/>
      </w:tblGrid>
      <w:tr>
        <w:trPr>
          <w:tblHeader/>
        </w:trPr>
        <w:tc>
          <w:tcPr>
            <w:tcW w:w="2200" w:type="dxa"/>
            <w:shd w:val="clear" w:color="auto" w:fill="0A7EC2"/>
          </w:tcPr>
          <w:p>
            <w:pPr>
              <w:spacing w:before="0" w:after="0"/>
            </w:pPr>
            <w:r>
              <w:rPr>
                <w:b/>
                <w:color w:val="FFFFFF"/>
                <w:sz w:val="19"/>
                <w:szCs w:val="19"/>
              </w:rPr>
              <w:t xml:space="preserve">Where it appears</w:t>
            </w:r>
          </w:p>
        </w:tc>
        <w:tc>
          <w:tcPr>
            <w:tcW w:w="4300" w:type="dxa"/>
            <w:shd w:val="clear" w:color="auto" w:fill="0A7EC2"/>
          </w:tcPr>
          <w:p>
            <w:pPr>
              <w:spacing w:before="0" w:after="0"/>
            </w:pPr>
            <w:r>
              <w:rPr>
                <w:b/>
                <w:color w:val="FFFFFF"/>
                <w:sz w:val="19"/>
                <w:szCs w:val="19"/>
              </w:rPr>
              <w:t xml:space="preserve">Current wording</w:t>
            </w:r>
          </w:p>
        </w:tc>
        <w:tc>
          <w:tcPr>
            <w:tcW w:w="3580" w:type="dxa"/>
            <w:shd w:val="clear" w:color="auto" w:fill="0A7EC2"/>
          </w:tcPr>
          <w:p>
            <w:pPr>
              <w:spacing w:before="0" w:after="0"/>
            </w:pPr>
            <w:r>
              <w:rPr>
                <w:b/>
                <w:color w:val="FFFFFF"/>
                <w:sz w:val="19"/>
                <w:szCs w:val="19"/>
              </w:rPr>
              <w:t xml:space="preserve">Your new wording</w:t>
            </w:r>
          </w:p>
        </w:tc>
      </w:tr>
      <w:tr>
        <w:trPr>
          <w:trHeight w:val="340" w:hRule="atLeast"/>
        </w:trPr>
        <w:tc>
          <w:tcPr>
            <w:tcW w:w="2200" w:type="dxa"/>
          </w:tcPr>
          <w:p>
            <w:pPr>
              <w:spacing w:before="0" w:after="0"/>
            </w:pPr>
            <w:r>
              <w:rPr>
                <w:b/>
                <w:color w:val="075481"/>
                <w:sz w:val="21"/>
                <w:szCs w:val="21"/>
              </w:rPr>
              <w:t xml:space="preserve">T74</w:t>
            </w:r>
          </w:p>
          <w:p>
            <w:pPr>
              <w:spacing w:before="0" w:after="0"/>
            </w:pPr>
            <w:r>
              <w:rPr>
                <w:color w:val="595959"/>
                <w:sz w:val="17"/>
                <w:szCs w:val="17"/>
              </w:rPr>
              <w:t xml:space="preserve">Section label</w:t>
            </w:r>
          </w:p>
        </w:tc>
        <w:tc>
          <w:tcPr>
            <w:tcW w:w="4300" w:type="dxa"/>
          </w:tcPr>
          <w:p>
            <w:pPr>
              <w:spacing w:before="0" w:after="0"/>
            </w:pPr>
            <w:r>
              <w:rPr>
                <w:sz w:val="21"/>
                <w:szCs w:val="21"/>
              </w:rPr>
              <w:t xml:space="preserve">Success stories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T75</w:t>
            </w:r>
          </w:p>
          <w:p>
            <w:pPr>
              <w:spacing w:before="0" w:after="0"/>
            </w:pPr>
            <w:r>
              <w:rPr>
                <w:color w:val="595959"/>
                <w:sz w:val="17"/>
                <w:szCs w:val="17"/>
              </w:rPr>
              <w:t xml:space="preserve">Section heading</w:t>
            </w:r>
          </w:p>
        </w:tc>
        <w:tc>
          <w:tcPr>
            <w:tcW w:w="4300" w:type="dxa"/>
          </w:tcPr>
          <w:p>
            <w:pPr>
              <w:spacing w:before="0" w:after="0"/>
            </w:pPr>
            <w:r>
              <w:rPr>
                <w:sz w:val="21"/>
                <w:szCs w:val="21"/>
              </w:rPr>
              <w:t xml:space="preserve">Projects that show what's possible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T76</w:t>
            </w:r>
          </w:p>
          <w:p>
            <w:pPr>
              <w:spacing w:before="0" w:after="0"/>
            </w:pPr>
            <w:r>
              <w:rPr>
                <w:color w:val="595959"/>
                <w:sz w:val="17"/>
                <w:szCs w:val="17"/>
              </w:rPr>
              <w:t xml:space="preserve">Section paragraph</w:t>
            </w:r>
          </w:p>
        </w:tc>
        <w:tc>
          <w:tcPr>
            <w:tcW w:w="4300" w:type="dxa"/>
          </w:tcPr>
          <w:p>
            <w:pPr>
              <w:spacing w:before="0" w:after="0"/>
            </w:pPr>
            <w:r>
              <w:rPr>
                <w:sz w:val="21"/>
                <w:szCs w:val="21"/>
              </w:rPr>
              <w:t xml:space="preserve">A few of the homes made possible by recent housing policies. Click a project to see it on the map.</w:t>
            </w:r>
          </w:p>
        </w:tc>
        <w:tc>
          <w:tcPr>
            <w:tcW w:w="3580" w:type="dxa"/>
            <w:shd w:val="clear" w:color="auto" w:fill="FFFDF0"/>
          </w:tcPr>
          <w:p>
            <w:pPr>
              <w:spacing w:before="0" w:after="0"/>
            </w:pPr>
          </w:p>
        </w:tc>
      </w:tr>
      <w:tr>
        <w:tc>
          <w:tcPr>
            <w:tcW w:w="10080" w:type="dxa"/>
            <w:gridSpan w:val="3"/>
            <w:shd w:val="clear" w:color="auto" w:fill="EDF4FA"/>
          </w:tcPr>
          <w:p>
            <w:pPr>
              <w:spacing w:before="0" w:after="0"/>
            </w:pPr>
            <w:r>
              <w:rPr>
                <w:b/>
                <w:color w:val="075481"/>
                <w:sz w:val="19"/>
                <w:szCs w:val="19"/>
              </w:rPr>
              <w:t xml:space="preserve">Card 1 — The Aspens</w:t>
            </w:r>
          </w:p>
        </w:tc>
      </w:tr>
      <w:tr>
        <w:trPr>
          <w:trHeight w:val="340" w:hRule="atLeast"/>
        </w:trPr>
        <w:tc>
          <w:tcPr>
            <w:tcW w:w="2200" w:type="dxa"/>
          </w:tcPr>
          <w:p>
            <w:pPr>
              <w:spacing w:before="0" w:after="0"/>
            </w:pPr>
            <w:r>
              <w:rPr>
                <w:b/>
                <w:color w:val="075481"/>
                <w:sz w:val="21"/>
                <w:szCs w:val="21"/>
              </w:rPr>
              <w:t xml:space="preserve">T77</w:t>
            </w:r>
          </w:p>
          <w:p>
            <w:pPr>
              <w:spacing w:before="0" w:after="0"/>
            </w:pPr>
            <w:r>
              <w:rPr>
                <w:color w:val="595959"/>
                <w:sz w:val="17"/>
                <w:szCs w:val="17"/>
              </w:rPr>
              <w:t xml:space="preserve">Tag across the top of the card</w:t>
            </w:r>
          </w:p>
        </w:tc>
        <w:tc>
          <w:tcPr>
            <w:tcW w:w="4300" w:type="dxa"/>
          </w:tcPr>
          <w:p>
            <w:pPr>
              <w:spacing w:before="0" w:after="0"/>
            </w:pPr>
            <w:r>
              <w:rPr>
                <w:sz w:val="21"/>
                <w:szCs w:val="21"/>
              </w:rPr>
              <w:t xml:space="preserve">Deed-restricted affordable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T78</w:t>
            </w:r>
          </w:p>
          <w:p>
            <w:pPr>
              <w:spacing w:before="0" w:after="0"/>
            </w:pPr>
            <w:r>
              <w:rPr>
                <w:color w:val="595959"/>
                <w:sz w:val="17"/>
                <w:szCs w:val="17"/>
              </w:rPr>
              <w:t xml:space="preserve">Project name</w:t>
            </w:r>
          </w:p>
        </w:tc>
        <w:tc>
          <w:tcPr>
            <w:tcW w:w="4300" w:type="dxa"/>
          </w:tcPr>
          <w:p>
            <w:pPr>
              <w:spacing w:before="0" w:after="0"/>
            </w:pPr>
            <w:r>
              <w:rPr>
                <w:sz w:val="21"/>
                <w:szCs w:val="21"/>
              </w:rPr>
              <w:t xml:space="preserve">The Aspens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T79</w:t>
            </w:r>
          </w:p>
          <w:p>
            <w:pPr>
              <w:spacing w:before="0" w:after="0"/>
            </w:pPr>
            <w:r>
              <w:rPr>
                <w:color w:val="595959"/>
                <w:sz w:val="17"/>
                <w:szCs w:val="17"/>
              </w:rPr>
              <w:t xml:space="preserve">Description (about two lines fits best)</w:t>
            </w:r>
          </w:p>
        </w:tc>
        <w:tc>
          <w:tcPr>
            <w:tcW w:w="4300" w:type="dxa"/>
          </w:tcPr>
          <w:p>
            <w:pPr>
              <w:spacing w:before="0" w:after="0"/>
            </w:pPr>
            <w:r>
              <w:rPr>
                <w:sz w:val="21"/>
                <w:szCs w:val="21"/>
              </w:rPr>
              <w:t xml:space="preserve">47 affordable units and one moderate-income unit built in 2014, with eight bonus units reserved for a second phase.</w:t>
            </w:r>
          </w:p>
        </w:tc>
        <w:tc>
          <w:tcPr>
            <w:tcW w:w="3580" w:type="dxa"/>
            <w:shd w:val="clear" w:color="auto" w:fill="FFFDF0"/>
          </w:tcPr>
          <w:p>
            <w:pPr>
              <w:spacing w:before="0" w:after="0"/>
            </w:pPr>
          </w:p>
        </w:tc>
      </w:tr>
      <w:tr>
        <w:tc>
          <w:tcPr>
            <w:tcW w:w="10080" w:type="dxa"/>
            <w:gridSpan w:val="3"/>
            <w:shd w:val="clear" w:color="auto" w:fill="EDF4FA"/>
          </w:tcPr>
          <w:p>
            <w:pPr>
              <w:spacing w:before="0" w:after="0"/>
            </w:pPr>
            <w:r>
              <w:rPr>
                <w:i/>
                <w:color w:val="595959"/>
                <w:sz w:val="19"/>
                <w:szCs w:val="19"/>
              </w:rPr>
              <w:t xml:space="preserve">*Ken has queried the "reserved for a second phase" wording, since the units were approved but are not being actively pursued. A suggested replacement is "eight bonus units from the original allocation remain unbuilt." Karen to confirm.*</w:t>
            </w:r>
          </w:p>
        </w:tc>
      </w:tr>
      <w:tr>
        <w:tc>
          <w:tcPr>
            <w:tcW w:w="10080" w:type="dxa"/>
            <w:gridSpan w:val="3"/>
            <w:shd w:val="clear" w:color="auto" w:fill="EDF4FA"/>
          </w:tcPr>
          <w:p>
            <w:pPr>
              <w:spacing w:before="0" w:after="0"/>
            </w:pPr>
            <w:r>
              <w:rPr>
                <w:b/>
                <w:color w:val="075481"/>
                <w:sz w:val="19"/>
                <w:szCs w:val="19"/>
              </w:rPr>
              <w:t xml:space="preserve">Card 2 — Sugar Pine Village</w:t>
            </w:r>
          </w:p>
        </w:tc>
      </w:tr>
      <w:tr>
        <w:trPr>
          <w:trHeight w:val="340" w:hRule="atLeast"/>
        </w:trPr>
        <w:tc>
          <w:tcPr>
            <w:tcW w:w="2200" w:type="dxa"/>
          </w:tcPr>
          <w:p>
            <w:pPr>
              <w:spacing w:before="0" w:after="0"/>
            </w:pPr>
            <w:r>
              <w:rPr>
                <w:b/>
                <w:color w:val="075481"/>
                <w:sz w:val="21"/>
                <w:szCs w:val="21"/>
              </w:rPr>
              <w:t xml:space="preserve">T80</w:t>
            </w:r>
          </w:p>
          <w:p>
            <w:pPr>
              <w:spacing w:before="0" w:after="0"/>
            </w:pPr>
            <w:r>
              <w:rPr>
                <w:color w:val="595959"/>
                <w:sz w:val="17"/>
                <w:szCs w:val="17"/>
              </w:rPr>
              <w:t xml:space="preserve">Tag</w:t>
            </w:r>
          </w:p>
        </w:tc>
        <w:tc>
          <w:tcPr>
            <w:tcW w:w="4300" w:type="dxa"/>
          </w:tcPr>
          <w:p>
            <w:pPr>
              <w:spacing w:before="0" w:after="0"/>
            </w:pPr>
            <w:r>
              <w:rPr>
                <w:sz w:val="21"/>
                <w:szCs w:val="21"/>
              </w:rPr>
              <w:t xml:space="preserve">Deed-restricted affordable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T81</w:t>
            </w:r>
          </w:p>
          <w:p>
            <w:pPr>
              <w:spacing w:before="0" w:after="0"/>
            </w:pPr>
            <w:r>
              <w:rPr>
                <w:color w:val="595959"/>
                <w:sz w:val="17"/>
                <w:szCs w:val="17"/>
              </w:rPr>
              <w:t xml:space="preserve">Project name</w:t>
            </w:r>
          </w:p>
        </w:tc>
        <w:tc>
          <w:tcPr>
            <w:tcW w:w="4300" w:type="dxa"/>
          </w:tcPr>
          <w:p>
            <w:pPr>
              <w:spacing w:before="0" w:after="0"/>
            </w:pPr>
            <w:r>
              <w:rPr>
                <w:sz w:val="21"/>
                <w:szCs w:val="21"/>
              </w:rPr>
              <w:t xml:space="preserve">Sugar Pine Village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T82</w:t>
            </w:r>
          </w:p>
          <w:p>
            <w:pPr>
              <w:spacing w:before="0" w:after="0"/>
            </w:pPr>
            <w:r>
              <w:rPr>
                <w:color w:val="595959"/>
                <w:sz w:val="17"/>
                <w:szCs w:val="17"/>
              </w:rPr>
              <w:t xml:space="preserve">Description</w:t>
            </w:r>
          </w:p>
        </w:tc>
        <w:tc>
          <w:tcPr>
            <w:tcW w:w="4300" w:type="dxa"/>
          </w:tcPr>
          <w:p>
            <w:pPr>
              <w:spacing w:before="0" w:after="0"/>
            </w:pPr>
            <w:r>
              <w:rPr>
                <w:sz w:val="21"/>
                <w:szCs w:val="21"/>
              </w:rPr>
              <w:t xml:space="preserve">The Basin's largest affordable housing project, built across two parcels with residential bonus units. 248 deed-restricted units in total.</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T83</w:t>
            </w:r>
          </w:p>
          <w:p>
            <w:pPr>
              <w:spacing w:before="0" w:after="0"/>
            </w:pPr>
            <w:r>
              <w:rPr>
                <w:color w:val="595959"/>
                <w:sz w:val="17"/>
                <w:szCs w:val="17"/>
              </w:rPr>
              <w:t xml:space="preserve">First figure and its label</w:t>
            </w:r>
          </w:p>
        </w:tc>
        <w:tc>
          <w:tcPr>
            <w:tcW w:w="4300" w:type="dxa"/>
          </w:tcPr>
          <w:p>
            <w:pPr>
              <w:spacing w:before="0" w:after="0"/>
            </w:pPr>
            <w:r>
              <w:rPr>
                <w:sz w:val="21"/>
                <w:szCs w:val="21"/>
              </w:rPr>
              <w:t xml:space="preserve">129 units built</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T84</w:t>
            </w:r>
          </w:p>
          <w:p>
            <w:pPr>
              <w:spacing w:before="0" w:after="0"/>
            </w:pPr>
            <w:r>
              <w:rPr>
                <w:color w:val="595959"/>
                <w:sz w:val="17"/>
                <w:szCs w:val="17"/>
              </w:rPr>
              <w:t xml:space="preserve">Second figure and its label</w:t>
            </w:r>
          </w:p>
        </w:tc>
        <w:tc>
          <w:tcPr>
            <w:tcW w:w="4300" w:type="dxa"/>
          </w:tcPr>
          <w:p>
            <w:pPr>
              <w:spacing w:before="0" w:after="0"/>
            </w:pPr>
            <w:r>
              <w:rPr>
                <w:sz w:val="21"/>
                <w:szCs w:val="21"/>
              </w:rPr>
              <w:t xml:space="preserve">119 under construction</w:t>
            </w:r>
          </w:p>
        </w:tc>
        <w:tc>
          <w:tcPr>
            <w:tcW w:w="3580" w:type="dxa"/>
            <w:shd w:val="clear" w:color="auto" w:fill="FFFDF0"/>
          </w:tcPr>
          <w:p>
            <w:pPr>
              <w:spacing w:before="0" w:after="0"/>
            </w:pPr>
          </w:p>
        </w:tc>
      </w:tr>
      <w:tr>
        <w:tc>
          <w:tcPr>
            <w:tcW w:w="10080" w:type="dxa"/>
            <w:gridSpan w:val="3"/>
            <w:shd w:val="clear" w:color="auto" w:fill="EDF4FA"/>
          </w:tcPr>
          <w:p>
            <w:pPr>
              <w:spacing w:before="0" w:after="0"/>
            </w:pPr>
            <w:r>
              <w:rPr>
                <w:b/>
                <w:color w:val="075481"/>
                <w:sz w:val="19"/>
                <w:szCs w:val="19"/>
              </w:rPr>
              <w:t xml:space="preserve">Card 3 — Motel conversion</w:t>
            </w:r>
          </w:p>
        </w:tc>
      </w:tr>
      <w:tr>
        <w:tc>
          <w:tcPr>
            <w:tcW w:w="10080" w:type="dxa"/>
            <w:gridSpan w:val="3"/>
            <w:shd w:val="clear" w:color="auto" w:fill="FFF9E8"/>
          </w:tcPr>
          <w:p>
            <w:pPr>
              <w:spacing w:before="0" w:after="0"/>
            </w:pPr>
            <w:r>
              <w:rPr>
                <w:i/>
                <w:color w:val="595959"/>
                <w:sz w:val="19"/>
                <w:szCs w:val="19"/>
              </w:rPr>
              <w:t xml:space="preserve">This card has no photo yet. Send Mason an image if you have one.</w:t>
            </w:r>
          </w:p>
        </w:tc>
      </w:tr>
      <w:tr>
        <w:trPr>
          <w:trHeight w:val="340" w:hRule="atLeast"/>
        </w:trPr>
        <w:tc>
          <w:tcPr>
            <w:tcW w:w="2200" w:type="dxa"/>
          </w:tcPr>
          <w:p>
            <w:pPr>
              <w:spacing w:before="0" w:after="0"/>
            </w:pPr>
            <w:r>
              <w:rPr>
                <w:b/>
                <w:color w:val="075481"/>
                <w:sz w:val="21"/>
                <w:szCs w:val="21"/>
              </w:rPr>
              <w:t xml:space="preserve">T85</w:t>
            </w:r>
          </w:p>
          <w:p>
            <w:pPr>
              <w:spacing w:before="0" w:after="0"/>
            </w:pPr>
            <w:r>
              <w:rPr>
                <w:color w:val="595959"/>
                <w:sz w:val="17"/>
                <w:szCs w:val="17"/>
              </w:rPr>
              <w:t xml:space="preserve">Tag</w:t>
            </w:r>
          </w:p>
        </w:tc>
        <w:tc>
          <w:tcPr>
            <w:tcW w:w="4300" w:type="dxa"/>
          </w:tcPr>
          <w:p>
            <w:pPr>
              <w:spacing w:before="0" w:after="0"/>
            </w:pPr>
            <w:r>
              <w:rPr>
                <w:sz w:val="21"/>
                <w:szCs w:val="21"/>
              </w:rPr>
              <w:t xml:space="preserve">Conversion in progress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T86</w:t>
            </w:r>
          </w:p>
          <w:p>
            <w:pPr>
              <w:spacing w:before="0" w:after="0"/>
            </w:pPr>
            <w:r>
              <w:rPr>
                <w:color w:val="595959"/>
                <w:sz w:val="17"/>
                <w:szCs w:val="17"/>
              </w:rPr>
              <w:t xml:space="preserve">Project name</w:t>
            </w:r>
          </w:p>
        </w:tc>
        <w:tc>
          <w:tcPr>
            <w:tcW w:w="4300" w:type="dxa"/>
          </w:tcPr>
          <w:p>
            <w:pPr>
              <w:spacing w:before="0" w:after="0"/>
            </w:pPr>
            <w:r>
              <w:rPr>
                <w:sz w:val="21"/>
                <w:szCs w:val="21"/>
              </w:rPr>
              <w:t xml:space="preserve">Motel conversion to affordable homes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T87</w:t>
            </w:r>
          </w:p>
          <w:p>
            <w:pPr>
              <w:spacing w:before="0" w:after="0"/>
            </w:pPr>
            <w:r>
              <w:rPr>
                <w:color w:val="595959"/>
                <w:sz w:val="17"/>
                <w:szCs w:val="17"/>
              </w:rPr>
              <w:t xml:space="preserve">Description</w:t>
            </w:r>
          </w:p>
        </w:tc>
        <w:tc>
          <w:tcPr>
            <w:tcW w:w="4300" w:type="dxa"/>
          </w:tcPr>
          <w:p>
            <w:pPr>
              <w:spacing w:before="0" w:after="0"/>
            </w:pPr>
            <w:r>
              <w:rPr>
                <w:sz w:val="21"/>
                <w:szCs w:val="21"/>
              </w:rPr>
              <w:t xml:space="preserve">An existing 22-unit motel is being converted to 21 deed-restricted affordable units. No new units are added; the rooms become permanent homes.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T88</w:t>
            </w:r>
          </w:p>
          <w:p>
            <w:pPr>
              <w:spacing w:before="0" w:after="0"/>
            </w:pPr>
            <w:r>
              <w:rPr>
                <w:color w:val="595959"/>
                <w:sz w:val="17"/>
                <w:szCs w:val="17"/>
              </w:rPr>
              <w:t xml:space="preserve">First figure and its label</w:t>
            </w:r>
          </w:p>
        </w:tc>
        <w:tc>
          <w:tcPr>
            <w:tcW w:w="4300" w:type="dxa"/>
          </w:tcPr>
          <w:p>
            <w:pPr>
              <w:spacing w:before="0" w:after="0"/>
            </w:pPr>
            <w:r>
              <w:rPr>
                <w:sz w:val="21"/>
                <w:szCs w:val="21"/>
              </w:rPr>
              <w:t xml:space="preserve">21 affordable units planned</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T89</w:t>
            </w:r>
          </w:p>
          <w:p>
            <w:pPr>
              <w:spacing w:before="0" w:after="0"/>
            </w:pPr>
            <w:r>
              <w:rPr>
                <w:color w:val="595959"/>
                <w:sz w:val="17"/>
                <w:szCs w:val="17"/>
              </w:rPr>
              <w:t xml:space="preserve">Second figure and its label</w:t>
            </w:r>
          </w:p>
        </w:tc>
        <w:tc>
          <w:tcPr>
            <w:tcW w:w="4300" w:type="dxa"/>
          </w:tcPr>
          <w:p>
            <w:pPr>
              <w:spacing w:before="0" w:after="0"/>
            </w:pPr>
            <w:r>
              <w:rPr>
                <w:sz w:val="21"/>
                <w:szCs w:val="21"/>
              </w:rPr>
              <w:t xml:space="preserve">22 existing motel units</w:t>
            </w:r>
          </w:p>
        </w:tc>
        <w:tc>
          <w:tcPr>
            <w:tcW w:w="3580" w:type="dxa"/>
            <w:shd w:val="clear" w:color="auto" w:fill="FFFDF0"/>
          </w:tcPr>
          <w:p>
            <w:pPr>
              <w:spacing w:before="0" w:after="0"/>
            </w:pPr>
          </w:p>
        </w:tc>
      </w:tr>
      <w:tr>
        <w:tc>
          <w:tcPr>
            <w:tcW w:w="10080" w:type="dxa"/>
            <w:gridSpan w:val="3"/>
            <w:shd w:val="clear" w:color="auto" w:fill="EDF4FA"/>
          </w:tcPr>
          <w:p>
            <w:pPr>
              <w:spacing w:before="0" w:after="0"/>
            </w:pPr>
            <w:r>
              <w:rPr>
                <w:b/>
                <w:color w:val="075481"/>
                <w:sz w:val="19"/>
                <w:szCs w:val="19"/>
              </w:rPr>
              <w:t xml:space="preserve">Card 4 — Placer commercial conversion</w:t>
            </w:r>
          </w:p>
        </w:tc>
      </w:tr>
      <w:tr>
        <w:tc>
          <w:tcPr>
            <w:tcW w:w="10080" w:type="dxa"/>
            <w:gridSpan w:val="3"/>
            <w:shd w:val="clear" w:color="auto" w:fill="FFF9E8"/>
          </w:tcPr>
          <w:p>
            <w:pPr>
              <w:spacing w:before="0" w:after="0"/>
            </w:pPr>
            <w:r>
              <w:rPr>
                <w:i/>
                <w:color w:val="595959"/>
                <w:sz w:val="19"/>
                <w:szCs w:val="19"/>
              </w:rPr>
              <w:t xml:space="preserve">This card has no photo yet. It covers two parcels in Placer County.</w:t>
            </w:r>
          </w:p>
        </w:tc>
      </w:tr>
      <w:tr>
        <w:trPr>
          <w:trHeight w:val="340" w:hRule="atLeast"/>
        </w:trPr>
        <w:tc>
          <w:tcPr>
            <w:tcW w:w="2200" w:type="dxa"/>
          </w:tcPr>
          <w:p>
            <w:pPr>
              <w:spacing w:before="0" w:after="0"/>
            </w:pPr>
            <w:r>
              <w:rPr>
                <w:b/>
                <w:color w:val="075481"/>
                <w:sz w:val="21"/>
                <w:szCs w:val="21"/>
              </w:rPr>
              <w:t xml:space="preserve">T90</w:t>
            </w:r>
          </w:p>
          <w:p>
            <w:pPr>
              <w:spacing w:before="0" w:after="0"/>
            </w:pPr>
            <w:r>
              <w:rPr>
                <w:color w:val="595959"/>
                <w:sz w:val="17"/>
                <w:szCs w:val="17"/>
              </w:rPr>
              <w:t xml:space="preserve">Tag</w:t>
            </w:r>
          </w:p>
        </w:tc>
        <w:tc>
          <w:tcPr>
            <w:tcW w:w="4300" w:type="dxa"/>
          </w:tcPr>
          <w:p>
            <w:pPr>
              <w:spacing w:before="0" w:after="0"/>
            </w:pPr>
            <w:r>
              <w:rPr>
                <w:sz w:val="21"/>
                <w:szCs w:val="21"/>
              </w:rPr>
              <w:t xml:space="preserve">Commercial conversion</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T91</w:t>
            </w:r>
          </w:p>
          <w:p>
            <w:pPr>
              <w:spacing w:before="0" w:after="0"/>
            </w:pPr>
            <w:r>
              <w:rPr>
                <w:color w:val="595959"/>
                <w:sz w:val="17"/>
                <w:szCs w:val="17"/>
              </w:rPr>
              <w:t xml:space="preserve">Project name</w:t>
            </w:r>
          </w:p>
        </w:tc>
        <w:tc>
          <w:tcPr>
            <w:tcW w:w="4300" w:type="dxa"/>
          </w:tcPr>
          <w:p>
            <w:pPr>
              <w:spacing w:before="0" w:after="0"/>
            </w:pPr>
            <w:r>
              <w:rPr>
                <w:sz w:val="21"/>
                <w:szCs w:val="21"/>
              </w:rPr>
              <w:t xml:space="preserve">Commercial space turned into homes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T92</w:t>
            </w:r>
          </w:p>
          <w:p>
            <w:pPr>
              <w:spacing w:before="0" w:after="0"/>
            </w:pPr>
            <w:r>
              <w:rPr>
                <w:color w:val="595959"/>
                <w:sz w:val="17"/>
                <w:szCs w:val="17"/>
              </w:rPr>
              <w:t xml:space="preserve">Description</w:t>
            </w:r>
          </w:p>
        </w:tc>
        <w:tc>
          <w:tcPr>
            <w:tcW w:w="4300" w:type="dxa"/>
          </w:tcPr>
          <w:p>
            <w:pPr>
              <w:spacing w:before="0" w:after="0"/>
            </w:pPr>
            <w:r>
              <w:rPr>
                <w:sz w:val="21"/>
                <w:szCs w:val="21"/>
              </w:rPr>
              <w:t xml:space="preserve">Placer County has converted commercial floor area into housing: 17 apartments in 2021 and 13 more homes, including an accessory dwelling unit, in 2024.</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T93</w:t>
            </w:r>
          </w:p>
          <w:p>
            <w:pPr>
              <w:spacing w:before="0" w:after="0"/>
            </w:pPr>
            <w:r>
              <w:rPr>
                <w:color w:val="595959"/>
                <w:sz w:val="17"/>
                <w:szCs w:val="17"/>
              </w:rPr>
              <w:t xml:space="preserve">First figure and its label</w:t>
            </w:r>
          </w:p>
        </w:tc>
        <w:tc>
          <w:tcPr>
            <w:tcW w:w="4300" w:type="dxa"/>
          </w:tcPr>
          <w:p>
            <w:pPr>
              <w:spacing w:before="0" w:after="0"/>
            </w:pPr>
            <w:r>
              <w:rPr>
                <w:sz w:val="21"/>
                <w:szCs w:val="21"/>
              </w:rPr>
              <w:t xml:space="preserve">30 homes created</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T94</w:t>
            </w:r>
          </w:p>
          <w:p>
            <w:pPr>
              <w:spacing w:before="0" w:after="0"/>
            </w:pPr>
            <w:r>
              <w:rPr>
                <w:color w:val="595959"/>
                <w:sz w:val="17"/>
                <w:szCs w:val="17"/>
              </w:rPr>
              <w:t xml:space="preserve">Second figure and its label</w:t>
            </w:r>
          </w:p>
        </w:tc>
        <w:tc>
          <w:tcPr>
            <w:tcW w:w="4300" w:type="dxa"/>
          </w:tcPr>
          <w:p>
            <w:pPr>
              <w:spacing w:before="0" w:after="0"/>
            </w:pPr>
            <w:r>
              <w:rPr>
                <w:sz w:val="21"/>
                <w:szCs w:val="21"/>
              </w:rPr>
              <w:t xml:space="preserve">2 commercial sites converted</w:t>
            </w:r>
          </w:p>
        </w:tc>
        <w:tc>
          <w:tcPr>
            <w:tcW w:w="3580" w:type="dxa"/>
            <w:shd w:val="clear" w:color="auto" w:fill="FFFDF0"/>
          </w:tcPr>
          <w:p>
            <w:pPr>
              <w:spacing w:before="0" w:after="0"/>
            </w:pPr>
          </w:p>
        </w:tc>
      </w:tr>
      <w:tr>
        <w:tc>
          <w:tcPr>
            <w:tcW w:w="10080" w:type="dxa"/>
            <w:gridSpan w:val="3"/>
            <w:shd w:val="clear" w:color="auto" w:fill="EDF4FA"/>
          </w:tcPr>
          <w:p>
            <w:pPr>
              <w:spacing w:before="0" w:after="0"/>
            </w:pPr>
            <w:r>
              <w:rPr>
                <w:b/>
                <w:color w:val="075481"/>
                <w:sz w:val="19"/>
                <w:szCs w:val="19"/>
              </w:rPr>
              <w:t xml:space="preserve">Wording used on cards that show live figures</w:t>
            </w:r>
          </w:p>
        </w:tc>
      </w:tr>
      <w:tr>
        <w:trPr>
          <w:trHeight w:val="340" w:hRule="atLeast"/>
        </w:trPr>
        <w:tc>
          <w:tcPr>
            <w:tcW w:w="2200" w:type="dxa"/>
          </w:tcPr>
          <w:p>
            <w:pPr>
              <w:spacing w:before="0" w:after="0"/>
            </w:pPr>
            <w:r>
              <w:rPr>
                <w:b/>
                <w:color w:val="075481"/>
                <w:sz w:val="21"/>
                <w:szCs w:val="21"/>
              </w:rPr>
              <w:t xml:space="preserve">T95</w:t>
            </w:r>
          </w:p>
        </w:tc>
        <w:tc>
          <w:tcPr>
            <w:tcW w:w="4300" w:type="dxa"/>
          </w:tcPr>
          <w:p>
            <w:pPr>
              <w:spacing w:before="0" w:after="0"/>
            </w:pPr>
            <w:r>
              <w:rPr>
                <w:sz w:val="21"/>
                <w:szCs w:val="21"/>
              </w:rPr>
              <w:t xml:space="preserve">units built</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T96</w:t>
            </w:r>
          </w:p>
        </w:tc>
        <w:tc>
          <w:tcPr>
            <w:tcW w:w="4300" w:type="dxa"/>
          </w:tcPr>
          <w:p>
            <w:pPr>
              <w:spacing w:before="0" w:after="0"/>
            </w:pPr>
            <w:r>
              <w:rPr>
                <w:sz w:val="21"/>
                <w:szCs w:val="21"/>
              </w:rPr>
              <w:t xml:space="preserve">in pipeline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T97</w:t>
            </w:r>
          </w:p>
        </w:tc>
        <w:tc>
          <w:tcPr>
            <w:tcW w:w="4300" w:type="dxa"/>
          </w:tcPr>
          <w:p>
            <w:pPr>
              <w:spacing w:before="0" w:after="0"/>
            </w:pPr>
            <w:r>
              <w:rPr>
                <w:sz w:val="21"/>
                <w:szCs w:val="21"/>
              </w:rPr>
              <w:t xml:space="preserve">year built</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T98</w:t>
            </w:r>
          </w:p>
          <w:p>
            <w:pPr>
              <w:spacing w:before="0" w:after="0"/>
            </w:pPr>
            <w:r>
              <w:rPr>
                <w:color w:val="595959"/>
                <w:sz w:val="17"/>
                <w:szCs w:val="17"/>
              </w:rPr>
              <w:t xml:space="preserve">Link to a project's own website</w:t>
            </w:r>
          </w:p>
        </w:tc>
        <w:tc>
          <w:tcPr>
            <w:tcW w:w="4300" w:type="dxa"/>
          </w:tcPr>
          <w:p>
            <w:pPr>
              <w:spacing w:before="0" w:after="0"/>
            </w:pPr>
            <w:r>
              <w:rPr>
                <w:sz w:val="21"/>
                <w:szCs w:val="21"/>
              </w:rPr>
              <w:t xml:space="preserve">Project website</w:t>
            </w:r>
          </w:p>
        </w:tc>
        <w:tc>
          <w:tcPr>
            <w:tcW w:w="3580" w:type="dxa"/>
            <w:shd w:val="clear" w:color="auto" w:fill="FFFDF0"/>
          </w:tcPr>
          <w:p>
            <w:pPr>
              <w:spacing w:before="0" w:after="0"/>
            </w:pPr>
          </w:p>
        </w:tc>
      </w:tr>
      <w:tr>
        <w:tc>
          <w:tcPr>
            <w:tcW w:w="10080" w:type="dxa"/>
            <w:gridSpan w:val="3"/>
            <w:shd w:val="clear" w:color="auto" w:fill="EDF4FA"/>
          </w:tcPr>
          <w:p>
            <w:pPr>
              <w:spacing w:before="0" w:after="0"/>
            </w:pPr>
            <w:r>
              <w:rPr>
                <w:i/>
                <w:color w:val="595959"/>
                <w:sz w:val="19"/>
                <w:szCs w:val="19"/>
              </w:rPr>
              <w:t xml:space="preserve">*Want a different project featured, or a fifth card? Say so under Other feedback. One option already checked: Lake Tahoe Community College, 41 deed-restricted affordable dormitory units built in 2025 by converting tourist accommodation units.* ---</w:t>
            </w:r>
          </w:p>
        </w:tc>
      </w:tr>
    </w:tbl>
    <w:p>
      <w:pPr>
        <w:spacing w:before="0" w:after="200"/>
      </w:pPr>
    </w:p>
    <w:p>
      <w:pPr>
        <w:spacing w:before="260" w:after="130"/>
      </w:pPr>
      <w:r>
        <w:rPr>
          <w:b/>
          <w:color w:val="075481"/>
          <w:sz w:val="26"/>
          <w:szCs w:val="26"/>
        </w:rPr>
        <w:t xml:space="preserve">9. Map pop-up</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Pr>
      <w:tblGrid>
        <w:gridCol w:w="2200"/>
        <w:gridCol w:w="4300"/>
        <w:gridCol w:w="3580"/>
      </w:tblGrid>
      <w:tr>
        <w:trPr>
          <w:tblHeader/>
        </w:trPr>
        <w:tc>
          <w:tcPr>
            <w:tcW w:w="2200" w:type="dxa"/>
            <w:shd w:val="clear" w:color="auto" w:fill="0A7EC2"/>
          </w:tcPr>
          <w:p>
            <w:pPr>
              <w:spacing w:before="0" w:after="0"/>
            </w:pPr>
            <w:r>
              <w:rPr>
                <w:b/>
                <w:color w:val="FFFFFF"/>
                <w:sz w:val="19"/>
                <w:szCs w:val="19"/>
              </w:rPr>
              <w:t xml:space="preserve">Where it appears</w:t>
            </w:r>
          </w:p>
        </w:tc>
        <w:tc>
          <w:tcPr>
            <w:tcW w:w="4300" w:type="dxa"/>
            <w:shd w:val="clear" w:color="auto" w:fill="0A7EC2"/>
          </w:tcPr>
          <w:p>
            <w:pPr>
              <w:spacing w:before="0" w:after="0"/>
            </w:pPr>
            <w:r>
              <w:rPr>
                <w:b/>
                <w:color w:val="FFFFFF"/>
                <w:sz w:val="19"/>
                <w:szCs w:val="19"/>
              </w:rPr>
              <w:t xml:space="preserve">Current wording</w:t>
            </w:r>
          </w:p>
        </w:tc>
        <w:tc>
          <w:tcPr>
            <w:tcW w:w="3580" w:type="dxa"/>
            <w:shd w:val="clear" w:color="auto" w:fill="0A7EC2"/>
          </w:tcPr>
          <w:p>
            <w:pPr>
              <w:spacing w:before="0" w:after="0"/>
            </w:pPr>
            <w:r>
              <w:rPr>
                <w:b/>
                <w:color w:val="FFFFFF"/>
                <w:sz w:val="19"/>
                <w:szCs w:val="19"/>
              </w:rPr>
              <w:t xml:space="preserve">Your new wording</w:t>
            </w:r>
          </w:p>
        </w:tc>
      </w:tr>
      <w:tr>
        <w:tc>
          <w:tcPr>
            <w:tcW w:w="10080" w:type="dxa"/>
            <w:gridSpan w:val="3"/>
            <w:shd w:val="clear" w:color="auto" w:fill="EDF4FA"/>
          </w:tcPr>
          <w:p>
            <w:pPr>
              <w:spacing w:before="0" w:after="0"/>
            </w:pPr>
            <w:r>
              <w:rPr>
                <w:i/>
                <w:color w:val="595959"/>
                <w:sz w:val="19"/>
                <w:szCs w:val="19"/>
              </w:rPr>
              <w:t xml:space="preserve">The panel that appears when you click a parcel.</w:t>
            </w:r>
          </w:p>
        </w:tc>
      </w:tr>
      <w:tr>
        <w:trPr>
          <w:trHeight w:val="340" w:hRule="atLeast"/>
        </w:trPr>
        <w:tc>
          <w:tcPr>
            <w:tcW w:w="2200" w:type="dxa"/>
          </w:tcPr>
          <w:p>
            <w:pPr>
              <w:spacing w:before="0" w:after="0"/>
            </w:pPr>
            <w:r>
              <w:rPr>
                <w:b/>
                <w:color w:val="075481"/>
                <w:sz w:val="21"/>
                <w:szCs w:val="21"/>
              </w:rPr>
              <w:t xml:space="preserve">T121</w:t>
            </w:r>
          </w:p>
          <w:p>
            <w:pPr>
              <w:spacing w:before="0" w:after="0"/>
            </w:pPr>
            <w:r>
              <w:rPr>
                <w:color w:val="595959"/>
                <w:sz w:val="17"/>
                <w:szCs w:val="17"/>
              </w:rPr>
              <w:t xml:space="preserve">Column headings inside the pop-up</w:t>
            </w:r>
          </w:p>
        </w:tc>
        <w:tc>
          <w:tcPr>
            <w:tcW w:w="4300" w:type="dxa"/>
          </w:tcPr>
          <w:p>
            <w:pPr>
              <w:spacing w:before="0" w:after="0"/>
            </w:pPr>
            <w:r>
              <w:rPr>
                <w:sz w:val="21"/>
                <w:szCs w:val="21"/>
              </w:rPr>
              <w:t xml:space="preserve">Type · Units · Timing · Built · Affordable &amp; workforce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T122</w:t>
            </w:r>
          </w:p>
          <w:p>
            <w:pPr>
              <w:spacing w:before="0" w:after="0"/>
            </w:pPr>
            <w:r>
              <w:rPr>
                <w:color w:val="595959"/>
                <w:sz w:val="17"/>
                <w:szCs w:val="17"/>
              </w:rPr>
              <w:t xml:space="preserve">Link at the bottom of the pop-up</w:t>
            </w:r>
          </w:p>
        </w:tc>
        <w:tc>
          <w:tcPr>
            <w:tcW w:w="4300" w:type="dxa"/>
          </w:tcPr>
          <w:p>
            <w:pPr>
              <w:spacing w:before="0" w:after="0"/>
            </w:pPr>
            <w:r>
              <w:rPr>
                <w:sz w:val="21"/>
                <w:szCs w:val="21"/>
              </w:rPr>
              <w:t xml:space="preserve">Open in Lake Tahoe Info</w:t>
            </w:r>
          </w:p>
        </w:tc>
        <w:tc>
          <w:tcPr>
            <w:tcW w:w="3580" w:type="dxa"/>
            <w:shd w:val="clear" w:color="auto" w:fill="FFFDF0"/>
          </w:tcPr>
          <w:p>
            <w:pPr>
              <w:spacing w:before="0" w:after="0"/>
            </w:pPr>
          </w:p>
        </w:tc>
      </w:tr>
    </w:tbl>
    <w:p>
      <w:pPr>
        <w:spacing w:before="0" w:after="200"/>
      </w:pPr>
    </w:p>
    <w:p>
      <w:pPr>
        <w:spacing w:before="260" w:after="130"/>
      </w:pPr>
      <w:r>
        <w:rPr>
          <w:b/>
          <w:color w:val="075481"/>
          <w:sz w:val="26"/>
          <w:szCs w:val="26"/>
        </w:rPr>
        <w:t xml:space="preserve">10. Footer</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Pr>
      <w:tblGrid>
        <w:gridCol w:w="2200"/>
        <w:gridCol w:w="4300"/>
        <w:gridCol w:w="3580"/>
      </w:tblGrid>
      <w:tr>
        <w:trPr>
          <w:tblHeader/>
        </w:trPr>
        <w:tc>
          <w:tcPr>
            <w:tcW w:w="2200" w:type="dxa"/>
            <w:shd w:val="clear" w:color="auto" w:fill="0A7EC2"/>
          </w:tcPr>
          <w:p>
            <w:pPr>
              <w:spacing w:before="0" w:after="0"/>
            </w:pPr>
            <w:r>
              <w:rPr>
                <w:b/>
                <w:color w:val="FFFFFF"/>
                <w:sz w:val="19"/>
                <w:szCs w:val="19"/>
              </w:rPr>
              <w:t xml:space="preserve">Where it appears</w:t>
            </w:r>
          </w:p>
        </w:tc>
        <w:tc>
          <w:tcPr>
            <w:tcW w:w="4300" w:type="dxa"/>
            <w:shd w:val="clear" w:color="auto" w:fill="0A7EC2"/>
          </w:tcPr>
          <w:p>
            <w:pPr>
              <w:spacing w:before="0" w:after="0"/>
            </w:pPr>
            <w:r>
              <w:rPr>
                <w:b/>
                <w:color w:val="FFFFFF"/>
                <w:sz w:val="19"/>
                <w:szCs w:val="19"/>
              </w:rPr>
              <w:t xml:space="preserve">Current wording</w:t>
            </w:r>
          </w:p>
        </w:tc>
        <w:tc>
          <w:tcPr>
            <w:tcW w:w="3580" w:type="dxa"/>
            <w:shd w:val="clear" w:color="auto" w:fill="0A7EC2"/>
          </w:tcPr>
          <w:p>
            <w:pPr>
              <w:spacing w:before="0" w:after="0"/>
            </w:pPr>
            <w:r>
              <w:rPr>
                <w:b/>
                <w:color w:val="FFFFFF"/>
                <w:sz w:val="19"/>
                <w:szCs w:val="19"/>
              </w:rPr>
              <w:t xml:space="preserve">Your new wording</w:t>
            </w:r>
          </w:p>
        </w:tc>
      </w:tr>
      <w:tr>
        <w:trPr>
          <w:trHeight w:val="340" w:hRule="atLeast"/>
        </w:trPr>
        <w:tc>
          <w:tcPr>
            <w:tcW w:w="2200" w:type="dxa"/>
          </w:tcPr>
          <w:p>
            <w:pPr>
              <w:spacing w:before="0" w:after="0"/>
            </w:pPr>
            <w:r>
              <w:rPr>
                <w:b/>
                <w:color w:val="075481"/>
                <w:sz w:val="21"/>
                <w:szCs w:val="21"/>
              </w:rPr>
              <w:t xml:space="preserve">T123</w:t>
            </w:r>
          </w:p>
        </w:tc>
        <w:tc>
          <w:tcPr>
            <w:tcW w:w="4300" w:type="dxa"/>
          </w:tcPr>
          <w:p>
            <w:pPr>
              <w:spacing w:before="0" w:after="0"/>
            </w:pPr>
            <w:r>
              <w:rPr>
                <w:sz w:val="21"/>
                <w:szCs w:val="21"/>
              </w:rPr>
              <w:t xml:space="preserve">A project of the Tahoe Regional Planning Agency</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T124</w:t>
            </w:r>
          </w:p>
          <w:p>
            <w:pPr>
              <w:spacing w:before="0" w:after="0"/>
            </w:pPr>
            <w:r>
              <w:rPr>
                <w:color w:val="595959"/>
                <w:sz w:val="17"/>
                <w:szCs w:val="17"/>
              </w:rPr>
              <w:t xml:space="preserve">Data credit line</w:t>
            </w:r>
          </w:p>
        </w:tc>
        <w:tc>
          <w:tcPr>
            <w:tcW w:w="4300" w:type="dxa"/>
          </w:tcPr>
          <w:p>
            <w:pPr>
              <w:spacing w:before="0" w:after="0"/>
            </w:pPr>
            <w:r>
              <w:rPr>
                <w:sz w:val="21"/>
                <w:szCs w:val="21"/>
              </w:rPr>
              <w:t xml:space="preserve">Housing records: TRPA Long Range Planning · Parcels and VHR: maps.trpa.org</w:t>
            </w:r>
          </w:p>
        </w:tc>
        <w:tc>
          <w:tcPr>
            <w:tcW w:w="3580" w:type="dxa"/>
            <w:shd w:val="clear" w:color="auto" w:fill="FFFDF0"/>
          </w:tcPr>
          <w:p>
            <w:pPr>
              <w:spacing w:before="0" w:after="0"/>
            </w:pPr>
          </w:p>
        </w:tc>
      </w:tr>
    </w:tbl>
    <w:p>
      <w:pPr>
        <w:spacing w:before="0" w:after="200"/>
      </w:pPr>
    </w:p>
    <w:p>
      <w:pPr>
        <w:spacing w:before="260" w:after="130"/>
      </w:pPr>
      <w:r>
        <w:rPr>
          <w:b/>
          <w:color w:val="075481"/>
          <w:sz w:val="26"/>
          <w:szCs w:val="26"/>
        </w:rPr>
        <w:t xml:space="preserve">11. Loading and error messages</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Pr>
      <w:tblGrid>
        <w:gridCol w:w="2200"/>
        <w:gridCol w:w="4300"/>
        <w:gridCol w:w="3580"/>
      </w:tblGrid>
      <w:tr>
        <w:trPr>
          <w:tblHeader/>
        </w:trPr>
        <w:tc>
          <w:tcPr>
            <w:tcW w:w="2200" w:type="dxa"/>
            <w:shd w:val="clear" w:color="auto" w:fill="0A7EC2"/>
          </w:tcPr>
          <w:p>
            <w:pPr>
              <w:spacing w:before="0" w:after="0"/>
            </w:pPr>
            <w:r>
              <w:rPr>
                <w:b/>
                <w:color w:val="FFFFFF"/>
                <w:sz w:val="19"/>
                <w:szCs w:val="19"/>
              </w:rPr>
              <w:t xml:space="preserve">Where it appears</w:t>
            </w:r>
          </w:p>
        </w:tc>
        <w:tc>
          <w:tcPr>
            <w:tcW w:w="4300" w:type="dxa"/>
            <w:shd w:val="clear" w:color="auto" w:fill="0A7EC2"/>
          </w:tcPr>
          <w:p>
            <w:pPr>
              <w:spacing w:before="0" w:after="0"/>
            </w:pPr>
            <w:r>
              <w:rPr>
                <w:b/>
                <w:color w:val="FFFFFF"/>
                <w:sz w:val="19"/>
                <w:szCs w:val="19"/>
              </w:rPr>
              <w:t xml:space="preserve">Current wording</w:t>
            </w:r>
          </w:p>
        </w:tc>
        <w:tc>
          <w:tcPr>
            <w:tcW w:w="3580" w:type="dxa"/>
            <w:shd w:val="clear" w:color="auto" w:fill="0A7EC2"/>
          </w:tcPr>
          <w:p>
            <w:pPr>
              <w:spacing w:before="0" w:after="0"/>
            </w:pPr>
            <w:r>
              <w:rPr>
                <w:b/>
                <w:color w:val="FFFFFF"/>
                <w:sz w:val="19"/>
                <w:szCs w:val="19"/>
              </w:rPr>
              <w:t xml:space="preserve">Your new wording</w:t>
            </w:r>
          </w:p>
        </w:tc>
      </w:tr>
      <w:tr>
        <w:tc>
          <w:tcPr>
            <w:tcW w:w="10080" w:type="dxa"/>
            <w:gridSpan w:val="3"/>
            <w:shd w:val="clear" w:color="auto" w:fill="EDF4FA"/>
          </w:tcPr>
          <w:p>
            <w:pPr>
              <w:spacing w:before="0" w:after="0"/>
            </w:pPr>
            <w:r>
              <w:rPr>
                <w:i/>
                <w:color w:val="595959"/>
                <w:sz w:val="19"/>
                <w:szCs w:val="19"/>
              </w:rPr>
              <w:t xml:space="preserve">Most people will only see the first two. The rest appear when something goes wrong.</w:t>
            </w:r>
          </w:p>
        </w:tc>
      </w:tr>
      <w:tr>
        <w:trPr>
          <w:trHeight w:val="340" w:hRule="atLeast"/>
        </w:trPr>
        <w:tc>
          <w:tcPr>
            <w:tcW w:w="2200" w:type="dxa"/>
          </w:tcPr>
          <w:p>
            <w:pPr>
              <w:spacing w:before="0" w:after="0"/>
            </w:pPr>
            <w:r>
              <w:rPr>
                <w:b/>
                <w:color w:val="075481"/>
                <w:sz w:val="21"/>
                <w:szCs w:val="21"/>
              </w:rPr>
              <w:t xml:space="preserve">T125</w:t>
            </w:r>
          </w:p>
          <w:p>
            <w:pPr>
              <w:spacing w:before="0" w:after="0"/>
            </w:pPr>
            <w:r>
              <w:rPr>
                <w:color w:val="595959"/>
                <w:sz w:val="17"/>
                <w:szCs w:val="17"/>
              </w:rPr>
              <w:t xml:space="preserve">While the page loads</w:t>
            </w:r>
          </w:p>
        </w:tc>
        <w:tc>
          <w:tcPr>
            <w:tcW w:w="4300" w:type="dxa"/>
          </w:tcPr>
          <w:p>
            <w:pPr>
              <w:spacing w:before="0" w:after="0"/>
            </w:pPr>
            <w:r>
              <w:rPr>
                <w:sz w:val="21"/>
                <w:szCs w:val="21"/>
              </w:rPr>
              <w:t xml:space="preserve">Loading housing data…</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T126</w:t>
            </w:r>
          </w:p>
          <w:p>
            <w:pPr>
              <w:spacing w:before="0" w:after="0"/>
            </w:pPr>
            <w:r>
              <w:rPr>
                <w:color w:val="595959"/>
                <w:sz w:val="17"/>
                <w:szCs w:val="17"/>
              </w:rPr>
              <w:t xml:space="preserve">Smaller line underneath</w:t>
            </w:r>
          </w:p>
        </w:tc>
        <w:tc>
          <w:tcPr>
            <w:tcW w:w="4300" w:type="dxa"/>
          </w:tcPr>
          <w:p>
            <w:pPr>
              <w:spacing w:before="0" w:after="0"/>
            </w:pPr>
            <w:r>
              <w:rPr>
                <w:sz w:val="21"/>
                <w:szCs w:val="21"/>
              </w:rPr>
              <w:t xml:space="preserve">Reading housing records</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T127</w:t>
            </w:r>
          </w:p>
          <w:p>
            <w:pPr>
              <w:spacing w:before="0" w:after="0"/>
            </w:pPr>
            <w:r>
              <w:rPr>
                <w:color w:val="595959"/>
                <w:sz w:val="17"/>
                <w:szCs w:val="17"/>
              </w:rPr>
              <w:t xml:space="preserve">Warning heading when a parcel is missing from the parcel map</w:t>
            </w:r>
          </w:p>
        </w:tc>
        <w:tc>
          <w:tcPr>
            <w:tcW w:w="4300" w:type="dxa"/>
          </w:tcPr>
          <w:p>
            <w:pPr>
              <w:spacing w:before="0" w:after="0"/>
            </w:pPr>
            <w:r>
              <w:rPr>
                <w:sz w:val="21"/>
                <w:szCs w:val="21"/>
              </w:rPr>
              <w:t xml:space="preserve">Some parcels did not join</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T128</w:t>
            </w:r>
          </w:p>
          <w:p>
            <w:pPr>
              <w:spacing w:before="0" w:after="0"/>
            </w:pPr>
            <w:r>
              <w:rPr>
                <w:color w:val="595959"/>
                <w:sz w:val="17"/>
                <w:szCs w:val="17"/>
              </w:rPr>
              <w:t xml:space="preserve">If the map fails to load</w:t>
            </w:r>
          </w:p>
        </w:tc>
        <w:tc>
          <w:tcPr>
            <w:tcW w:w="4300" w:type="dxa"/>
          </w:tcPr>
          <w:p>
            <w:pPr>
              <w:spacing w:before="0" w:after="0"/>
            </w:pPr>
            <w:r>
              <w:rPr>
                <w:sz w:val="21"/>
                <w:szCs w:val="21"/>
              </w:rPr>
              <w:t xml:space="preserve">Map unavailable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T129</w:t>
            </w:r>
          </w:p>
          <w:p>
            <w:pPr>
              <w:spacing w:before="0" w:after="0"/>
            </w:pPr>
            <w:r>
              <w:rPr>
                <w:color w:val="595959"/>
                <w:sz w:val="17"/>
                <w:szCs w:val="17"/>
              </w:rPr>
              <w:t xml:space="preserve">If the vacation home rental data fails to load</w:t>
            </w:r>
          </w:p>
        </w:tc>
        <w:tc>
          <w:tcPr>
            <w:tcW w:w="4300" w:type="dxa"/>
          </w:tcPr>
          <w:p>
            <w:pPr>
              <w:spacing w:before="0" w:after="0"/>
            </w:pPr>
            <w:r>
              <w:rPr>
                <w:sz w:val="21"/>
                <w:szCs w:val="21"/>
              </w:rPr>
              <w:t xml:space="preserve">VHR join unavailable</w:t>
            </w:r>
          </w:p>
        </w:tc>
        <w:tc>
          <w:tcPr>
            <w:tcW w:w="3580" w:type="dxa"/>
            <w:shd w:val="clear" w:color="auto" w:fill="FFFDF0"/>
          </w:tcPr>
          <w:p>
            <w:pPr>
              <w:spacing w:before="0" w:after="0"/>
            </w:pPr>
          </w:p>
        </w:tc>
      </w:tr>
      <w:tr>
        <w:trPr>
          <w:trHeight w:val="340" w:hRule="atLeast"/>
        </w:trPr>
        <w:tc>
          <w:tcPr>
            <w:tcW w:w="2200" w:type="dxa"/>
          </w:tcPr>
          <w:p>
            <w:pPr>
              <w:spacing w:before="0" w:after="0"/>
            </w:pPr>
            <w:r>
              <w:rPr>
                <w:b/>
                <w:color w:val="075481"/>
                <w:sz w:val="21"/>
                <w:szCs w:val="21"/>
              </w:rPr>
              <w:t xml:space="preserve">T130</w:t>
            </w:r>
          </w:p>
          <w:p>
            <w:pPr>
              <w:spacing w:before="0" w:after="0"/>
            </w:pPr>
            <w:r>
              <w:rPr>
                <w:color w:val="595959"/>
                <w:sz w:val="17"/>
                <w:szCs w:val="17"/>
              </w:rPr>
              <w:t xml:space="preserve">If the whole page fails to load</w:t>
            </w:r>
          </w:p>
        </w:tc>
        <w:tc>
          <w:tcPr>
            <w:tcW w:w="4300" w:type="dxa"/>
          </w:tcPr>
          <w:p>
            <w:pPr>
              <w:spacing w:before="0" w:after="0"/>
            </w:pPr>
            <w:r>
              <w:rPr>
                <w:sz w:val="21"/>
                <w:szCs w:val="21"/>
              </w:rPr>
              <w:t xml:space="preserve">Could not load data</w:t>
            </w:r>
          </w:p>
        </w:tc>
        <w:tc>
          <w:tcPr>
            <w:tcW w:w="3580" w:type="dxa"/>
            <w:shd w:val="clear" w:color="auto" w:fill="FFFDF0"/>
          </w:tcPr>
          <w:p>
            <w:pPr>
              <w:spacing w:before="0" w:after="0"/>
            </w:pPr>
          </w:p>
        </w:tc>
      </w:tr>
    </w:tbl>
    <w:p>
      <w:pPr>
        <w:spacing w:before="0" w:after="200"/>
      </w:pPr>
    </w:p>
    <w:p>
      <w:pPr>
        <w:spacing w:before="260" w:after="110"/>
      </w:pPr>
      <w:r>
        <w:rPr>
          <w:b/>
          <w:color w:val="075481"/>
          <w:sz w:val="26"/>
          <w:szCs w:val="26"/>
        </w:rPr>
        <w:t xml:space="preserve">Other feedback</w:t>
      </w:r>
    </w:p>
    <w:p>
      <w:pPr>
        <w:spacing w:before="0" w:after="150"/>
      </w:pPr>
      <w:r>
        <w:rPr>
          <w:sz w:val="22"/>
          <w:szCs w:val="22"/>
        </w:rPr>
        <w:t xml:space="preserve">Anything else: a section that should move, a chart that does not land, a project worth featuring, a number that looks wrong, or wording you would rather discuss than rewrite.</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Pr>
      <w:tblGrid>
        <w:gridCol w:w="10080"/>
      </w:tblGrid>
      <w:tr>
        <w:trPr>
          <w:trHeight w:val="460" w:hRule="atLeast"/>
        </w:trPr>
        <w:tc>
          <w:tcPr>
            <w:tcW w:w="10080" w:type="dxa"/>
            <w:shd w:val="clear" w:color="auto" w:fill="FFFDF0"/>
          </w:tcPr>
          <w:p>
            <w:pPr>
              <w:spacing w:before="0" w:after="0"/>
            </w:pPr>
          </w:p>
        </w:tc>
      </w:tr>
      <w:tr>
        <w:trPr>
          <w:trHeight w:val="460" w:hRule="atLeast"/>
        </w:trPr>
        <w:tc>
          <w:tcPr>
            <w:tcW w:w="10080" w:type="dxa"/>
            <w:shd w:val="clear" w:color="auto" w:fill="FFFDF0"/>
          </w:tcPr>
          <w:p>
            <w:pPr>
              <w:spacing w:before="0" w:after="0"/>
            </w:pPr>
          </w:p>
        </w:tc>
      </w:tr>
      <w:tr>
        <w:trPr>
          <w:trHeight w:val="460" w:hRule="atLeast"/>
        </w:trPr>
        <w:tc>
          <w:tcPr>
            <w:tcW w:w="10080" w:type="dxa"/>
            <w:shd w:val="clear" w:color="auto" w:fill="FFFDF0"/>
          </w:tcPr>
          <w:p>
            <w:pPr>
              <w:spacing w:before="0" w:after="0"/>
            </w:pPr>
          </w:p>
        </w:tc>
      </w:tr>
      <w:tr>
        <w:trPr>
          <w:trHeight w:val="460" w:hRule="atLeast"/>
        </w:trPr>
        <w:tc>
          <w:tcPr>
            <w:tcW w:w="10080" w:type="dxa"/>
            <w:shd w:val="clear" w:color="auto" w:fill="FFFDF0"/>
          </w:tcPr>
          <w:p>
            <w:pPr>
              <w:spacing w:before="0" w:after="0"/>
            </w:pPr>
          </w:p>
        </w:tc>
      </w:tr>
      <w:tr>
        <w:trPr>
          <w:trHeight w:val="460" w:hRule="atLeast"/>
        </w:trPr>
        <w:tc>
          <w:tcPr>
            <w:tcW w:w="10080" w:type="dxa"/>
            <w:shd w:val="clear" w:color="auto" w:fill="FFFDF0"/>
          </w:tcPr>
          <w:p>
            <w:pPr>
              <w:spacing w:before="0" w:after="0"/>
            </w:pPr>
          </w:p>
        </w:tc>
      </w:tr>
      <w:tr>
        <w:trPr>
          <w:trHeight w:val="460" w:hRule="atLeast"/>
        </w:trPr>
        <w:tc>
          <w:tcPr>
            <w:tcW w:w="10080" w:type="dxa"/>
            <w:shd w:val="clear" w:color="auto" w:fill="FFFDF0"/>
          </w:tcPr>
          <w:p>
            <w:pPr>
              <w:spacing w:before="0" w:after="0"/>
            </w:pPr>
          </w:p>
        </w:tc>
      </w:tr>
      <w:tr>
        <w:trPr>
          <w:trHeight w:val="460" w:hRule="atLeast"/>
        </w:trPr>
        <w:tc>
          <w:tcPr>
            <w:tcW w:w="10080" w:type="dxa"/>
            <w:shd w:val="clear" w:color="auto" w:fill="FFFDF0"/>
          </w:tcPr>
          <w:p>
            <w:pPr>
              <w:spacing w:before="0" w:after="0"/>
            </w:pPr>
          </w:p>
        </w:tc>
      </w:tr>
      <w:tr>
        <w:trPr>
          <w:trHeight w:val="460" w:hRule="atLeast"/>
        </w:trPr>
        <w:tc>
          <w:tcPr>
            <w:tcW w:w="10080" w:type="dxa"/>
            <w:shd w:val="clear" w:color="auto" w:fill="FFFDF0"/>
          </w:tcPr>
          <w:p>
            <w:pPr>
              <w:spacing w:before="0" w:after="0"/>
            </w:pPr>
          </w:p>
        </w:tc>
      </w:tr>
    </w:tbl>
    <w:p>
      <w:pPr>
        <w:spacing w:before="0" w:after="240"/>
      </w:pP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Pr>
      <w:tblGrid>
        <w:gridCol w:w="2200"/>
        <w:gridCol w:w="7880"/>
      </w:tblGrid>
      <w:tr>
        <w:trPr>
          <w:trHeight w:val="400" w:hRule="atLeast"/>
        </w:trPr>
        <w:tc>
          <w:tcPr>
            <w:tcW w:w="2200" w:type="dxa"/>
          </w:tcPr>
          <w:p>
            <w:pPr>
              <w:spacing w:before="0" w:after="0"/>
            </w:pPr>
            <w:r>
              <w:rPr>
                <w:b/>
                <w:color w:val="075481"/>
                <w:sz w:val="21"/>
                <w:szCs w:val="21"/>
              </w:rPr>
              <w:t xml:space="preserve">Reviewed by</w:t>
            </w:r>
          </w:p>
        </w:tc>
        <w:tc>
          <w:tcPr>
            <w:tcW w:w="7880" w:type="dxa"/>
            <w:shd w:val="clear" w:color="auto" w:fill="FFFDF0"/>
          </w:tcPr>
          <w:p>
            <w:pPr>
              <w:spacing w:before="0" w:after="0"/>
            </w:pPr>
          </w:p>
        </w:tc>
      </w:tr>
      <w:tr>
        <w:trPr>
          <w:trHeight w:val="400" w:hRule="atLeast"/>
        </w:trPr>
        <w:tc>
          <w:tcPr>
            <w:tcW w:w="2200" w:type="dxa"/>
          </w:tcPr>
          <w:p>
            <w:pPr>
              <w:spacing w:before="0" w:after="0"/>
            </w:pPr>
            <w:r>
              <w:rPr>
                <w:b/>
                <w:color w:val="075481"/>
                <w:sz w:val="21"/>
                <w:szCs w:val="21"/>
              </w:rPr>
              <w:t xml:space="preserve">Date</w:t>
            </w:r>
          </w:p>
        </w:tc>
        <w:tc>
          <w:tcPr>
            <w:tcW w:w="7880" w:type="dxa"/>
            <w:shd w:val="clear" w:color="auto" w:fill="FFFDF0"/>
          </w:tcPr>
          <w:p>
            <w:pPr>
              <w:spacing w:before="0" w:after="0"/>
            </w:pPr>
          </w:p>
        </w:tc>
      </w:tr>
    </w:tbl>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202020"/>
      </w:rPr>
    </w:rPrDefault>
    <w:pPrDefault>
      <w:pPr>
        <w:spacing w:after="0" w:line="259"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