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Transit Funding Tool: Questions for Kira</w:t>
      </w:r>
    </w:p>
    <w:p>
      <w:pPr>
        <w:spacing w:after="240"/>
      </w:pPr>
      <w:r>
        <w:rPr>
          <w:color w:val="4E5A6E"/>
        </w:rPr>
        <w:t xml:space="preserve">From Andy  |  October 23, 2026</w:t>
      </w:r>
    </w:p>
    <w:p>
      <w:pPr>
        <w:spacing w:after="120"/>
      </w:pPr>
      <w:r>
        <w:t xml:space="preserve">Kira, I am building the regional transit funding tool. Your answers decide what it calculates and who it serves.</w:t>
      </w:r>
    </w:p>
    <w:p>
      <w:pPr>
        <w:spacing w:after="120"/>
      </w:pPr>
      <w:r>
        <w:t xml:space="preserve">Type your answers in the boxes. Short answers are fine. "Not sure" is a useful answer. If someone else owns an answer, write their name.</w:t>
      </w:r>
    </w:p>
    <w:p>
      <w:pPr>
        <w:spacing w:after="120"/>
      </w:pPr>
      <w:r>
        <w:t xml:space="preserve">Sections 1 and 2 matter most. Section 3 can be partly answered with names. Please look at the concept mockups only when you reach Section 4.</w:t>
      </w:r>
    </w:p>
    <w:p>
      <w:pPr>
        <w:pStyle w:val="Heading1"/>
      </w:pPr>
      <w:r>
        <w:t xml:space="preserve">1. What the tool is for</w:t>
      </w:r>
    </w:p>
    <w:p>
      <w:pPr>
        <w:spacing w:after="120"/>
      </w:pPr>
      <w:r>
        <w:t xml:space="preserve">These answers set the scope of the first version.</w:t>
      </w:r>
    </w:p>
    <w:p>
      <w:pPr>
        <w:keepNext/>
        <w:spacing w:after="80" w:before="240"/>
      </w:pPr>
      <w:r>
        <w:rPr>
          <w:b/>
          <w:bCs/>
          <w:color w:val="003B71"/>
        </w:rPr>
        <w:t xml:space="preserve">1.1  </w:t>
      </w:r>
      <w:r>
        <w:rPr>
          <w:b/>
          <w:bCs/>
        </w:rPr>
        <w:t xml:space="preserve">What are the last three transit funding questions that took you more than an hour to answer? Who asked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1.2  </w:t>
      </w:r>
      <w:r>
        <w:rPr>
          <w:b/>
          <w:bCs/>
        </w:rPr>
        <w:t xml:space="preserve">What decision should the tool support first? Examples: annual budget allocation, RTP financial constraint, a case for a regional funding source, partner cost-share negotiation, or grant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1.3  </w:t>
      </w:r>
      <w:r>
        <w:rPr>
          <w:b/>
          <w:bCs/>
        </w:rPr>
        <w:t xml:space="preserve">Who will open the tool, and how often? Examples: you alone, the four operators, partner jurisdictions, or committee and board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1.4  </w:t>
      </w:r>
      <w:r>
        <w:rPr>
          <w:b/>
          <w:bCs/>
        </w:rPr>
        <w:t xml:space="preserve">What do you hand to someone at the end? Examples: a table in a staff report, a chart for a slide, or a single number in a grant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1.5  </w:t>
      </w:r>
      <w:r>
        <w:rPr>
          <w:b/>
          <w:bCs/>
        </w:rPr>
        <w:t xml:space="preserve">How do you answer these questions today? Name the workbook and tab. Note which steps are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1.6  </w:t>
      </w:r>
      <w:r>
        <w:rPr>
          <w:b/>
          <w:bCs/>
        </w:rPr>
        <w:t xml:space="preserve">What time horizon matters most: one fiscal year, the five-year plan, or the RTP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1.7  </w:t>
      </w:r>
      <w:r>
        <w:rPr>
          <w:b/>
          <w:bCs/>
        </w:rPr>
        <w:t xml:space="preserve">What did the consultants' tool get wrong? What did it get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pStyle w:val="Heading1"/>
      </w:pPr>
      <w:r>
        <w:t xml:space="preserve">2. Funding rules</w:t>
      </w:r>
    </w:p>
    <w:p>
      <w:pPr>
        <w:spacing w:after="120"/>
      </w:pPr>
      <w:r>
        <w:t xml:space="preserve">Each answer changes the calculation. Each question shows what the tool assumes today. Check a box, then explain any change.</w:t>
      </w:r>
    </w:p>
    <w:p>
      <w:pPr>
        <w:keepNext/>
        <w:spacing w:after="80" w:before="240"/>
      </w:pPr>
      <w:r>
        <w:rPr>
          <w:b/>
          <w:bCs/>
          <w:color w:val="003B71"/>
        </w:rPr>
        <w:t xml:space="preserve">2.1  </w:t>
      </w:r>
      <w:r>
        <w:rPr>
          <w:b/>
          <w:bCs/>
        </w:rPr>
        <w:t xml:space="preserve">How should the tool define "optimize"? Options are most federal money drawn, least local share, least money left unused, or fair shares across jurisdictions. Rank the ones that matter, or say none.</w:t>
      </w:r>
    </w:p>
    <w:p>
      <w:pPr>
        <w:keepNext/>
        <w:spacing w:after="60"/>
      </w:pPr>
      <w:r>
        <w:rPr>
          <w:b/>
          <w:bCs/>
          <w:color w:val="4E5A6E"/>
          <w:sz w:val="20"/>
          <w:szCs w:val="20"/>
        </w:rPr>
        <w:t xml:space="preserve">Why it matters: </w:t>
      </w:r>
      <w:r>
        <w:rPr>
          <w:color w:val="4E5A6E"/>
          <w:sz w:val="20"/>
          <w:szCs w:val="20"/>
        </w:rPr>
        <w:t xml:space="preserve">Each goal produces a different allocation. Some goals conflict.</w:t>
      </w:r>
    </w:p>
    <w:p>
      <w:pPr>
        <w:keepNext/>
        <w:spacing w:after="60"/>
      </w:pPr>
      <w:r>
        <w:rPr>
          <w:b/>
          <w:bCs/>
          <w:color w:val="4E5A6E"/>
          <w:sz w:val="20"/>
          <w:szCs w:val="20"/>
        </w:rPr>
        <w:t xml:space="preserve">Current assumption: </w:t>
      </w:r>
      <w:r>
        <w:rPr>
          <w:color w:val="4E5A6E"/>
          <w:sz w:val="20"/>
          <w:szCs w:val="20"/>
        </w:rPr>
        <w:t xml:space="preserve">No optimizer. The tool flags problems and shows trade-offs.</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2.2  </w:t>
      </w:r>
      <w:r>
        <w:rPr>
          <w:b/>
          <w:bCs/>
        </w:rPr>
        <w:t xml:space="preserve">Where is local match tested: per route, per grant, or per recipient per program?</w:t>
      </w:r>
    </w:p>
    <w:p>
      <w:pPr>
        <w:keepNext/>
        <w:spacing w:after="60"/>
      </w:pPr>
      <w:r>
        <w:rPr>
          <w:b/>
          <w:bCs/>
          <w:color w:val="4E5A6E"/>
          <w:sz w:val="20"/>
          <w:szCs w:val="20"/>
        </w:rPr>
        <w:t xml:space="preserve">Why it matters: </w:t>
      </w:r>
      <w:r>
        <w:rPr>
          <w:color w:val="4E5A6E"/>
          <w:sz w:val="20"/>
          <w:szCs w:val="20"/>
        </w:rPr>
        <w:t xml:space="preserve">Per-route testing reports shortfalls that per-grant testing would not.</w:t>
      </w:r>
    </w:p>
    <w:p>
      <w:pPr>
        <w:keepNext/>
        <w:spacing w:after="60"/>
      </w:pPr>
      <w:r>
        <w:rPr>
          <w:b/>
          <w:bCs/>
          <w:color w:val="4E5A6E"/>
          <w:sz w:val="20"/>
          <w:szCs w:val="20"/>
        </w:rPr>
        <w:t xml:space="preserve">Current assumption: </w:t>
      </w:r>
      <w:r>
        <w:rPr>
          <w:color w:val="4E5A6E"/>
          <w:sz w:val="20"/>
          <w:szCs w:val="20"/>
        </w:rPr>
        <w:t xml:space="preserve">Per grant, per recipient.</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2.3  </w:t>
      </w:r>
      <w:r>
        <w:rPr>
          <w:b/>
          <w:bCs/>
        </w:rPr>
        <w:t xml:space="preserve">What is the NDOT 5311 federal share for operating? Revenue %s shows 50 percent. Partner notes say 40 percent match.</w:t>
      </w:r>
    </w:p>
    <w:p>
      <w:pPr>
        <w:keepNext/>
        <w:spacing w:after="60"/>
      </w:pPr>
      <w:r>
        <w:rPr>
          <w:b/>
          <w:bCs/>
          <w:color w:val="4E5A6E"/>
          <w:sz w:val="20"/>
          <w:szCs w:val="20"/>
        </w:rPr>
        <w:t xml:space="preserve">Why it matters: </w:t>
      </w:r>
      <w:r>
        <w:rPr>
          <w:color w:val="4E5A6E"/>
          <w:sz w:val="20"/>
          <w:szCs w:val="20"/>
        </w:rPr>
        <w:t xml:space="preserve">This sets how much 5311 the Nevada routes can use.</w:t>
      </w:r>
    </w:p>
    <w:p>
      <w:pPr>
        <w:keepNext/>
        <w:spacing w:after="60"/>
      </w:pPr>
      <w:r>
        <w:rPr>
          <w:b/>
          <w:bCs/>
          <w:color w:val="4E5A6E"/>
          <w:sz w:val="20"/>
          <w:szCs w:val="20"/>
        </w:rPr>
        <w:t xml:space="preserve">Current assumption: </w:t>
      </w:r>
      <w:r>
        <w:rPr>
          <w:color w:val="4E5A6E"/>
          <w:sz w:val="20"/>
          <w:szCs w:val="20"/>
        </w:rPr>
        <w:t xml:space="preserve">50 percent, from Revenue %s, flagged as unconfirmed.</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2.4  </w:t>
      </w:r>
      <w:r>
        <w:rPr>
          <w:b/>
          <w:bCs/>
        </w:rPr>
        <w:t xml:space="preserve">Please confirm the other federal shares: 5307 operating at 50 percent and ADA paratransit at 80 percent. List any program or state that differs.</w:t>
      </w:r>
    </w:p>
    <w:p>
      <w:pPr>
        <w:keepNext/>
        <w:spacing w:after="60"/>
      </w:pPr>
      <w:r>
        <w:rPr>
          <w:b/>
          <w:bCs/>
          <w:color w:val="4E5A6E"/>
          <w:sz w:val="20"/>
          <w:szCs w:val="20"/>
        </w:rPr>
        <w:t xml:space="preserve">Why it matters: </w:t>
      </w:r>
      <w:r>
        <w:rPr>
          <w:color w:val="4E5A6E"/>
          <w:sz w:val="20"/>
          <w:szCs w:val="20"/>
        </w:rPr>
        <w:t xml:space="preserve">Every match check depends on these rates.</w:t>
      </w:r>
    </w:p>
    <w:p>
      <w:pPr>
        <w:keepNext/>
        <w:spacing w:after="60"/>
      </w:pPr>
      <w:r>
        <w:rPr>
          <w:b/>
          <w:bCs/>
          <w:color w:val="4E5A6E"/>
          <w:sz w:val="20"/>
          <w:szCs w:val="20"/>
        </w:rPr>
        <w:t xml:space="preserve">Current assumption: </w:t>
      </w:r>
      <w:r>
        <w:rPr>
          <w:color w:val="4E5A6E"/>
          <w:sz w:val="20"/>
          <w:szCs w:val="20"/>
        </w:rPr>
        <w:t xml:space="preserve">The Revenue %s rates.</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2.5  </w:t>
      </w:r>
      <w:r>
        <w:rPr>
          <w:b/>
          <w:bCs/>
        </w:rPr>
        <w:t xml:space="preserve">Which fact sheet conditions are legal limits, and which are preferences? For example, TDA is "ideally used in CA."</w:t>
      </w:r>
    </w:p>
    <w:p>
      <w:pPr>
        <w:keepNext/>
        <w:spacing w:after="60"/>
      </w:pPr>
      <w:r>
        <w:rPr>
          <w:b/>
          <w:bCs/>
          <w:color w:val="4E5A6E"/>
          <w:sz w:val="20"/>
          <w:szCs w:val="20"/>
        </w:rPr>
        <w:t xml:space="preserve">Why it matters: </w:t>
      </w:r>
      <w:r>
        <w:rPr>
          <w:color w:val="4E5A6E"/>
          <w:sz w:val="20"/>
          <w:szCs w:val="20"/>
        </w:rPr>
        <w:t xml:space="preserve">A limit blocks an allocation. A preference only shows a warning.</w:t>
      </w:r>
    </w:p>
    <w:p>
      <w:pPr>
        <w:keepNext/>
        <w:spacing w:after="60"/>
      </w:pPr>
      <w:r>
        <w:rPr>
          <w:b/>
          <w:bCs/>
          <w:color w:val="4E5A6E"/>
          <w:sz w:val="20"/>
          <w:szCs w:val="20"/>
        </w:rPr>
        <w:t xml:space="preserve">Current assumption: </w:t>
      </w:r>
      <w:r>
        <w:rPr>
          <w:color w:val="4E5A6E"/>
          <w:sz w:val="20"/>
          <w:szCs w:val="20"/>
        </w:rPr>
        <w:t xml:space="preserve">Fact sheet Restrictions are limits. Revenue Conditions notes are preferences.</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2.6  </w:t>
      </w:r>
      <w:r>
        <w:rPr>
          <w:b/>
          <w:bCs/>
        </w:rPr>
        <w:t xml:space="preserve">Can California funds such as TDA and SB 125 match federal funds on Nevada routes?</w:t>
      </w:r>
    </w:p>
    <w:p>
      <w:pPr>
        <w:keepNext/>
        <w:spacing w:after="60"/>
      </w:pPr>
      <w:r>
        <w:rPr>
          <w:b/>
          <w:bCs/>
          <w:color w:val="4E5A6E"/>
          <w:sz w:val="20"/>
          <w:szCs w:val="20"/>
        </w:rPr>
        <w:t xml:space="preserve">Why it matters: </w:t>
      </w:r>
      <w:r>
        <w:rPr>
          <w:color w:val="4E5A6E"/>
          <w:sz w:val="20"/>
          <w:szCs w:val="20"/>
        </w:rPr>
        <w:t xml:space="preserve">This changes how much federal money each Nevada route can draw.</w:t>
      </w:r>
    </w:p>
    <w:p>
      <w:pPr>
        <w:keepNext/>
        <w:spacing w:after="60"/>
      </w:pPr>
      <w:r>
        <w:rPr>
          <w:b/>
          <w:bCs/>
          <w:color w:val="4E5A6E"/>
          <w:sz w:val="20"/>
          <w:szCs w:val="20"/>
        </w:rPr>
        <w:t xml:space="preserve">Current assumption: </w:t>
      </w:r>
      <w:r>
        <w:rPr>
          <w:color w:val="4E5A6E"/>
          <w:sz w:val="20"/>
          <w:szCs w:val="20"/>
        </w:rPr>
        <w:t xml:space="preserve">Yes, per the Revenue %s note.</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2.7  </w:t>
      </w:r>
      <w:r>
        <w:rPr>
          <w:b/>
          <w:bCs/>
        </w:rPr>
        <w:t xml:space="preserve">Are toll credits available for federal match? If so, how much?</w:t>
      </w:r>
    </w:p>
    <w:p>
      <w:pPr>
        <w:keepNext/>
        <w:spacing w:after="60"/>
      </w:pPr>
      <w:r>
        <w:rPr>
          <w:b/>
          <w:bCs/>
          <w:color w:val="4E5A6E"/>
          <w:sz w:val="20"/>
          <w:szCs w:val="20"/>
        </w:rPr>
        <w:t xml:space="preserve">Why it matters: </w:t>
      </w:r>
      <w:r>
        <w:rPr>
          <w:color w:val="4E5A6E"/>
          <w:sz w:val="20"/>
          <w:szCs w:val="20"/>
        </w:rPr>
        <w:t xml:space="preserve">Toll credits would free up local dollars.</w:t>
      </w:r>
    </w:p>
    <w:p>
      <w:pPr>
        <w:keepNext/>
        <w:spacing w:after="60"/>
      </w:pPr>
      <w:r>
        <w:rPr>
          <w:b/>
          <w:bCs/>
          <w:color w:val="4E5A6E"/>
          <w:sz w:val="20"/>
          <w:szCs w:val="20"/>
        </w:rPr>
        <w:t xml:space="preserve">Current assumption: </w:t>
      </w:r>
      <w:r>
        <w:rPr>
          <w:color w:val="4E5A6E"/>
          <w:sz w:val="20"/>
          <w:szCs w:val="20"/>
        </w:rPr>
        <w:t xml:space="preserve">No toll credits.</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2.8  </w:t>
      </w:r>
      <w:r>
        <w:rPr>
          <w:b/>
          <w:bCs/>
        </w:rPr>
        <w:t xml:space="preserve">Are the North Shore free-fare payments fare replacement or local match?</w:t>
      </w:r>
    </w:p>
    <w:p>
      <w:pPr>
        <w:keepNext/>
        <w:spacing w:after="60"/>
      </w:pPr>
      <w:r>
        <w:rPr>
          <w:b/>
          <w:bCs/>
          <w:color w:val="4E5A6E"/>
          <w:sz w:val="20"/>
          <w:szCs w:val="20"/>
        </w:rPr>
        <w:t xml:space="preserve">Why it matters: </w:t>
      </w:r>
      <w:r>
        <w:rPr>
          <w:color w:val="4E5A6E"/>
          <w:sz w:val="20"/>
          <w:szCs w:val="20"/>
        </w:rPr>
        <w:t xml:space="preserve">Fares lower net cost and do not count as match. Local funds count as match.</w:t>
      </w:r>
    </w:p>
    <w:p>
      <w:pPr>
        <w:keepNext/>
        <w:spacing w:after="60"/>
      </w:pPr>
      <w:r>
        <w:rPr>
          <w:b/>
          <w:bCs/>
          <w:color w:val="4E5A6E"/>
          <w:sz w:val="20"/>
          <w:szCs w:val="20"/>
        </w:rPr>
        <w:t xml:space="preserve">Current assumption: </w:t>
      </w:r>
      <w:r>
        <w:rPr>
          <w:color w:val="4E5A6E"/>
          <w:sz w:val="20"/>
          <w:szCs w:val="20"/>
        </w:rPr>
        <w:t xml:space="preserve">Local match.</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2.9  </w:t>
      </w:r>
      <w:r>
        <w:rPr>
          <w:b/>
          <w:bCs/>
        </w:rPr>
        <w:t xml:space="preserve">How should costs be split on routes that serve several jurisdictions? Options are the SSTMA average of miles, hours, stops, and ridership, or percent of miles per month.</w:t>
      </w:r>
    </w:p>
    <w:p>
      <w:pPr>
        <w:keepNext/>
        <w:spacing w:after="60"/>
      </w:pPr>
      <w:r>
        <w:rPr>
          <w:b/>
          <w:bCs/>
          <w:color w:val="4E5A6E"/>
          <w:sz w:val="20"/>
          <w:szCs w:val="20"/>
        </w:rPr>
        <w:t xml:space="preserve">Why it matters: </w:t>
      </w:r>
      <w:r>
        <w:rPr>
          <w:color w:val="4E5A6E"/>
          <w:sz w:val="20"/>
          <w:szCs w:val="20"/>
        </w:rPr>
        <w:t xml:space="preserve">This drives every jurisdiction result and every state-restricted fund.</w:t>
      </w:r>
    </w:p>
    <w:p>
      <w:pPr>
        <w:keepNext/>
        <w:spacing w:after="60"/>
      </w:pPr>
      <w:r>
        <w:rPr>
          <w:b/>
          <w:bCs/>
          <w:color w:val="4E5A6E"/>
          <w:sz w:val="20"/>
          <w:szCs w:val="20"/>
        </w:rPr>
        <w:t xml:space="preserve">Current assumption: </w:t>
      </w:r>
      <w:r>
        <w:rPr>
          <w:color w:val="4E5A6E"/>
          <w:sz w:val="20"/>
          <w:szCs w:val="20"/>
        </w:rPr>
        <w:t xml:space="preserve">Even split, labeled as a placeholder.</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2.10  </w:t>
      </w:r>
      <w:r>
        <w:rPr>
          <w:b/>
          <w:bCs/>
        </w:rPr>
        <w:t xml:space="preserve">Is capital in scope? The capital plan needs about $7.3 million and draws match from the same local dollars.</w:t>
      </w:r>
    </w:p>
    <w:p>
      <w:pPr>
        <w:keepNext/>
        <w:spacing w:after="60"/>
      </w:pPr>
      <w:r>
        <w:rPr>
          <w:b/>
          <w:bCs/>
          <w:color w:val="4E5A6E"/>
          <w:sz w:val="20"/>
          <w:szCs w:val="20"/>
        </w:rPr>
        <w:t xml:space="preserve">Why it matters: </w:t>
      </w:r>
      <w:r>
        <w:rPr>
          <w:color w:val="4E5A6E"/>
          <w:sz w:val="20"/>
          <w:szCs w:val="20"/>
        </w:rPr>
        <w:t xml:space="preserve">Capital match competes with operating match.</w:t>
      </w:r>
    </w:p>
    <w:p>
      <w:pPr>
        <w:keepNext/>
        <w:spacing w:after="60"/>
      </w:pPr>
      <w:r>
        <w:rPr>
          <w:b/>
          <w:bCs/>
          <w:color w:val="4E5A6E"/>
          <w:sz w:val="20"/>
          <w:szCs w:val="20"/>
        </w:rPr>
        <w:t xml:space="preserve">Current assumption: </w:t>
      </w:r>
      <w:r>
        <w:rPr>
          <w:color w:val="4E5A6E"/>
          <w:sz w:val="20"/>
          <w:szCs w:val="20"/>
        </w:rPr>
        <w:t xml:space="preserve">Operating only.</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keepNext/>
        <w:spacing w:after="80" w:before="240"/>
      </w:pPr>
      <w:r>
        <w:rPr>
          <w:b/>
          <w:bCs/>
          <w:color w:val="003B71"/>
        </w:rPr>
        <w:t xml:space="preserve">2.11  </w:t>
      </w:r>
      <w:r>
        <w:rPr>
          <w:b/>
          <w:bCs/>
        </w:rPr>
        <w:t xml:space="preserve">Are planning and administration funds in scope? One example is the $232,235 local appropriation to TTD.</w:t>
      </w:r>
    </w:p>
    <w:p>
      <w:pPr>
        <w:keepNext/>
        <w:spacing w:after="60"/>
      </w:pPr>
      <w:r>
        <w:rPr>
          <w:b/>
          <w:bCs/>
          <w:color w:val="4E5A6E"/>
          <w:sz w:val="20"/>
          <w:szCs w:val="20"/>
        </w:rPr>
        <w:t xml:space="preserve">Why it matters: </w:t>
      </w:r>
      <w:r>
        <w:rPr>
          <w:color w:val="4E5A6E"/>
          <w:sz w:val="20"/>
          <w:szCs w:val="20"/>
        </w:rPr>
        <w:t xml:space="preserve">These funds have no route to apply to.</w:t>
      </w:r>
    </w:p>
    <w:p>
      <w:pPr>
        <w:keepNext/>
        <w:spacing w:after="60"/>
      </w:pPr>
      <w:r>
        <w:rPr>
          <w:b/>
          <w:bCs/>
          <w:color w:val="4E5A6E"/>
          <w:sz w:val="20"/>
          <w:szCs w:val="20"/>
        </w:rPr>
        <w:t xml:space="preserve">Current assumption: </w:t>
      </w:r>
      <w:r>
        <w:rPr>
          <w:color w:val="4E5A6E"/>
          <w:sz w:val="20"/>
          <w:szCs w:val="20"/>
        </w:rPr>
        <w:t xml:space="preserve">Out of scope.</w:t>
      </w:r>
    </w:p>
    <w:p>
      <w:pPr>
        <w:keepNext/>
        <w:spacing w:after="80" w:before="60"/>
      </w:pPr>
      <w:r>
        <w:rPr>
          <w:sz w:val="20"/>
          <w:szCs w:val="20"/>
        </w:rPr>
        <w:t xml:space="preserve">☐  Keep this assumption        ☐  Change it (explain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p>
      <w:pPr>
        <w:pStyle w:val="Heading1"/>
      </w:pPr>
      <w:r>
        <w:t xml:space="preserve">3. Data to confirm or request</w:t>
      </w:r>
    </w:p>
    <w:p>
      <w:pPr>
        <w:spacing w:after="120"/>
      </w:pPr>
      <w:r>
        <w:t xml:space="preserve">Fill in what you know. For the rest, name who has it. I can send one request per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2360"/>
      </w:tblGrid>
      <w:tr>
        <w:trPr>
          <w:tblHeader/>
        </w:trPr>
        <w:tc>
          <w:tcPr>
            <w:tcW w:type="dxa" w:w="300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Item</w:t>
            </w:r>
          </w:p>
        </w:tc>
        <w:tc>
          <w:tcPr>
            <w:tcW w:type="dxa" w:w="250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Why it matters</w:t>
            </w:r>
          </w:p>
        </w:tc>
        <w:tc>
          <w:tcPr>
            <w:tcW w:type="dxa" w:w="150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Likely owner</w:t>
            </w:r>
          </w:p>
        </w:tc>
        <w:tc>
          <w:tcPr>
            <w:tcW w:type="dxa" w:w="236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Your answer, or who has it</w:t>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Revenue miles by route, split by jurisdiction, state, and inside or outside the Lake Tahoe UZA</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Replaces the placeholder splits. Decides 5307 or 5311 eligibility on mixed routes.</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Each operator</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Federalized status of Lake Link, My Ride to Work services, and vanpools</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Non-federalized services cannot take FTA funds.</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SSTMA, TNT/TMA</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Actual FY 26-27 FTA apportionments</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The financial plan marks the FY 26-27 figures as "EXAMPLE."</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TRPA</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TART 5307 amount: $1,653,136 from the earned-share split or $2,660,000 in TART's plan</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A $1.0 million difference on one line.</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TRPA, Placer County</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Five-year schedule for 5310 and LCTOP, which alternate between TTD and TART</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Changes each agency's balance by year.</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TTD, Placer County</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FY 26-27 commitments from Lake Link partners ($302,100), North Tahoe Community Alliance ($487,173), and Martis Zones of Benefit ($50,000)</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These partners gave about $839,000 in FY 25-26 and are at $0 now.</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SSTMA, TNT/TMA, Placer County</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TDVA amount: $65,000 (fact sheet) or $120,000 (plan)</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Route-level results depend on it.</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TTD</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Route 30 cost rate: $68.70 or $147.80 per hour</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Route-level results depend on it.</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TTD</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Replacement funding after SB 125 ends (after FY 26-27) and the Route 30 pilot funds end (after FY 27-28)</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Defines the five-year gap.</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TTD, TRPA</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Did the South Tahoe Transit JPA take over south shore operations on October 1, 2026?</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The tool sends all south shore funding to TTD today.</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SSTMA, City of South Lake Tahoe</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r>
        <w:trPr>
          <w:cantSplit/>
        </w:trPr>
        <w:tc>
          <w:tcPr>
            <w:tcW w:type="dxa" w:w="30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Private and non-federalized operators to include, such as ski and airport shuttles, with basic service stats</w:t>
            </w:r>
          </w:p>
        </w:tc>
        <w:tc>
          <w:tcPr>
            <w:tcW w:type="dxa" w:w="2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RFP Task 4b asks for a strategy for these operators.</w:t>
            </w:r>
          </w:p>
        </w:tc>
        <w:tc>
          <w:tcPr>
            <w:tcW w:type="dxa" w:w="15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TRPA, TMAs</w:t>
            </w:r>
          </w:p>
        </w:tc>
        <w:tc>
          <w:tcPr>
            <w:tcW w:type="dxa" w:w="23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1"/>
      </w:pPr>
      <w:r>
        <w:t xml:space="preserve">4. Concept mockups</w:t>
      </w:r>
    </w:p>
    <w:p>
      <w:pPr>
        <w:spacing w:after="120"/>
      </w:pPr>
      <w:r>
        <w:t xml:space="preserve">Open the attached file Transit Funding Tool Concepts.html in a web browser. It shows three narrow tools. Each answers one question. They use real FY 26-27 figures from the project workbooks.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Concept</w:t>
            </w:r>
          </w:p>
        </w:tc>
        <w:tc>
          <w:tcPr>
            <w:tcW w:type="dxa" w:w="370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Question it answers</w:t>
            </w:r>
          </w:p>
        </w:tc>
        <w:tc>
          <w:tcPr>
            <w:tcW w:type="dxa" w:w="3060"/>
            <w:tcBorders>
              <w:top w:val="single" w:color="C9D2DE" w:sz="6"/>
              <w:left w:val="single" w:color="C9D2DE" w:sz="6"/>
              <w:bottom w:val="single" w:color="C9D2DE" w:sz="6"/>
              <w:right w:val="single" w:color="C9D2DE" w:sz="6"/>
            </w:tcBorders>
            <w:shd w:fill="F3F6FA" w:color="auto" w:val="clear"/>
            <w:tcMar>
              <w:top w:type="dxa" w:w="60"/>
              <w:left w:type="dxa" w:w="100"/>
              <w:bottom w:type="dxa" w:w="60"/>
              <w:right w:type="dxa" w:w="100"/>
            </w:tcMar>
          </w:tcPr>
          <w:p>
            <w:r>
              <w:rPr>
                <w:b/>
                <w:bCs/>
                <w:color w:val="003B71"/>
                <w:sz w:val="19"/>
                <w:szCs w:val="19"/>
              </w:rPr>
              <w:t xml:space="preserve">Main view</w:t>
            </w:r>
          </w:p>
        </w:tc>
      </w:tr>
      <w:tr>
        <w:trPr>
          <w:cantSplit/>
        </w:trPr>
        <w:tc>
          <w:tcPr>
            <w:tcW w:type="dxa" w:w="26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bCs/>
                <w:sz w:val="19"/>
                <w:szCs w:val="19"/>
              </w:rPr>
              <w:t xml:space="preserve">A. Funding source lookup</w:t>
            </w:r>
          </w:p>
        </w:tc>
        <w:tc>
          <w:tcPr>
            <w:tcW w:type="dxa" w:w="37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Can this source pay for this service? What does it require?</w:t>
            </w:r>
          </w:p>
        </w:tc>
        <w:tc>
          <w:tcPr>
            <w:tcW w:type="dxa" w:w="30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Searchable list of sources with rules, match, and commitment</w:t>
            </w:r>
          </w:p>
        </w:tc>
      </w:tr>
      <w:tr>
        <w:trPr>
          <w:cantSplit/>
        </w:trPr>
        <w:tc>
          <w:tcPr>
            <w:tcW w:type="dxa" w:w="26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bCs/>
                <w:sz w:val="19"/>
                <w:szCs w:val="19"/>
              </w:rPr>
              <w:t xml:space="preserve">B. Route match check</w:t>
            </w:r>
          </w:p>
        </w:tc>
        <w:tc>
          <w:tcPr>
            <w:tcW w:type="dxa" w:w="37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Is this route fully funded? Is federal money within its cap with enough match?</w:t>
            </w:r>
          </w:p>
        </w:tc>
        <w:tc>
          <w:tcPr>
            <w:tcW w:type="dxa" w:w="30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One route's funding stack with pass or fail checks</w:t>
            </w:r>
          </w:p>
        </w:tc>
      </w:tr>
      <w:tr>
        <w:trPr>
          <w:cantSplit/>
        </w:trPr>
        <w:tc>
          <w:tcPr>
            <w:tcW w:type="dxa" w:w="26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bCs/>
                <w:sz w:val="19"/>
                <w:szCs w:val="19"/>
              </w:rPr>
              <w:t xml:space="preserve">C. Five-year scenario</w:t>
            </w:r>
          </w:p>
        </w:tc>
        <w:tc>
          <w:tcPr>
            <w:tcW w:type="dxa" w:w="370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What happens to each agency's balance if a source ends, a partner drops out, or service is added?</w:t>
            </w:r>
          </w:p>
        </w:tc>
        <w:tc>
          <w:tcPr>
            <w:tcW w:type="dxa" w:w="3060"/>
            <w:tcBorders>
              <w:top w:val="single" w:color="C9D2DE" w:sz="6"/>
              <w:left w:val="single" w:color="C9D2DE" w:sz="6"/>
              <w:bottom w:val="single" w:color="C9D2DE" w:sz="6"/>
              <w:right w:val="single" w:color="C9D2DE" w:sz="6"/>
            </w:tcBorders>
            <w:tcMar>
              <w:top w:type="dxa" w:w="60"/>
              <w:left w:type="dxa" w:w="100"/>
              <w:bottom w:type="dxa" w:w="60"/>
              <w:right w:type="dxa" w:w="100"/>
            </w:tcMar>
          </w:tcPr>
          <w:p>
            <w:r>
              <w:rPr>
                <w:b w:val="false"/>
                <w:bCs w:val="false"/>
                <w:sz w:val="19"/>
                <w:szCs w:val="19"/>
              </w:rPr>
              <w:t xml:space="preserve">Toggles on the left, balance by agency and year on the right</w:t>
            </w:r>
          </w:p>
        </w:tc>
      </w:tr>
    </w:tbl>
    <w:p>
      <w:pPr>
        <w:keepNext/>
        <w:spacing w:after="80" w:before="240"/>
      </w:pPr>
      <w:r>
        <w:rPr>
          <w:b/>
          <w:bCs/>
          <w:color w:val="003B71"/>
        </w:rPr>
        <w:t xml:space="preserve">4.1  </w:t>
      </w:r>
      <w:r>
        <w:rPr>
          <w:b/>
          <w:bCs/>
        </w:rPr>
        <w:t xml:space="preserve">Which concept would you open next week? What would you use 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4.2  </w:t>
      </w:r>
      <w:r>
        <w:rPr>
          <w:b/>
          <w:bCs/>
        </w:rPr>
        <w:t xml:space="preserve">What is missing that you would need before trusting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4.3  </w:t>
      </w:r>
      <w:r>
        <w:rPr>
          <w:b/>
          <w:bCs/>
        </w:rPr>
        <w:t xml:space="preserve">What would you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4.4  </w:t>
      </w:r>
      <w:r>
        <w:rPr>
          <w:b/>
          <w:bCs/>
        </w:rPr>
        <w:t xml:space="preserve">Which numbers look wrong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4.5  </w:t>
      </w:r>
      <w:r>
        <w:rPr>
          <w:b/>
          <w:bCs/>
        </w:rPr>
        <w:t xml:space="preserve">Who else would you show 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pStyle w:val="Heading1"/>
      </w:pPr>
      <w:r>
        <w:t xml:space="preserve">5. Last two questions</w:t>
      </w:r>
    </w:p>
    <w:p>
      <w:pPr>
        <w:keepNext/>
        <w:spacing w:after="80" w:before="240"/>
      </w:pPr>
      <w:r>
        <w:rPr>
          <w:b/>
          <w:bCs/>
          <w:color w:val="003B71"/>
        </w:rPr>
        <w:t xml:space="preserve">5.1  </w:t>
      </w:r>
      <w:r>
        <w:rPr>
          <w:b/>
          <w:bCs/>
        </w:rPr>
        <w:t xml:space="preserve">What is one real question you would use to test the first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p>
            <w:r>
              <w:t xml:space="preserve"/>
            </w:r>
          </w:p>
        </w:tc>
      </w:tr>
    </w:tbl>
    <w:p>
      <w:pPr>
        <w:keepNext/>
        <w:spacing w:after="80" w:before="240"/>
      </w:pPr>
      <w:r>
        <w:rPr>
          <w:b/>
          <w:bCs/>
          <w:color w:val="003B71"/>
        </w:rPr>
        <w:t xml:space="preserve">5.2  </w:t>
      </w:r>
      <w:r>
        <w:rPr>
          <w:b/>
          <w:bCs/>
        </w:rPr>
        <w:t xml:space="preserve">When could we meet for 30 minutes to go over your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DE" w:sz="6"/>
              <w:left w:val="single" w:color="C9D2DE" w:sz="6"/>
              <w:bottom w:val="single" w:color="C9D2DE" w:sz="6"/>
              <w:right w:val="single" w:color="C9D2DE" w:sz="6"/>
            </w:tcBorders>
            <w:tcMar>
              <w:top w:type="dxa" w:w="80"/>
              <w:left w:type="dxa" w:w="120"/>
              <w:bottom w:type="dxa" w:w="80"/>
              <w:right w:type="dxa" w:w="120"/>
            </w:tcMar>
          </w:tcPr>
          <w:p>
            <w:r>
              <w:t xml:space="preserve"/>
            </w:r>
          </w:p>
          <w:p>
            <w:r>
              <w:t xml:space="preserve"/>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E5A6E"/>
        <w:sz w:val="18"/>
        <w:szCs w:val="18"/>
      </w:rPr>
      <w:t xml:space="preserve">Transit Funding Tool questions  |  Page </w:t>
    </w:r>
    <w:r>
      <w:rPr>
        <w:color w:val="4E5A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03B71"/>
      <w:sz w:val="40"/>
      <w:szCs w:val="40"/>
    </w:rPr>
  </w:style>
  <w:style w:type="paragraph" w:styleId="Heading1">
    <w:name w:val="Heading 1"/>
    <w:basedOn w:val="Normal"/>
    <w:next w:val="Normal"/>
    <w:qFormat/>
    <w:pPr>
      <w:keepNext/>
      <w:pBdr>
        <w:bottom w:val="single" w:color="C9D2DE" w:sz="6" w:space="4"/>
      </w:pBdr>
      <w:spacing w:after="120" w:before="360"/>
      <w:outlineLvl w:val="0"/>
    </w:pPr>
    <w:rPr>
      <w:rFonts w:ascii="Arial" w:cs="Arial" w:eastAsia="Arial" w:hAnsi="Arial"/>
      <w:b/>
      <w:bCs/>
      <w:color w:val="003B71"/>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 Funding Tool: Questions for Kira</dc:title>
  <dc:creator>Andy</dc:creator>
  <cp:lastModifiedBy>Un-named</cp:lastModifiedBy>
  <cp:revision>1</cp:revision>
  <dcterms:created xsi:type="dcterms:W3CDTF">2026-10-23T18:11:32.900Z</dcterms:created>
  <dcterms:modified xsi:type="dcterms:W3CDTF">2026-10-23T18:11:32.901Z</dcterms:modified>
</cp:coreProperties>
</file>

<file path=docProps/custom.xml><?xml version="1.0" encoding="utf-8"?>
<Properties xmlns="http://schemas.openxmlformats.org/officeDocument/2006/custom-properties" xmlns:vt="http://schemas.openxmlformats.org/officeDocument/2006/docPropsVTypes"/>
</file>