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olors1.xml" ContentType="application/vnd.ms-office.chartcolorstyle+xml"/>
  <Override PartName="/word/charts/colors2.xml" ContentType="application/vnd.ms-office.chartcolorstyle+xml"/>
  <Override PartName="/word/charts/colors3.xml" ContentType="application/vnd.ms-office.chartcolorstyle+xml"/>
  <Override PartName="/word/charts/colors4.xml" ContentType="application/vnd.ms-office.chartcolorstyle+xml"/>
  <Override PartName="/word/charts/style1.xml" ContentType="application/vnd.ms-office.chartstyle+xml"/>
  <Override PartName="/word/charts/style2.xml" ContentType="application/vnd.ms-office.chartstyle+xml"/>
  <Override PartName="/word/charts/style3.xml" ContentType="application/vnd.ms-office.chartstyle+xml"/>
  <Override PartName="/word/charts/style4.xml" ContentType="application/vnd.ms-office.chartstyle+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drawings/drawing1.xml" ContentType="application/vnd.openxmlformats-officedocument.drawingml.chartshapes+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A4BF1B" w14:textId="05B4AC8D" w:rsidR="00B31A20" w:rsidRPr="00D03A40" w:rsidRDefault="00B31A20" w:rsidP="00BF7226">
      <w:pPr>
        <w:pStyle w:val="Heading1"/>
        <w:rPr>
          <w:rFonts w:eastAsia="Times New Roman"/>
        </w:rPr>
      </w:pPr>
      <w:bookmarkStart w:id="0" w:name="_Hlk33444579"/>
      <w:bookmarkStart w:id="1" w:name="_Hlk33100341"/>
      <w:r w:rsidRPr="20A6508D">
        <w:t xml:space="preserve">Appendix </w:t>
      </w:r>
      <w:r w:rsidR="00567E6C">
        <w:t>F</w:t>
      </w:r>
      <w:r w:rsidRPr="20A6508D">
        <w:t xml:space="preserve">: </w:t>
      </w:r>
      <w:r w:rsidR="002315DB" w:rsidRPr="20A6508D">
        <w:t>Data and Forecastin</w:t>
      </w:r>
      <w:r w:rsidR="002315DB">
        <w:t>g</w:t>
      </w:r>
    </w:p>
    <w:p w14:paraId="356BE143" w14:textId="2CBFA6D4" w:rsidR="00B37C96" w:rsidRPr="00D03A40" w:rsidRDefault="00B34421" w:rsidP="00BC2AD7">
      <w:pPr>
        <w:pStyle w:val="Heading2"/>
        <w:rPr>
          <w:rFonts w:cstheme="minorHAnsi"/>
          <w:bCs/>
          <w:szCs w:val="28"/>
        </w:rPr>
      </w:pPr>
      <w:r w:rsidRPr="00D03A40">
        <w:t>Introduction</w:t>
      </w:r>
    </w:p>
    <w:p w14:paraId="52676252" w14:textId="407D2048" w:rsidR="00247B54" w:rsidRPr="00F47C6E" w:rsidRDefault="009E3EA0" w:rsidP="00F25884">
      <w:bookmarkStart w:id="2" w:name="_Hlk33100449"/>
      <w:bookmarkStart w:id="3" w:name="_Hlk33100463"/>
      <w:r w:rsidRPr="001815D6">
        <w:rPr>
          <w:highlight w:val="yellow"/>
        </w:rPr>
        <w:t xml:space="preserve">As part of the 2026 TRPA Housing Element Environmental Impact Statement (EIS), TRPA prepared regional and transportation forecasts for the years 2035 and 2050. The regional forecast includes changes in development, population demographics, and visitation. The transportation forecast includes the EIS transportation project list, as well as the transportation strategies. The regional forecast and the transportation infrastructure forecast are implemented in the Tahoe travel demand model and the Trip Reduction Impact Analysis (TRIA) tool to allow planners to assess the efficacy of policies and projects that promote the goals of the Regional Plan and the EIS. </w:t>
      </w:r>
      <w:r w:rsidR="00A4074A" w:rsidRPr="001815D6">
        <w:rPr>
          <w:highlight w:val="yellow"/>
        </w:rPr>
      </w:r>
      <w:r w:rsidRPr="001815D6">
        <w:rPr>
          <w:highlight w:val="yellow"/>
        </w:rPr>
      </w:r>
      <w:r w:rsidR="00247B54" w:rsidRPr="001815D6">
        <w:rPr>
          <w:highlight w:val="yellow"/>
        </w:rPr>
      </w:r>
      <w:r w:rsidR="009B1228" w:rsidRPr="001815D6">
        <w:rPr>
          <w:highlight w:val="yellow"/>
        </w:rPr>
      </w:r>
      <w:r w:rsidRPr="001815D6">
        <w:rPr>
          <w:highlight w:val="yellow"/>
        </w:rPr>
      </w:r>
      <w:r w:rsidR="00A4074A" w:rsidRPr="001815D6">
        <w:rPr>
          <w:highlight w:val="yellow"/>
        </w:rPr>
      </w:r>
      <w:r w:rsidRPr="001815D6">
        <w:rPr>
          <w:highlight w:val="yellow"/>
        </w:rPr>
      </w:r>
      <w:r w:rsidR="009627C7" w:rsidRPr="001815D6">
        <w:rPr>
          <w:highlight w:val="yellow"/>
        </w:rPr>
      </w:r>
      <w:r w:rsidRPr="001815D6">
        <w:rPr>
          <w:highlight w:val="yellow"/>
        </w:rPr>
      </w:r>
      <w:r w:rsidR="00854D83" w:rsidRPr="001815D6">
        <w:rPr>
          <w:highlight w:val="yellow"/>
        </w:rPr>
      </w:r>
      <w:r w:rsidR="00D14F97" w:rsidRPr="001815D6">
        <w:rPr>
          <w:highlight w:val="yellow"/>
        </w:rPr>
      </w:r>
      <w:r w:rsidR="00854D83" w:rsidRPr="001815D6">
        <w:rPr>
          <w:highlight w:val="yellow"/>
        </w:rPr>
      </w:r>
      <w:r w:rsidRPr="001815D6">
        <w:rPr>
          <w:highlight w:val="yellow"/>
        </w:rPr>
      </w:r>
      <w:r w:rsidR="003D755E" w:rsidRPr="001815D6">
        <w:rPr>
          <w:highlight w:val="yellow"/>
        </w:rPr>
      </w:r>
      <w:r w:rsidRPr="001815D6">
        <w:rPr>
          <w:highlight w:val="yellow"/>
        </w:rPr>
      </w:r>
      <w:r w:rsidR="007869B7" w:rsidRPr="001815D6">
        <w:rPr>
          <w:highlight w:val="yellow"/>
        </w:rPr>
      </w:r>
      <w:r w:rsidRPr="001815D6">
        <w:rPr>
          <w:highlight w:val="yellow"/>
        </w:rPr>
      </w:r>
      <w:r w:rsidR="003D755E" w:rsidRPr="001815D6">
        <w:rPr>
          <w:highlight w:val="yellow"/>
        </w:rPr>
      </w:r>
      <w:r w:rsidRPr="001815D6">
        <w:rPr>
          <w:highlight w:val="yellow"/>
        </w:rPr>
      </w:r>
      <w:r w:rsidR="00E63C3F" w:rsidRPr="001815D6">
        <w:rPr>
          <w:highlight w:val="yellow"/>
        </w:rPr>
      </w:r>
      <w:r w:rsidRPr="001815D6">
        <w:rPr>
          <w:highlight w:val="yellow"/>
        </w:rPr>
      </w:r>
      <w:r w:rsidR="00FD7F1D" w:rsidRPr="001815D6">
        <w:rPr>
          <w:highlight w:val="yellow"/>
        </w:rPr>
      </w:r>
      <w:r w:rsidR="00144D86" w:rsidRPr="001815D6">
        <w:rPr>
          <w:highlight w:val="yellow"/>
        </w:rPr>
      </w:r>
      <w:r w:rsidRPr="001815D6">
        <w:rPr>
          <w:highlight w:val="yellow"/>
        </w:rPr>
      </w:r>
      <w:r w:rsidR="00144D86" w:rsidRPr="001815D6">
        <w:rPr>
          <w:highlight w:val="yellow"/>
        </w:rPr>
      </w:r>
      <w:r w:rsidRPr="001815D6">
        <w:rPr>
          <w:highlight w:val="yellow"/>
        </w:rPr>
      </w:r>
      <w:r w:rsidR="00FD7F1D" w:rsidRPr="001815D6">
        <w:rPr>
          <w:highlight w:val="yellow"/>
        </w:rPr>
      </w:r>
      <w:r w:rsidR="00FD7F1D" w:rsidRPr="001815D6" w:rsidDel="002C12B8">
        <w:rPr>
          <w:highlight w:val="yellow"/>
        </w:rPr>
      </w:r>
      <w:r w:rsidR="00FD7F1D" w:rsidRPr="00D03A40" w:rsidDel="002C12B8"/>
      <w:bookmarkEnd w:id="2"/>
    </w:p>
    <w:p w14:paraId="05A43A60" w14:textId="278FCAE4" w:rsidR="00DD774D" w:rsidRPr="00D03A40" w:rsidRDefault="00F32967" w:rsidP="00BC2AD7">
      <w:pPr>
        <w:pStyle w:val="Heading2"/>
        <w:rPr>
          <w:rFonts w:cstheme="minorHAnsi"/>
          <w:bCs/>
          <w:szCs w:val="28"/>
        </w:rPr>
      </w:pPr>
      <w:r w:rsidRPr="00D03A40">
        <w:t xml:space="preserve">Development </w:t>
      </w:r>
      <w:r w:rsidR="00723FF6" w:rsidRPr="00D03A40">
        <w:t xml:space="preserve">Forecast </w:t>
      </w:r>
      <w:r w:rsidR="00531836" w:rsidRPr="00D03A40">
        <w:t>Summary</w:t>
      </w:r>
    </w:p>
    <w:p w14:paraId="21FF1B7E" w14:textId="2D6CFC7D" w:rsidR="00DA68D5" w:rsidRPr="00D03A40" w:rsidRDefault="00DA68D5" w:rsidP="00F25884">
      <w:r w:rsidRPr="001815D6">
        <w:rPr>
          <w:highlight w:val="yellow"/>
        </w:rPr>
        <w:t>The 2035 and 2050 forecast years build upon the 2026 model base year. The forecast includes a variety of projections related to land use and the characteristics of the region’s traveling population in the forecast years; this population includes residents, visitors, and commuters. The forecast years of 2035 and 2050 were selected to meet specific regulatory requirements of the California Sustainable Communities Strategy (SCS) and Federal RTP requirements and to align with the forecasts periods used by nearby regional partners, including the Sacramento Area Council of Governments (SACOG), Carson Area Metropolitan Planning Organization (CAMPO), the Regional Transportation Commission of Washoe County (RTC-Washoe), and the Bay Area Metropolitan Transportation Commission (MTC).</w:t>
      </w:r>
      <w:r w:rsidR="00616841" w:rsidRPr="001815D6">
        <w:rPr>
          <w:highlight w:val="yellow"/>
        </w:rPr>
      </w:r>
      <w:r w:rsidRPr="001815D6">
        <w:rPr>
          <w:highlight w:val="yellow"/>
        </w:rPr>
      </w:r>
      <w:r w:rsidR="00A33AD3" w:rsidRPr="001815D6">
        <w:rPr>
          <w:highlight w:val="yellow"/>
        </w:rPr>
      </w:r>
      <w:r w:rsidRPr="001815D6">
        <w:rPr>
          <w:highlight w:val="yellow"/>
        </w:rPr>
      </w:r>
      <w:r w:rsidRPr="00D03A40"/>
      <w:r w:rsidR="00A33AD3" w:rsidRPr="00D03A40"/>
      <w:r w:rsidRPr="00D03A40"/>
    </w:p>
    <w:p>
      <w:pPr/>
      <w:r>
        <w:t>Three alternatives are analyzed: Alternative 1 (Baseline housing package), Alternative 2 (Additional Affordable Housing), and Alternative 3 (Housing Activation / Increased Occupancy). The alternatives share the same residential unit allocations across local jurisdictions but differ in regional (TRPA) pool utilization, occupancy adjustments, and employment assumptions. Table 1 below summarizes key parameters for each alternative, and the sections that follow describe forecast outcomes for each.</w:t>
      </w:r>
    </w:p>
    <w:tbl>
      <w:tblPr>
        <w:tblStyle w:val="TableGrid"/>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val="clear" w:color="auto" w:fill="1F3864"/>
          </w:tcPr>
          <w:p>
            <w:r>
              <w:rPr>
                <w:b/>
                <w:color w:val="FFFFFF"/>
                <w:sz w:val="18"/>
              </w:rPr>
              <w:t>Metric</w:t>
            </w:r>
          </w:p>
        </w:tc>
        <w:tc>
          <w:tcPr>
            <w:tcW w:type="dxa" w:w="1170"/>
            <w:shd w:val="clear" w:color="auto" w:fill="1F3864"/>
          </w:tcPr>
          <w:p>
            <w:r>
              <w:rPr>
                <w:b/>
                <w:color w:val="FFFFFF"/>
                <w:sz w:val="18"/>
              </w:rPr>
              <w:t>Base Year</w:t>
              <w:br/>
              <w:t>(2026)</w:t>
            </w:r>
          </w:p>
        </w:tc>
        <w:tc>
          <w:tcPr>
            <w:tcW w:type="dxa" w:w="1170"/>
            <w:shd w:val="clear" w:color="auto" w:fill="1F3864"/>
          </w:tcPr>
          <w:p>
            <w:r>
              <w:rPr>
                <w:b/>
                <w:color w:val="FFFFFF"/>
                <w:sz w:val="18"/>
              </w:rPr>
              <w:t>Alt 1</w:t>
              <w:br/>
              <w:t>2035</w:t>
            </w:r>
          </w:p>
        </w:tc>
        <w:tc>
          <w:tcPr>
            <w:tcW w:type="dxa" w:w="1170"/>
            <w:shd w:val="clear" w:color="auto" w:fill="1F3864"/>
          </w:tcPr>
          <w:p>
            <w:r>
              <w:rPr>
                <w:b/>
                <w:color w:val="FFFFFF"/>
                <w:sz w:val="18"/>
              </w:rPr>
              <w:t>Alt 1</w:t>
              <w:br/>
              <w:t>2050</w:t>
            </w:r>
          </w:p>
        </w:tc>
        <w:tc>
          <w:tcPr>
            <w:tcW w:type="dxa" w:w="1170"/>
            <w:shd w:val="clear" w:color="auto" w:fill="1F3864"/>
          </w:tcPr>
          <w:p>
            <w:r>
              <w:rPr>
                <w:b/>
                <w:color w:val="FFFFFF"/>
                <w:sz w:val="18"/>
              </w:rPr>
              <w:t>Alt 2</w:t>
              <w:br/>
              <w:t>2035</w:t>
            </w:r>
          </w:p>
        </w:tc>
        <w:tc>
          <w:tcPr>
            <w:tcW w:type="dxa" w:w="1170"/>
            <w:shd w:val="clear" w:color="auto" w:fill="1F3864"/>
          </w:tcPr>
          <w:p>
            <w:r>
              <w:rPr>
                <w:b/>
                <w:color w:val="FFFFFF"/>
                <w:sz w:val="18"/>
              </w:rPr>
              <w:t>Alt 2</w:t>
              <w:br/>
              <w:t>2050</w:t>
            </w:r>
          </w:p>
        </w:tc>
        <w:tc>
          <w:tcPr>
            <w:tcW w:type="dxa" w:w="1170"/>
            <w:shd w:val="clear" w:color="auto" w:fill="1F3864"/>
          </w:tcPr>
          <w:p>
            <w:r>
              <w:rPr>
                <w:b/>
                <w:color w:val="FFFFFF"/>
                <w:sz w:val="18"/>
              </w:rPr>
              <w:t>Alt 3</w:t>
              <w:br/>
              <w:t>2035</w:t>
            </w:r>
          </w:p>
        </w:tc>
        <w:tc>
          <w:tcPr>
            <w:tcW w:type="dxa" w:w="1170"/>
            <w:shd w:val="clear" w:color="auto" w:fill="1F3864"/>
          </w:tcPr>
          <w:p>
            <w:r>
              <w:rPr>
                <w:b/>
                <w:color w:val="FFFFFF"/>
                <w:sz w:val="18"/>
              </w:rPr>
              <w:t>Alt 3</w:t>
              <w:br/>
              <w:t>2050</w:t>
            </w:r>
          </w:p>
        </w:tc>
      </w:tr>
      <w:tr>
        <w:tc>
          <w:tcPr>
            <w:tcW w:type="dxa" w:w="1170"/>
          </w:tcPr>
          <w:p>
            <w:r>
              <w:rPr>
                <w:sz w:val="18"/>
              </w:rPr>
              <w:t>Total Residential Units</w:t>
            </w:r>
          </w:p>
        </w:tc>
        <w:tc>
          <w:tcPr>
            <w:tcW w:type="dxa" w:w="1170"/>
          </w:tcPr>
          <w:p>
            <w:r>
              <w:rPr>
                <w:sz w:val="18"/>
              </w:rPr>
              <w:t>49,950</w:t>
            </w:r>
          </w:p>
        </w:tc>
        <w:tc>
          <w:tcPr>
            <w:tcW w:type="dxa" w:w="1170"/>
          </w:tcPr>
          <w:p>
            <w:r>
              <w:rPr>
                <w:sz w:val="18"/>
              </w:rPr>
              <w:t>51,062</w:t>
            </w:r>
          </w:p>
        </w:tc>
        <w:tc>
          <w:tcPr>
            <w:tcW w:type="dxa" w:w="1170"/>
          </w:tcPr>
          <w:p>
            <w:r>
              <w:rPr>
                <w:sz w:val="18"/>
              </w:rPr>
              <w:t>54,197</w:t>
            </w:r>
          </w:p>
        </w:tc>
        <w:tc>
          <w:tcPr>
            <w:tcW w:type="dxa" w:w="1170"/>
          </w:tcPr>
          <w:p>
            <w:r>
              <w:rPr>
                <w:sz w:val="18"/>
              </w:rPr>
              <w:t>51,469</w:t>
            </w:r>
          </w:p>
        </w:tc>
        <w:tc>
          <w:tcPr>
            <w:tcW w:type="dxa" w:w="1170"/>
          </w:tcPr>
          <w:p>
            <w:r>
              <w:rPr>
                <w:sz w:val="18"/>
              </w:rPr>
              <w:t>55,435</w:t>
            </w:r>
          </w:p>
        </w:tc>
        <w:tc>
          <w:tcPr>
            <w:tcW w:type="dxa" w:w="1170"/>
          </w:tcPr>
          <w:p>
            <w:r>
              <w:rPr>
                <w:sz w:val="18"/>
              </w:rPr>
              <w:t>51,062</w:t>
            </w:r>
          </w:p>
        </w:tc>
        <w:tc>
          <w:tcPr>
            <w:tcW w:type="dxa" w:w="1170"/>
          </w:tcPr>
          <w:p>
            <w:r>
              <w:rPr>
                <w:sz w:val="18"/>
              </w:rPr>
              <w:t>54,197</w:t>
            </w:r>
          </w:p>
        </w:tc>
      </w:tr>
      <w:tr>
        <w:tc>
          <w:tcPr>
            <w:tcW w:type="dxa" w:w="1170"/>
          </w:tcPr>
          <w:p>
            <w:r>
              <w:rPr>
                <w:sz w:val="18"/>
              </w:rPr>
              <w:t>Occupied Residential Units</w:t>
            </w:r>
          </w:p>
        </w:tc>
        <w:tc>
          <w:tcPr>
            <w:tcW w:type="dxa" w:w="1170"/>
          </w:tcPr>
          <w:p>
            <w:r>
              <w:rPr>
                <w:sz w:val="18"/>
              </w:rPr>
              <w:t>23,655</w:t>
            </w:r>
          </w:p>
        </w:tc>
        <w:tc>
          <w:tcPr>
            <w:tcW w:type="dxa" w:w="1170"/>
          </w:tcPr>
          <w:p>
            <w:r>
              <w:rPr>
                <w:sz w:val="18"/>
              </w:rPr>
              <w:t>24,687</w:t>
            </w:r>
          </w:p>
        </w:tc>
        <w:tc>
          <w:tcPr>
            <w:tcW w:type="dxa" w:w="1170"/>
          </w:tcPr>
          <w:p>
            <w:r>
              <w:rPr>
                <w:sz w:val="18"/>
              </w:rPr>
              <w:t>26,507</w:t>
            </w:r>
          </w:p>
        </w:tc>
        <w:tc>
          <w:tcPr>
            <w:tcW w:type="dxa" w:w="1170"/>
          </w:tcPr>
          <w:p>
            <w:r>
              <w:rPr>
                <w:sz w:val="18"/>
              </w:rPr>
              <w:t>24,997</w:t>
            </w:r>
          </w:p>
        </w:tc>
        <w:tc>
          <w:tcPr>
            <w:tcW w:type="dxa" w:w="1170"/>
          </w:tcPr>
          <w:p>
            <w:r>
              <w:rPr>
                <w:sz w:val="18"/>
              </w:rPr>
              <w:t>27,750</w:t>
            </w:r>
          </w:p>
        </w:tc>
        <w:tc>
          <w:tcPr>
            <w:tcW w:type="dxa" w:w="1170"/>
          </w:tcPr>
          <w:p>
            <w:r>
              <w:rPr>
                <w:sz w:val="18"/>
              </w:rPr>
              <w:t>25,019</w:t>
            </w:r>
          </w:p>
        </w:tc>
        <w:tc>
          <w:tcPr>
            <w:tcW w:type="dxa" w:w="1170"/>
          </w:tcPr>
          <w:p>
            <w:r>
              <w:rPr>
                <w:sz w:val="18"/>
              </w:rPr>
              <w:t>27,362</w:t>
            </w:r>
          </w:p>
        </w:tc>
      </w:tr>
      <w:tr>
        <w:tc>
          <w:tcPr>
            <w:tcW w:type="dxa" w:w="1170"/>
          </w:tcPr>
          <w:p>
            <w:r>
              <w:rPr>
                <w:sz w:val="18"/>
              </w:rPr>
              <w:t>Residential Occupancy Rate</w:t>
            </w:r>
          </w:p>
        </w:tc>
        <w:tc>
          <w:tcPr>
            <w:tcW w:type="dxa" w:w="1170"/>
          </w:tcPr>
          <w:p>
            <w:r>
              <w:rPr>
                <w:sz w:val="18"/>
              </w:rPr>
              <w:t>47.4%</w:t>
            </w:r>
          </w:p>
        </w:tc>
        <w:tc>
          <w:tcPr>
            <w:tcW w:type="dxa" w:w="1170"/>
          </w:tcPr>
          <w:p>
            <w:r>
              <w:rPr>
                <w:sz w:val="18"/>
              </w:rPr>
              <w:t>48.3%</w:t>
            </w:r>
          </w:p>
        </w:tc>
        <w:tc>
          <w:tcPr>
            <w:tcW w:type="dxa" w:w="1170"/>
          </w:tcPr>
          <w:p>
            <w:r>
              <w:rPr>
                <w:sz w:val="18"/>
              </w:rPr>
              <w:t>48.9%</w:t>
            </w:r>
          </w:p>
        </w:tc>
        <w:tc>
          <w:tcPr>
            <w:tcW w:type="dxa" w:w="1170"/>
          </w:tcPr>
          <w:p>
            <w:r>
              <w:rPr>
                <w:sz w:val="18"/>
              </w:rPr>
              <w:t>48.6%</w:t>
            </w:r>
          </w:p>
        </w:tc>
        <w:tc>
          <w:tcPr>
            <w:tcW w:type="dxa" w:w="1170"/>
          </w:tcPr>
          <w:p>
            <w:r>
              <w:rPr>
                <w:sz w:val="18"/>
              </w:rPr>
              <w:t>50.1%</w:t>
            </w:r>
          </w:p>
        </w:tc>
        <w:tc>
          <w:tcPr>
            <w:tcW w:type="dxa" w:w="1170"/>
          </w:tcPr>
          <w:p>
            <w:r>
              <w:rPr>
                <w:sz w:val="18"/>
              </w:rPr>
              <w:t>49.0%</w:t>
            </w:r>
          </w:p>
        </w:tc>
        <w:tc>
          <w:tcPr>
            <w:tcW w:type="dxa" w:w="1170"/>
          </w:tcPr>
          <w:p>
            <w:r>
              <w:rPr>
                <w:sz w:val="18"/>
              </w:rPr>
              <w:t>50.5%</w:t>
            </w:r>
          </w:p>
        </w:tc>
      </w:tr>
      <w:tr>
        <w:tc>
          <w:tcPr>
            <w:tcW w:type="dxa" w:w="1170"/>
          </w:tcPr>
          <w:p>
            <w:r>
              <w:rPr>
                <w:sz w:val="18"/>
              </w:rPr>
              <w:t>Total Persons</w:t>
            </w:r>
          </w:p>
        </w:tc>
        <w:tc>
          <w:tcPr>
            <w:tcW w:type="dxa" w:w="1170"/>
          </w:tcPr>
          <w:p>
            <w:r>
              <w:rPr>
                <w:sz w:val="18"/>
              </w:rPr>
              <w:t>54,679</w:t>
            </w:r>
          </w:p>
        </w:tc>
        <w:tc>
          <w:tcPr>
            <w:tcW w:type="dxa" w:w="1170"/>
          </w:tcPr>
          <w:p>
            <w:r>
              <w:rPr>
                <w:sz w:val="18"/>
              </w:rPr>
              <w:t>55,588</w:t>
            </w:r>
          </w:p>
        </w:tc>
        <w:tc>
          <w:tcPr>
            <w:tcW w:type="dxa" w:w="1170"/>
          </w:tcPr>
          <w:p>
            <w:r>
              <w:rPr>
                <w:sz w:val="18"/>
              </w:rPr>
              <w:t>57,608</w:t>
            </w:r>
          </w:p>
        </w:tc>
        <w:tc>
          <w:tcPr>
            <w:tcW w:type="dxa" w:w="1170"/>
          </w:tcPr>
          <w:p>
            <w:r>
              <w:rPr>
                <w:sz w:val="18"/>
              </w:rPr>
              <w:t>56,281</w:t>
            </w:r>
          </w:p>
        </w:tc>
        <w:tc>
          <w:tcPr>
            <w:tcW w:type="dxa" w:w="1170"/>
          </w:tcPr>
          <w:p>
            <w:r>
              <w:rPr>
                <w:sz w:val="18"/>
              </w:rPr>
              <w:t>60,244</w:t>
            </w:r>
          </w:p>
        </w:tc>
        <w:tc>
          <w:tcPr>
            <w:tcW w:type="dxa" w:w="1170"/>
          </w:tcPr>
          <w:p>
            <w:r>
              <w:rPr>
                <w:sz w:val="18"/>
              </w:rPr>
              <w:t>56,340</w:t>
            </w:r>
          </w:p>
        </w:tc>
        <w:tc>
          <w:tcPr>
            <w:tcW w:type="dxa" w:w="1170"/>
          </w:tcPr>
          <w:p>
            <w:r>
              <w:rPr>
                <w:sz w:val="18"/>
              </w:rPr>
              <w:t>59,472</w:t>
            </w:r>
          </w:p>
        </w:tc>
      </w:tr>
      <w:tr>
        <w:tc>
          <w:tcPr>
            <w:tcW w:type="dxa" w:w="1170"/>
          </w:tcPr>
          <w:p>
            <w:r>
              <w:rPr>
                <w:sz w:val="18"/>
              </w:rPr>
              <w:t>Total Employment</w:t>
            </w:r>
          </w:p>
        </w:tc>
        <w:tc>
          <w:tcPr>
            <w:tcW w:type="dxa" w:w="1170"/>
          </w:tcPr>
          <w:p>
            <w:r>
              <w:rPr>
                <w:sz w:val="18"/>
              </w:rPr>
              <w:t>26,737</w:t>
            </w:r>
          </w:p>
        </w:tc>
        <w:tc>
          <w:tcPr>
            <w:tcW w:type="dxa" w:w="1170"/>
          </w:tcPr>
          <w:p>
            <w:r>
              <w:rPr>
                <w:sz w:val="18"/>
              </w:rPr>
              <w:t>27,150</w:t>
            </w:r>
          </w:p>
        </w:tc>
        <w:tc>
          <w:tcPr>
            <w:tcW w:type="dxa" w:w="1170"/>
          </w:tcPr>
          <w:p>
            <w:r>
              <w:rPr>
                <w:sz w:val="18"/>
              </w:rPr>
              <w:t>27,580</w:t>
            </w:r>
          </w:p>
        </w:tc>
        <w:tc>
          <w:tcPr>
            <w:tcW w:type="dxa" w:w="1170"/>
          </w:tcPr>
          <w:p>
            <w:r>
              <w:rPr>
                <w:sz w:val="18"/>
              </w:rPr>
              <w:t>27,294</w:t>
            </w:r>
          </w:p>
        </w:tc>
        <w:tc>
          <w:tcPr>
            <w:tcW w:type="dxa" w:w="1170"/>
          </w:tcPr>
          <w:p>
            <w:r>
              <w:rPr>
                <w:sz w:val="18"/>
              </w:rPr>
              <w:t>27,970</w:t>
            </w:r>
          </w:p>
        </w:tc>
        <w:tc>
          <w:tcPr>
            <w:tcW w:type="dxa" w:w="1170"/>
          </w:tcPr>
          <w:p>
            <w:r>
              <w:rPr>
                <w:sz w:val="18"/>
              </w:rPr>
              <w:t>27,249</w:t>
            </w:r>
          </w:p>
        </w:tc>
        <w:tc>
          <w:tcPr>
            <w:tcW w:type="dxa" w:w="1170"/>
          </w:tcPr>
          <w:p>
            <w:r>
              <w:rPr>
                <w:sz w:val="18"/>
              </w:rPr>
              <w:t>27,850</w:t>
            </w:r>
          </w:p>
        </w:tc>
      </w:tr>
      <w:tr>
        <w:tc>
          <w:tcPr>
            <w:tcW w:type="dxa" w:w="1170"/>
          </w:tcPr>
          <w:p>
            <w:r>
              <w:rPr>
                <w:sz w:val="18"/>
              </w:rPr>
              <w:t>Hotel/Motel Occupied</w:t>
            </w:r>
          </w:p>
        </w:tc>
        <w:tc>
          <w:tcPr>
            <w:tcW w:type="dxa" w:w="1170"/>
          </w:tcPr>
          <w:p>
            <w:r>
              <w:rPr>
                <w:sz w:val="18"/>
              </w:rPr>
              <w:t>4,906</w:t>
            </w:r>
          </w:p>
        </w:tc>
        <w:tc>
          <w:tcPr>
            <w:tcW w:type="dxa" w:w="1170"/>
          </w:tcPr>
          <w:p>
            <w:r>
              <w:rPr>
                <w:sz w:val="18"/>
              </w:rPr>
              <w:t>5,213</w:t>
            </w:r>
          </w:p>
        </w:tc>
        <w:tc>
          <w:tcPr>
            <w:tcW w:type="dxa" w:w="1170"/>
          </w:tcPr>
          <w:p>
            <w:r>
              <w:rPr>
                <w:sz w:val="18"/>
              </w:rPr>
              <w:t>5,213</w:t>
            </w:r>
          </w:p>
        </w:tc>
        <w:tc>
          <w:tcPr>
            <w:tcW w:type="dxa" w:w="1170"/>
          </w:tcPr>
          <w:p>
            <w:r>
              <w:rPr>
                <w:sz w:val="18"/>
              </w:rPr>
              <w:t>5,213</w:t>
            </w:r>
          </w:p>
        </w:tc>
        <w:tc>
          <w:tcPr>
            <w:tcW w:type="dxa" w:w="1170"/>
          </w:tcPr>
          <w:p>
            <w:r>
              <w:rPr>
                <w:sz w:val="18"/>
              </w:rPr>
              <w:t>5,213</w:t>
            </w:r>
          </w:p>
        </w:tc>
        <w:tc>
          <w:tcPr>
            <w:tcW w:type="dxa" w:w="1170"/>
          </w:tcPr>
          <w:p>
            <w:r>
              <w:rPr>
                <w:sz w:val="18"/>
              </w:rPr>
              <w:t>5,213</w:t>
            </w:r>
          </w:p>
        </w:tc>
        <w:tc>
          <w:tcPr>
            <w:tcW w:type="dxa" w:w="1170"/>
          </w:tcPr>
          <w:p>
            <w:r>
              <w:rPr>
                <w:sz w:val="18"/>
              </w:rPr>
              <w:t>5,213</w:t>
            </w:r>
          </w:p>
        </w:tc>
      </w:tr>
      <w:tr>
        <w:tc>
          <w:tcPr>
            <w:tcW w:type="dxa" w:w="1170"/>
          </w:tcPr>
          <w:p>
            <w:r>
              <w:rPr>
                <w:sz w:val="18"/>
              </w:rPr>
              <w:t>K-12 + College Enrollment</w:t>
            </w:r>
          </w:p>
        </w:tc>
        <w:tc>
          <w:tcPr>
            <w:tcW w:type="dxa" w:w="1170"/>
          </w:tcPr>
          <w:p>
            <w:r>
              <w:rPr>
                <w:sz w:val="18"/>
              </w:rPr>
              <w:t>9,309</w:t>
            </w:r>
          </w:p>
        </w:tc>
        <w:tc>
          <w:tcPr>
            <w:tcW w:type="dxa" w:w="1170"/>
          </w:tcPr>
          <w:p>
            <w:r>
              <w:rPr>
                <w:sz w:val="18"/>
              </w:rPr>
              <w:t>9,383</w:t>
            </w:r>
          </w:p>
        </w:tc>
        <w:tc>
          <w:tcPr>
            <w:tcW w:type="dxa" w:w="1170"/>
          </w:tcPr>
          <w:p>
            <w:r>
              <w:rPr>
                <w:sz w:val="18"/>
              </w:rPr>
              <w:t>9,558</w:t>
            </w:r>
          </w:p>
        </w:tc>
        <w:tc>
          <w:tcPr>
            <w:tcW w:type="dxa" w:w="1170"/>
          </w:tcPr>
          <w:p>
            <w:r>
              <w:rPr>
                <w:sz w:val="18"/>
              </w:rPr>
              <w:t>9,444</w:t>
            </w:r>
          </w:p>
        </w:tc>
        <w:tc>
          <w:tcPr>
            <w:tcW w:type="dxa" w:w="1170"/>
          </w:tcPr>
          <w:p>
            <w:r>
              <w:rPr>
                <w:sz w:val="18"/>
              </w:rPr>
              <w:t>9,783</w:t>
            </w:r>
          </w:p>
        </w:tc>
        <w:tc>
          <w:tcPr>
            <w:tcW w:type="dxa" w:w="1170"/>
          </w:tcPr>
          <w:p>
            <w:r>
              <w:rPr>
                <w:sz w:val="18"/>
              </w:rPr>
              <w:t>9,449</w:t>
            </w:r>
          </w:p>
        </w:tc>
        <w:tc>
          <w:tcPr>
            <w:tcW w:type="dxa" w:w="1170"/>
          </w:tcPr>
          <w:p>
            <w:r>
              <w:rPr>
                <w:sz w:val="18"/>
              </w:rPr>
              <w:t>9,715</w:t>
            </w:r>
          </w:p>
        </w:tc>
      </w:tr>
    </w:tbl>
    <w:p>
      <w:pPr>
        <w:pStyle w:val="Caption"/>
      </w:pPr>
      <w:r>
        <w:t>Table: Development Forecast Summary by Alternative</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1F3864"/>
          </w:tcPr>
          <w:p>
            <w:r>
              <w:rPr>
                <w:b/>
                <w:color w:val="FFFFFF"/>
                <w:sz w:val="18"/>
              </w:rPr>
              <w:t>Parameter</w:t>
            </w:r>
          </w:p>
        </w:tc>
        <w:tc>
          <w:tcPr>
            <w:tcW w:type="dxa" w:w="2340"/>
            <w:shd w:val="clear" w:color="auto" w:fill="1F3864"/>
          </w:tcPr>
          <w:p>
            <w:r>
              <w:rPr>
                <w:b/>
                <w:color w:val="FFFFFF"/>
                <w:sz w:val="18"/>
              </w:rPr>
              <w:t>Alternative 1</w:t>
              <w:br/>
              <w:t>(Baseline)</w:t>
            </w:r>
          </w:p>
        </w:tc>
        <w:tc>
          <w:tcPr>
            <w:tcW w:type="dxa" w:w="2340"/>
            <w:shd w:val="clear" w:color="auto" w:fill="1F3864"/>
          </w:tcPr>
          <w:p>
            <w:r>
              <w:rPr>
                <w:b/>
                <w:color w:val="FFFFFF"/>
                <w:sz w:val="18"/>
              </w:rPr>
              <w:t>Alternative 2</w:t>
              <w:br/>
              <w:t>(Affordable Housing Focus)</w:t>
            </w:r>
          </w:p>
        </w:tc>
        <w:tc>
          <w:tcPr>
            <w:tcW w:type="dxa" w:w="2340"/>
            <w:shd w:val="clear" w:color="auto" w:fill="1F3864"/>
          </w:tcPr>
          <w:p>
            <w:r>
              <w:rPr>
                <w:b/>
                <w:color w:val="FFFFFF"/>
                <w:sz w:val="18"/>
              </w:rPr>
              <w:t>Alternative 3</w:t>
              <w:br/>
              <w:t>(Housing Activation)</w:t>
            </w:r>
          </w:p>
        </w:tc>
      </w:tr>
      <w:tr>
        <w:tc>
          <w:tcPr>
            <w:tcW w:type="dxa" w:w="2340"/>
          </w:tcPr>
          <w:p>
            <w:r>
              <w:rPr>
                <w:sz w:val="18"/>
              </w:rPr>
              <w:t>Total New Residential Units</w:t>
            </w:r>
          </w:p>
        </w:tc>
        <w:tc>
          <w:tcPr>
            <w:tcW w:type="dxa" w:w="2340"/>
          </w:tcPr>
          <w:p>
            <w:r>
              <w:rPr>
                <w:sz w:val="18"/>
              </w:rPr>
              <w:t>3,377</w:t>
            </w:r>
          </w:p>
        </w:tc>
        <w:tc>
          <w:tcPr>
            <w:tcW w:type="dxa" w:w="2340"/>
          </w:tcPr>
          <w:p>
            <w:r>
              <w:rPr>
                <w:sz w:val="18"/>
              </w:rPr>
              <w:t>4,615</w:t>
            </w:r>
          </w:p>
        </w:tc>
        <w:tc>
          <w:tcPr>
            <w:tcW w:type="dxa" w:w="2340"/>
          </w:tcPr>
          <w:p>
            <w:r>
              <w:rPr>
                <w:sz w:val="18"/>
              </w:rPr>
              <w:t>3,377</w:t>
            </w:r>
          </w:p>
        </w:tc>
      </w:tr>
      <w:tr>
        <w:tc>
          <w:tcPr>
            <w:tcW w:type="dxa" w:w="2340"/>
          </w:tcPr>
          <w:p>
            <w:r>
              <w:rPr>
                <w:sz w:val="18"/>
              </w:rPr>
              <w:t>Bonus Units</w:t>
            </w:r>
          </w:p>
        </w:tc>
        <w:tc>
          <w:tcPr>
            <w:tcW w:type="dxa" w:w="2340"/>
          </w:tcPr>
          <w:p>
            <w:r>
              <w:rPr>
                <w:sz w:val="18"/>
              </w:rPr>
              <w:t>1,246</w:t>
            </w:r>
          </w:p>
        </w:tc>
        <w:tc>
          <w:tcPr>
            <w:tcW w:type="dxa" w:w="2340"/>
          </w:tcPr>
          <w:p>
            <w:r>
              <w:rPr>
                <w:sz w:val="18"/>
              </w:rPr>
              <w:t>1,246</w:t>
            </w:r>
          </w:p>
        </w:tc>
        <w:tc>
          <w:tcPr>
            <w:tcW w:type="dxa" w:w="2340"/>
          </w:tcPr>
          <w:p>
            <w:r>
              <w:rPr>
                <w:sz w:val="18"/>
              </w:rPr>
              <w:t>1,246</w:t>
            </w:r>
          </w:p>
        </w:tc>
      </w:tr>
      <w:tr>
        <w:tc>
          <w:tcPr>
            <w:tcW w:type="dxa" w:w="2340"/>
          </w:tcPr>
          <w:p>
            <w:r>
              <w:rPr>
                <w:sz w:val="18"/>
              </w:rPr>
              <w:t>General Units</w:t>
            </w:r>
          </w:p>
        </w:tc>
        <w:tc>
          <w:tcPr>
            <w:tcW w:type="dxa" w:w="2340"/>
          </w:tcPr>
          <w:p>
            <w:r>
              <w:rPr>
                <w:sz w:val="18"/>
              </w:rPr>
              <w:t>2,021</w:t>
            </w:r>
          </w:p>
        </w:tc>
        <w:tc>
          <w:tcPr>
            <w:tcW w:type="dxa" w:w="2340"/>
          </w:tcPr>
          <w:p>
            <w:r>
              <w:rPr>
                <w:sz w:val="18"/>
              </w:rPr>
              <w:t>2,021</w:t>
            </w:r>
          </w:p>
        </w:tc>
        <w:tc>
          <w:tcPr>
            <w:tcW w:type="dxa" w:w="2340"/>
          </w:tcPr>
          <w:p>
            <w:r>
              <w:rPr>
                <w:sz w:val="18"/>
              </w:rPr>
              <w:t>2,021</w:t>
            </w:r>
          </w:p>
        </w:tc>
      </w:tr>
      <w:tr>
        <w:tc>
          <w:tcPr>
            <w:tcW w:type="dxa" w:w="2340"/>
          </w:tcPr>
          <w:p>
            <w:r>
              <w:rPr>
                <w:sz w:val="18"/>
              </w:rPr>
              <w:t>ADU</w:t>
            </w:r>
          </w:p>
        </w:tc>
        <w:tc>
          <w:tcPr>
            <w:tcW w:type="dxa" w:w="2340"/>
          </w:tcPr>
          <w:p>
            <w:r>
              <w:rPr>
                <w:sz w:val="18"/>
              </w:rPr>
              <w:t>110</w:t>
            </w:r>
          </w:p>
        </w:tc>
        <w:tc>
          <w:tcPr>
            <w:tcW w:type="dxa" w:w="2340"/>
          </w:tcPr>
          <w:p>
            <w:r>
              <w:rPr>
                <w:sz w:val="18"/>
              </w:rPr>
              <w:t>110</w:t>
            </w:r>
          </w:p>
        </w:tc>
        <w:tc>
          <w:tcPr>
            <w:tcW w:type="dxa" w:w="2340"/>
          </w:tcPr>
          <w:p>
            <w:r>
              <w:rPr>
                <w:sz w:val="18"/>
              </w:rPr>
              <w:t>110</w:t>
            </w:r>
          </w:p>
        </w:tc>
      </w:tr>
      <w:tr>
        <w:tc>
          <w:tcPr>
            <w:tcW w:type="dxa" w:w="2340"/>
          </w:tcPr>
          <w:p>
            <w:r>
              <w:rPr>
                <w:sz w:val="18"/>
              </w:rPr>
              <w:t>Affordable Units</w:t>
            </w:r>
          </w:p>
        </w:tc>
        <w:tc>
          <w:tcPr>
            <w:tcW w:type="dxa" w:w="2340"/>
          </w:tcPr>
          <w:p>
            <w:r>
              <w:rPr>
                <w:sz w:val="18"/>
              </w:rPr>
              <w:t>0</w:t>
            </w:r>
          </w:p>
        </w:tc>
        <w:tc>
          <w:tcPr>
            <w:tcW w:type="dxa" w:w="2340"/>
          </w:tcPr>
          <w:p>
            <w:r>
              <w:rPr>
                <w:sz w:val="18"/>
              </w:rPr>
              <w:t>456</w:t>
            </w:r>
          </w:p>
        </w:tc>
        <w:tc>
          <w:tcPr>
            <w:tcW w:type="dxa" w:w="2340"/>
          </w:tcPr>
          <w:p>
            <w:r>
              <w:rPr>
                <w:sz w:val="18"/>
              </w:rPr>
              <w:t>0</w:t>
            </w:r>
          </w:p>
        </w:tc>
      </w:tr>
      <w:tr>
        <w:tc>
          <w:tcPr>
            <w:tcW w:type="dxa" w:w="2340"/>
          </w:tcPr>
          <w:p>
            <w:r>
              <w:rPr>
                <w:sz w:val="18"/>
              </w:rPr>
              <w:t>Moderate Units</w:t>
            </w:r>
          </w:p>
        </w:tc>
        <w:tc>
          <w:tcPr>
            <w:tcW w:type="dxa" w:w="2340"/>
          </w:tcPr>
          <w:p>
            <w:r>
              <w:rPr>
                <w:sz w:val="18"/>
              </w:rPr>
              <w:t>0</w:t>
            </w:r>
          </w:p>
        </w:tc>
        <w:tc>
          <w:tcPr>
            <w:tcW w:type="dxa" w:w="2340"/>
          </w:tcPr>
          <w:p>
            <w:r>
              <w:rPr>
                <w:sz w:val="18"/>
              </w:rPr>
              <w:t>285</w:t>
            </w:r>
          </w:p>
        </w:tc>
        <w:tc>
          <w:tcPr>
            <w:tcW w:type="dxa" w:w="2340"/>
          </w:tcPr>
          <w:p>
            <w:r>
              <w:rPr>
                <w:sz w:val="18"/>
              </w:rPr>
              <w:t>0</w:t>
            </w:r>
          </w:p>
        </w:tc>
      </w:tr>
      <w:tr>
        <w:tc>
          <w:tcPr>
            <w:tcW w:type="dxa" w:w="2340"/>
          </w:tcPr>
          <w:p>
            <w:r>
              <w:rPr>
                <w:sz w:val="18"/>
              </w:rPr>
              <w:t>Achievable Bonus</w:t>
            </w:r>
          </w:p>
        </w:tc>
        <w:tc>
          <w:tcPr>
            <w:tcW w:type="dxa" w:w="2340"/>
          </w:tcPr>
          <w:p>
            <w:r>
              <w:rPr>
                <w:sz w:val="18"/>
              </w:rPr>
              <w:t>0</w:t>
            </w:r>
          </w:p>
        </w:tc>
        <w:tc>
          <w:tcPr>
            <w:tcW w:type="dxa" w:w="2340"/>
          </w:tcPr>
          <w:p>
            <w:r>
              <w:rPr>
                <w:sz w:val="18"/>
              </w:rPr>
              <w:t>228</w:t>
            </w:r>
          </w:p>
        </w:tc>
        <w:tc>
          <w:tcPr>
            <w:tcW w:type="dxa" w:w="2340"/>
          </w:tcPr>
          <w:p>
            <w:r>
              <w:rPr>
                <w:sz w:val="18"/>
              </w:rPr>
              <w:t>0</w:t>
            </w:r>
          </w:p>
        </w:tc>
      </w:tr>
      <w:tr>
        <w:tc>
          <w:tcPr>
            <w:tcW w:type="dxa" w:w="2340"/>
          </w:tcPr>
          <w:p>
            <w:r>
              <w:rPr>
                <w:sz w:val="18"/>
              </w:rPr>
              <w:t>JADU</w:t>
            </w:r>
          </w:p>
        </w:tc>
        <w:tc>
          <w:tcPr>
            <w:tcW w:type="dxa" w:w="2340"/>
          </w:tcPr>
          <w:p>
            <w:r>
              <w:rPr>
                <w:sz w:val="18"/>
              </w:rPr>
              <w:t>0</w:t>
            </w:r>
          </w:p>
        </w:tc>
        <w:tc>
          <w:tcPr>
            <w:tcW w:type="dxa" w:w="2340"/>
          </w:tcPr>
          <w:p>
            <w:r>
              <w:rPr>
                <w:sz w:val="18"/>
              </w:rPr>
              <w:t>98</w:t>
            </w:r>
          </w:p>
        </w:tc>
        <w:tc>
          <w:tcPr>
            <w:tcW w:type="dxa" w:w="2340"/>
          </w:tcPr>
          <w:p>
            <w:r>
              <w:rPr>
                <w:sz w:val="18"/>
              </w:rPr>
              <w:t>0</w:t>
            </w:r>
          </w:p>
        </w:tc>
      </w:tr>
      <w:tr>
        <w:tc>
          <w:tcPr>
            <w:tcW w:type="dxa" w:w="2340"/>
          </w:tcPr>
          <w:p>
            <w:r>
              <w:rPr>
                <w:sz w:val="18"/>
              </w:rPr>
              <w:t>Achievable General</w:t>
            </w:r>
          </w:p>
        </w:tc>
        <w:tc>
          <w:tcPr>
            <w:tcW w:type="dxa" w:w="2340"/>
          </w:tcPr>
          <w:p>
            <w:r>
              <w:rPr>
                <w:sz w:val="18"/>
              </w:rPr>
              <w:t>0</w:t>
            </w:r>
          </w:p>
        </w:tc>
        <w:tc>
          <w:tcPr>
            <w:tcW w:type="dxa" w:w="2340"/>
          </w:tcPr>
          <w:p>
            <w:r>
              <w:rPr>
                <w:sz w:val="18"/>
              </w:rPr>
              <w:t>57</w:t>
            </w:r>
          </w:p>
        </w:tc>
        <w:tc>
          <w:tcPr>
            <w:tcW w:type="dxa" w:w="2340"/>
          </w:tcPr>
          <w:p>
            <w:r>
              <w:rPr>
                <w:sz w:val="18"/>
              </w:rPr>
              <w:t>0</w:t>
            </w:r>
          </w:p>
        </w:tc>
      </w:tr>
      <w:tr>
        <w:tc>
          <w:tcPr>
            <w:tcW w:type="dxa" w:w="2340"/>
          </w:tcPr>
          <w:p>
            <w:r>
              <w:rPr>
                <w:sz w:val="18"/>
              </w:rPr>
              <w:t>Affordable by Design</w:t>
            </w:r>
          </w:p>
        </w:tc>
        <w:tc>
          <w:tcPr>
            <w:tcW w:type="dxa" w:w="2340"/>
          </w:tcPr>
          <w:p>
            <w:r>
              <w:rPr>
                <w:sz w:val="18"/>
              </w:rPr>
              <w:t>0</w:t>
            </w:r>
          </w:p>
        </w:tc>
        <w:tc>
          <w:tcPr>
            <w:tcW w:type="dxa" w:w="2340"/>
          </w:tcPr>
          <w:p>
            <w:r>
              <w:rPr>
                <w:sz w:val="18"/>
              </w:rPr>
              <w:t>114</w:t>
            </w:r>
          </w:p>
        </w:tc>
        <w:tc>
          <w:tcPr>
            <w:tcW w:type="dxa" w:w="2340"/>
          </w:tcPr>
          <w:p>
            <w:r>
              <w:rPr>
                <w:sz w:val="18"/>
              </w:rPr>
              <w:t>0</w:t>
            </w:r>
          </w:p>
        </w:tc>
      </w:tr>
      <w:tr>
        <w:tc>
          <w:tcPr>
            <w:tcW w:type="dxa" w:w="2340"/>
          </w:tcPr>
          <w:p>
            <w:r>
              <w:rPr>
                <w:sz w:val="18"/>
              </w:rPr>
              <w:t>Additional units vs Alt. 1</w:t>
            </w:r>
          </w:p>
        </w:tc>
        <w:tc>
          <w:tcPr>
            <w:tcW w:type="dxa" w:w="2340"/>
          </w:tcPr>
          <w:p>
            <w:r>
              <w:rPr>
                <w:sz w:val="18"/>
              </w:rPr>
              <w:t>—</w:t>
            </w:r>
          </w:p>
        </w:tc>
        <w:tc>
          <w:tcPr>
            <w:tcW w:type="dxa" w:w="2340"/>
          </w:tcPr>
          <w:p>
            <w:r>
              <w:rPr>
                <w:sz w:val="18"/>
              </w:rPr>
              <w:t>+1,238</w:t>
            </w:r>
          </w:p>
        </w:tc>
        <w:tc>
          <w:tcPr>
            <w:tcW w:type="dxa" w:w="2340"/>
          </w:tcPr>
          <w:p>
            <w:r>
              <w:rPr>
                <w:sz w:val="18"/>
              </w:rPr>
              <w:t>0 (same units)</w:t>
            </w:r>
          </w:p>
        </w:tc>
      </w:tr>
      <w:tr>
        <w:tc>
          <w:tcPr>
            <w:tcW w:type="dxa" w:w="2340"/>
          </w:tcPr>
          <w:p>
            <w:r>
              <w:rPr>
                <w:sz w:val="18"/>
              </w:rPr>
              <w:t>Occupancy Adjustment 2035</w:t>
            </w:r>
          </w:p>
        </w:tc>
        <w:tc>
          <w:tcPr>
            <w:tcW w:type="dxa" w:w="2340"/>
          </w:tcPr>
          <w:p>
            <w:r>
              <w:rPr>
                <w:sz w:val="18"/>
              </w:rPr>
              <w:t>None</w:t>
            </w:r>
          </w:p>
        </w:tc>
        <w:tc>
          <w:tcPr>
            <w:tcW w:type="dxa" w:w="2340"/>
          </w:tcPr>
          <w:p>
            <w:r>
              <w:rPr>
                <w:sz w:val="18"/>
              </w:rPr>
              <w:t>None</w:t>
            </w:r>
          </w:p>
        </w:tc>
        <w:tc>
          <w:tcPr>
            <w:tcW w:type="dxa" w:w="2340"/>
          </w:tcPr>
          <w:p>
            <w:r>
              <w:rPr>
                <w:sz w:val="18"/>
              </w:rPr>
              <w:t>+332 occupied units</w:t>
            </w:r>
          </w:p>
        </w:tc>
      </w:tr>
      <w:tr>
        <w:tc>
          <w:tcPr>
            <w:tcW w:type="dxa" w:w="2340"/>
          </w:tcPr>
          <w:p>
            <w:r>
              <w:rPr>
                <w:sz w:val="18"/>
              </w:rPr>
              <w:t>Occupancy Adjustment 2050</w:t>
            </w:r>
          </w:p>
        </w:tc>
        <w:tc>
          <w:tcPr>
            <w:tcW w:type="dxa" w:w="2340"/>
          </w:tcPr>
          <w:p>
            <w:r>
              <w:rPr>
                <w:sz w:val="18"/>
              </w:rPr>
              <w:t>None</w:t>
            </w:r>
          </w:p>
        </w:tc>
        <w:tc>
          <w:tcPr>
            <w:tcW w:type="dxa" w:w="2340"/>
          </w:tcPr>
          <w:p>
            <w:r>
              <w:rPr>
                <w:sz w:val="18"/>
              </w:rPr>
              <w:t>None</w:t>
            </w:r>
          </w:p>
        </w:tc>
        <w:tc>
          <w:tcPr>
            <w:tcW w:type="dxa" w:w="2340"/>
          </w:tcPr>
          <w:p>
            <w:r>
              <w:rPr>
                <w:sz w:val="18"/>
              </w:rPr>
              <w:t>+855 occupied units</w:t>
            </w:r>
          </w:p>
        </w:tc>
      </w:tr>
      <w:tr>
        <w:tc>
          <w:tcPr>
            <w:tcW w:type="dxa" w:w="2340"/>
          </w:tcPr>
          <w:p>
            <w:r>
              <w:rPr>
                <w:sz w:val="18"/>
              </w:rPr>
              <w:t>Town Center Employment Add-back</w:t>
            </w:r>
          </w:p>
        </w:tc>
        <w:tc>
          <w:tcPr>
            <w:tcW w:type="dxa" w:w="2340"/>
          </w:tcPr>
          <w:p>
            <w:r>
              <w:rPr>
                <w:sz w:val="18"/>
              </w:rPr>
              <w:t>No</w:t>
            </w:r>
          </w:p>
        </w:tc>
        <w:tc>
          <w:tcPr>
            <w:tcW w:type="dxa" w:w="2340"/>
          </w:tcPr>
          <w:p>
            <w:r>
              <w:rPr>
                <w:sz w:val="18"/>
              </w:rPr>
              <w:t>Yes</w:t>
            </w:r>
          </w:p>
        </w:tc>
        <w:tc>
          <w:tcPr>
            <w:tcW w:type="dxa" w:w="2340"/>
          </w:tcPr>
          <w:p>
            <w:r>
              <w:rPr>
                <w:sz w:val="18"/>
              </w:rPr>
              <w:t>Yes</w:t>
            </w:r>
          </w:p>
        </w:tc>
      </w:tr>
      <w:tr>
        <w:tc>
          <w:tcPr>
            <w:tcW w:type="dxa" w:w="2340"/>
          </w:tcPr>
          <w:p>
            <w:r>
              <w:rPr>
                <w:sz w:val="18"/>
              </w:rPr>
              <w:t>Population Target (2035)</w:t>
            </w:r>
          </w:p>
        </w:tc>
        <w:tc>
          <w:tcPr>
            <w:tcW w:type="dxa" w:w="2340"/>
          </w:tcPr>
          <w:p>
            <w:r>
              <w:rPr>
                <w:sz w:val="18"/>
              </w:rPr>
              <w:t>55,592</w:t>
            </w:r>
          </w:p>
        </w:tc>
        <w:tc>
          <w:tcPr>
            <w:tcW w:type="dxa" w:w="2340"/>
          </w:tcPr>
          <w:p>
            <w:r>
              <w:rPr>
                <w:sz w:val="18"/>
              </w:rPr>
              <w:t>Modeled</w:t>
            </w:r>
          </w:p>
        </w:tc>
        <w:tc>
          <w:tcPr>
            <w:tcW w:type="dxa" w:w="2340"/>
          </w:tcPr>
          <w:p>
            <w:r>
              <w:rPr>
                <w:sz w:val="18"/>
              </w:rPr>
              <w:t>Modeled</w:t>
            </w:r>
          </w:p>
        </w:tc>
      </w:tr>
      <w:tr>
        <w:tc>
          <w:tcPr>
            <w:tcW w:type="dxa" w:w="2340"/>
          </w:tcPr>
          <w:p>
            <w:r>
              <w:rPr>
                <w:sz w:val="18"/>
              </w:rPr>
              <w:t>Population Target (2050)</w:t>
            </w:r>
          </w:p>
        </w:tc>
        <w:tc>
          <w:tcPr>
            <w:tcW w:type="dxa" w:w="2340"/>
          </w:tcPr>
          <w:p>
            <w:r>
              <w:rPr>
                <w:sz w:val="18"/>
              </w:rPr>
              <w:t>57,611</w:t>
            </w:r>
          </w:p>
        </w:tc>
        <w:tc>
          <w:tcPr>
            <w:tcW w:type="dxa" w:w="2340"/>
          </w:tcPr>
          <w:p>
            <w:r>
              <w:rPr>
                <w:sz w:val="18"/>
              </w:rPr>
              <w:t>Modeled</w:t>
            </w:r>
          </w:p>
        </w:tc>
        <w:tc>
          <w:tcPr>
            <w:tcW w:type="dxa" w:w="2340"/>
          </w:tcPr>
          <w:p>
            <w:r>
              <w:rPr>
                <w:sz w:val="18"/>
              </w:rPr>
              <w:t>Modeled</w:t>
            </w:r>
          </w:p>
        </w:tc>
      </w:tr>
      <w:tr>
        <w:tc>
          <w:tcPr>
            <w:tcW w:type="dxa" w:w="2340"/>
          </w:tcPr>
          <w:p>
            <w:r>
              <w:rPr>
                <w:sz w:val="18"/>
              </w:rPr>
              <w:t>MF Share (default / Affordable)</w:t>
            </w:r>
          </w:p>
        </w:tc>
        <w:tc>
          <w:tcPr>
            <w:tcW w:type="dxa" w:w="2340"/>
          </w:tcPr>
          <w:p>
            <w:r>
              <w:rPr>
                <w:sz w:val="18"/>
              </w:rPr>
              <w:t>35% / —</w:t>
            </w:r>
          </w:p>
        </w:tc>
        <w:tc>
          <w:tcPr>
            <w:tcW w:type="dxa" w:w="2340"/>
          </w:tcPr>
          <w:p>
            <w:r>
              <w:rPr>
                <w:sz w:val="18"/>
              </w:rPr>
              <w:t>35% / 100%</w:t>
            </w:r>
          </w:p>
        </w:tc>
        <w:tc>
          <w:tcPr>
            <w:tcW w:type="dxa" w:w="2340"/>
          </w:tcPr>
          <w:p>
            <w:r>
              <w:rPr>
                <w:sz w:val="18"/>
              </w:rPr>
              <w:t>35% / —</w:t>
            </w:r>
          </w:p>
        </w:tc>
      </w:tr>
    </w:tbl>
    <w:p>
      <w:pPr>
        <w:pStyle w:val="Caption"/>
      </w:pPr>
      <w:r>
        <w:t>Table 1: Alternative Descriptions and Key Parameters</w:t>
      </w:r>
    </w:p>
    <w:p w14:paraId="4063F95E" w14:textId="0EACF012" w:rsidR="002C12B8" w:rsidRPr="00F25884" w:rsidRDefault="00DA68D5" w:rsidP="00F25884">
      <w:r w:rsidRPr="001815D6">
        <w:rPr>
          <w:i/>
          <w:highlight w:val="yellow"/>
        </w:rPr>
        <w:t>Residents</w:t>
      </w:r>
      <w:r w:rsidRPr="001815D6">
        <w:rPr>
          <w:highlight w:val="yellow"/>
        </w:rPr>
        <w:t xml:space="preserve">– The forecast projects Lake Tahoe’s </w:t>
      </w:r>
      <w:r w:rsidR="00F354E4" w:rsidRPr="001815D6">
        <w:rPr>
          <w:highlight w:val="yellow"/>
        </w:rPr>
        <w:t>2035</w:t>
      </w:r>
      <w:r w:rsidR="00491268" w:rsidRPr="001815D6">
        <w:rPr>
          <w:highlight w:val="yellow"/>
        </w:rPr>
        <w:t xml:space="preserve"> and 2050</w:t>
      </w:r>
      <w:r w:rsidR="00F354E4" w:rsidRPr="001815D6">
        <w:rPr>
          <w:highlight w:val="yellow"/>
        </w:rPr>
        <w:t xml:space="preserve"> </w:t>
      </w:r>
      <w:r w:rsidRPr="001815D6">
        <w:rPr>
          <w:highlight w:val="yellow"/>
        </w:rPr>
        <w:t xml:space="preserve">full-time residential population to increase slightly. The Region’s population has been steady for the last 10 years, and the </w:t>
      </w:r>
      <w:r w:rsidR="00733588" w:rsidRPr="001815D6">
        <w:rPr>
          <w:highlight w:val="yellow"/>
        </w:rPr>
        <w:t xml:space="preserve">projected </w:t>
      </w:r>
      <w:r w:rsidRPr="001815D6">
        <w:rPr>
          <w:highlight w:val="yellow"/>
        </w:rPr>
        <w:t>slight increase is influenced by a suite of factors. First, the number of regional housing units will increase as residential allocations are distributed and workforce housing/affordable housing programs are implemented using residential bonus units. Second, the residential occupancy rate – the proportion of homes occupied by residents – is expected to increase slightly due to implementation of workforce and affordable housing initiatives as local and regional efforts to increase the housing supply for local residents take effect.</w:t>
      </w:r>
      <w:r w:rsidRPr="00D03A40">
        <w:t xml:space="preserve"> The downward trend in regional population between 2000 and 2010 was likely influenced by the declines in gaming and associated job loss. The precipitous declines in gaming revenues observed in the early part of the century following the opening of casinos in northern California have not continued into the second decade as revenues appear to have stabilized.</w:t>
      </w:r>
    </w:p>
    <w:p w14:paraId="5B4BAEB3" w14:textId="0CE33E15" w:rsidR="00DA68D5" w:rsidRPr="00F25884" w:rsidRDefault="00DA68D5" w:rsidP="00F25884">
      <w:bookmarkStart w:id="4" w:name="_Hlk180092527"/>
      <w:commentRangeStart w:id="5"/>
      <w:r w:rsidRPr="00D03A40">
        <w:t xml:space="preserve">The income distribution of the residential population has shifted significantly in recent years, with more high-income households and fewer low-income households. For the forecast period, with the proposed increase in workforce and affordable housing, TRPA anticipates that the recent upward trends in household income will stabilize; the forecast shows the same distribution of occupied households by household income in 2050 as was observed in 2022. School enrollment will increase slightly as a result of overall population growth, however as census data indicates that the age distribution of Tahoe’s </w:t>
      </w:r>
      <w:r w:rsidRPr="00D03A40">
        <w:lastRenderedPageBreak/>
        <w:t xml:space="preserve">population has increased in recent years, the forecast assumes slightly less of an increase in school enrollment than the overall population increase as the data trends show fewer residents with school-aged children. Employment will also increase as additional Commercial Floor Area (CFA) and Tourist Accommodation Units (TAU) are constructed throughout the </w:t>
      </w:r>
      <w:bookmarkEnd w:id="4"/>
      <w:r w:rsidR="00957952">
        <w:t>r</w:t>
      </w:r>
      <w:r w:rsidRPr="00D03A40">
        <w:t xml:space="preserve">egion. </w:t>
      </w:r>
      <w:commentRangeEnd w:id="5"/>
      <w:r w:rsidR="001815D6" w:rsidRPr="00F25884">
        <w:rPr>
          <w:rStyle w:val="CommentReference"/>
          <w:sz w:val="22"/>
          <w:szCs w:val="22"/>
        </w:rPr>
        <w:commentReference w:id="5"/>
      </w:r>
    </w:p>
    <w:tbl>
      <w:tblPr>
        <w:tblStyle w:val="TableGrid"/>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val="clear" w:color="auto" w:fill="1F3864"/>
          </w:tcPr>
          <w:p>
            <w:r>
              <w:rPr>
                <w:b/>
                <w:color w:val="FFFFFF"/>
                <w:sz w:val="18"/>
              </w:rPr>
              <w:t>Income Category</w:t>
            </w:r>
          </w:p>
        </w:tc>
        <w:tc>
          <w:tcPr>
            <w:tcW w:type="dxa" w:w="1170"/>
            <w:shd w:val="clear" w:color="auto" w:fill="1F3864"/>
          </w:tcPr>
          <w:p>
            <w:r>
              <w:rPr>
                <w:b/>
                <w:color w:val="FFFFFF"/>
                <w:sz w:val="18"/>
              </w:rPr>
              <w:t>Base Year</w:t>
              <w:br/>
              <w:t>(2026)</w:t>
            </w:r>
          </w:p>
        </w:tc>
        <w:tc>
          <w:tcPr>
            <w:tcW w:type="dxa" w:w="1170"/>
            <w:shd w:val="clear" w:color="auto" w:fill="1F3864"/>
          </w:tcPr>
          <w:p>
            <w:r>
              <w:rPr>
                <w:b/>
                <w:color w:val="FFFFFF"/>
                <w:sz w:val="18"/>
              </w:rPr>
              <w:t>Alt 1</w:t>
              <w:br/>
              <w:t>2035</w:t>
            </w:r>
          </w:p>
        </w:tc>
        <w:tc>
          <w:tcPr>
            <w:tcW w:type="dxa" w:w="1170"/>
            <w:shd w:val="clear" w:color="auto" w:fill="1F3864"/>
          </w:tcPr>
          <w:p>
            <w:r>
              <w:rPr>
                <w:b/>
                <w:color w:val="FFFFFF"/>
                <w:sz w:val="18"/>
              </w:rPr>
              <w:t>Alt 1</w:t>
              <w:br/>
              <w:t>2050</w:t>
            </w:r>
          </w:p>
        </w:tc>
        <w:tc>
          <w:tcPr>
            <w:tcW w:type="dxa" w:w="1170"/>
            <w:shd w:val="clear" w:color="auto" w:fill="1F3864"/>
          </w:tcPr>
          <w:p>
            <w:r>
              <w:rPr>
                <w:b/>
                <w:color w:val="FFFFFF"/>
                <w:sz w:val="18"/>
              </w:rPr>
              <w:t>Alt 2</w:t>
              <w:br/>
              <w:t>2035</w:t>
            </w:r>
          </w:p>
        </w:tc>
        <w:tc>
          <w:tcPr>
            <w:tcW w:type="dxa" w:w="1170"/>
            <w:shd w:val="clear" w:color="auto" w:fill="1F3864"/>
          </w:tcPr>
          <w:p>
            <w:r>
              <w:rPr>
                <w:b/>
                <w:color w:val="FFFFFF"/>
                <w:sz w:val="18"/>
              </w:rPr>
              <w:t>Alt 2</w:t>
              <w:br/>
              <w:t>2050</w:t>
            </w:r>
          </w:p>
        </w:tc>
        <w:tc>
          <w:tcPr>
            <w:tcW w:type="dxa" w:w="1170"/>
            <w:shd w:val="clear" w:color="auto" w:fill="1F3864"/>
          </w:tcPr>
          <w:p>
            <w:r>
              <w:rPr>
                <w:b/>
                <w:color w:val="FFFFFF"/>
                <w:sz w:val="18"/>
              </w:rPr>
              <w:t>Alt 3</w:t>
              <w:br/>
              <w:t>2035</w:t>
            </w:r>
          </w:p>
        </w:tc>
        <w:tc>
          <w:tcPr>
            <w:tcW w:type="dxa" w:w="1170"/>
            <w:shd w:val="clear" w:color="auto" w:fill="1F3864"/>
          </w:tcPr>
          <w:p>
            <w:r>
              <w:rPr>
                <w:b/>
                <w:color w:val="FFFFFF"/>
                <w:sz w:val="18"/>
              </w:rPr>
              <w:t>Alt 3</w:t>
              <w:br/>
              <w:t>2050</w:t>
            </w:r>
          </w:p>
        </w:tc>
      </w:tr>
      <w:tr>
        <w:tc>
          <w:tcPr>
            <w:tcW w:type="dxa" w:w="1170"/>
          </w:tcPr>
          <w:p>
            <w:r>
              <w:rPr>
                <w:sz w:val="18"/>
              </w:rPr>
              <w:t>Low Income Occ. Units</w:t>
            </w:r>
          </w:p>
        </w:tc>
        <w:tc>
          <w:tcPr>
            <w:tcW w:type="dxa" w:w="1170"/>
          </w:tcPr>
          <w:p>
            <w:r>
              <w:rPr>
                <w:sz w:val="18"/>
              </w:rPr>
              <w:t>9,929</w:t>
            </w:r>
          </w:p>
        </w:tc>
        <w:tc>
          <w:tcPr>
            <w:tcW w:type="dxa" w:w="1170"/>
          </w:tcPr>
          <w:p>
            <w:r>
              <w:rPr>
                <w:sz w:val="18"/>
              </w:rPr>
              <w:t>10,563</w:t>
            </w:r>
          </w:p>
        </w:tc>
        <w:tc>
          <w:tcPr>
            <w:tcW w:type="dxa" w:w="1170"/>
          </w:tcPr>
          <w:p>
            <w:r>
              <w:rPr>
                <w:sz w:val="18"/>
              </w:rPr>
              <w:t>11,441</w:t>
            </w:r>
          </w:p>
        </w:tc>
        <w:tc>
          <w:tcPr>
            <w:tcW w:type="dxa" w:w="1170"/>
          </w:tcPr>
          <w:p>
            <w:r>
              <w:rPr>
                <w:sz w:val="18"/>
              </w:rPr>
              <w:t>10,709</w:t>
            </w:r>
          </w:p>
        </w:tc>
        <w:tc>
          <w:tcPr>
            <w:tcW w:type="dxa" w:w="1170"/>
          </w:tcPr>
          <w:p>
            <w:r>
              <w:rPr>
                <w:sz w:val="18"/>
              </w:rPr>
              <w:t>11,650</w:t>
            </w:r>
          </w:p>
        </w:tc>
        <w:tc>
          <w:tcPr>
            <w:tcW w:type="dxa" w:w="1170"/>
          </w:tcPr>
          <w:p>
            <w:r>
              <w:rPr>
                <w:sz w:val="18"/>
              </w:rPr>
              <w:t>10,563</w:t>
            </w:r>
          </w:p>
        </w:tc>
        <w:tc>
          <w:tcPr>
            <w:tcW w:type="dxa" w:w="1170"/>
          </w:tcPr>
          <w:p>
            <w:r>
              <w:rPr>
                <w:sz w:val="18"/>
              </w:rPr>
              <w:t>11,441</w:t>
            </w:r>
          </w:p>
        </w:tc>
      </w:tr>
      <w:tr>
        <w:tc>
          <w:tcPr>
            <w:tcW w:type="dxa" w:w="1170"/>
          </w:tcPr>
          <w:p>
            <w:r>
              <w:rPr>
                <w:sz w:val="18"/>
              </w:rPr>
              <w:t>Medium Income Occ. Units</w:t>
            </w:r>
          </w:p>
        </w:tc>
        <w:tc>
          <w:tcPr>
            <w:tcW w:type="dxa" w:w="1170"/>
          </w:tcPr>
          <w:p>
            <w:r>
              <w:rPr>
                <w:sz w:val="18"/>
              </w:rPr>
              <w:t>4,838</w:t>
            </w:r>
          </w:p>
        </w:tc>
        <w:tc>
          <w:tcPr>
            <w:tcW w:type="dxa" w:w="1170"/>
          </w:tcPr>
          <w:p>
            <w:r>
              <w:rPr>
                <w:sz w:val="18"/>
              </w:rPr>
              <w:t>4,889</w:t>
            </w:r>
          </w:p>
        </w:tc>
        <w:tc>
          <w:tcPr>
            <w:tcW w:type="dxa" w:w="1170"/>
          </w:tcPr>
          <w:p>
            <w:r>
              <w:rPr>
                <w:sz w:val="18"/>
              </w:rPr>
              <w:t>5,142</w:t>
            </w:r>
          </w:p>
        </w:tc>
        <w:tc>
          <w:tcPr>
            <w:tcW w:type="dxa" w:w="1170"/>
          </w:tcPr>
          <w:p>
            <w:r>
              <w:rPr>
                <w:sz w:val="18"/>
              </w:rPr>
              <w:t>4,952</w:t>
            </w:r>
          </w:p>
        </w:tc>
        <w:tc>
          <w:tcPr>
            <w:tcW w:type="dxa" w:w="1170"/>
          </w:tcPr>
          <w:p>
            <w:r>
              <w:rPr>
                <w:sz w:val="18"/>
              </w:rPr>
              <w:t>5,607</w:t>
            </w:r>
          </w:p>
        </w:tc>
        <w:tc>
          <w:tcPr>
            <w:tcW w:type="dxa" w:w="1170"/>
          </w:tcPr>
          <w:p>
            <w:r>
              <w:rPr>
                <w:sz w:val="18"/>
              </w:rPr>
              <w:t>5,042</w:t>
            </w:r>
          </w:p>
        </w:tc>
        <w:tc>
          <w:tcPr>
            <w:tcW w:type="dxa" w:w="1170"/>
          </w:tcPr>
          <w:p>
            <w:r>
              <w:rPr>
                <w:sz w:val="18"/>
              </w:rPr>
              <w:t>5,556</w:t>
            </w:r>
          </w:p>
        </w:tc>
      </w:tr>
      <w:tr>
        <w:tc>
          <w:tcPr>
            <w:tcW w:type="dxa" w:w="1170"/>
          </w:tcPr>
          <w:p>
            <w:r>
              <w:rPr>
                <w:sz w:val="18"/>
              </w:rPr>
              <w:t>High Income Occ. Units</w:t>
            </w:r>
          </w:p>
        </w:tc>
        <w:tc>
          <w:tcPr>
            <w:tcW w:type="dxa" w:w="1170"/>
          </w:tcPr>
          <w:p>
            <w:r>
              <w:rPr>
                <w:sz w:val="18"/>
              </w:rPr>
              <w:t>8,881</w:t>
            </w:r>
          </w:p>
        </w:tc>
        <w:tc>
          <w:tcPr>
            <w:tcW w:type="dxa" w:w="1170"/>
          </w:tcPr>
          <w:p>
            <w:r>
              <w:rPr>
                <w:sz w:val="18"/>
              </w:rPr>
              <w:t>9,235</w:t>
            </w:r>
          </w:p>
        </w:tc>
        <w:tc>
          <w:tcPr>
            <w:tcW w:type="dxa" w:w="1170"/>
          </w:tcPr>
          <w:p>
            <w:r>
              <w:rPr>
                <w:sz w:val="18"/>
              </w:rPr>
              <w:t>9,924</w:t>
            </w:r>
          </w:p>
        </w:tc>
        <w:tc>
          <w:tcPr>
            <w:tcW w:type="dxa" w:w="1170"/>
          </w:tcPr>
          <w:p>
            <w:r>
              <w:rPr>
                <w:sz w:val="18"/>
              </w:rPr>
              <w:t>9,336</w:t>
            </w:r>
          </w:p>
        </w:tc>
        <w:tc>
          <w:tcPr>
            <w:tcW w:type="dxa" w:w="1170"/>
          </w:tcPr>
          <w:p>
            <w:r>
              <w:rPr>
                <w:sz w:val="18"/>
              </w:rPr>
              <w:t>10,493</w:t>
            </w:r>
          </w:p>
        </w:tc>
        <w:tc>
          <w:tcPr>
            <w:tcW w:type="dxa" w:w="1170"/>
          </w:tcPr>
          <w:p>
            <w:r>
              <w:rPr>
                <w:sz w:val="18"/>
              </w:rPr>
              <w:t>9,414</w:t>
            </w:r>
          </w:p>
        </w:tc>
        <w:tc>
          <w:tcPr>
            <w:tcW w:type="dxa" w:w="1170"/>
          </w:tcPr>
          <w:p>
            <w:r>
              <w:rPr>
                <w:sz w:val="18"/>
              </w:rPr>
              <w:t>10,365</w:t>
            </w:r>
          </w:p>
        </w:tc>
      </w:tr>
      <w:tr>
        <w:tc>
          <w:tcPr>
            <w:tcW w:type="dxa" w:w="1170"/>
          </w:tcPr>
          <w:p>
            <w:r>
              <w:rPr>
                <w:sz w:val="18"/>
              </w:rPr>
              <w:t>Total Occupied Units</w:t>
            </w:r>
          </w:p>
        </w:tc>
        <w:tc>
          <w:tcPr>
            <w:tcW w:type="dxa" w:w="1170"/>
          </w:tcPr>
          <w:p>
            <w:r>
              <w:rPr>
                <w:sz w:val="18"/>
              </w:rPr>
              <w:t>23,655</w:t>
            </w:r>
          </w:p>
        </w:tc>
        <w:tc>
          <w:tcPr>
            <w:tcW w:type="dxa" w:w="1170"/>
          </w:tcPr>
          <w:p>
            <w:r>
              <w:rPr>
                <w:sz w:val="18"/>
              </w:rPr>
              <w:t>24,687</w:t>
            </w:r>
          </w:p>
        </w:tc>
        <w:tc>
          <w:tcPr>
            <w:tcW w:type="dxa" w:w="1170"/>
          </w:tcPr>
          <w:p>
            <w:r>
              <w:rPr>
                <w:sz w:val="18"/>
              </w:rPr>
              <w:t>26,507</w:t>
            </w:r>
          </w:p>
        </w:tc>
        <w:tc>
          <w:tcPr>
            <w:tcW w:type="dxa" w:w="1170"/>
          </w:tcPr>
          <w:p>
            <w:r>
              <w:rPr>
                <w:sz w:val="18"/>
              </w:rPr>
              <w:t>24,997</w:t>
            </w:r>
          </w:p>
        </w:tc>
        <w:tc>
          <w:tcPr>
            <w:tcW w:type="dxa" w:w="1170"/>
          </w:tcPr>
          <w:p>
            <w:r>
              <w:rPr>
                <w:sz w:val="18"/>
              </w:rPr>
              <w:t>27,750</w:t>
            </w:r>
          </w:p>
        </w:tc>
        <w:tc>
          <w:tcPr>
            <w:tcW w:type="dxa" w:w="1170"/>
          </w:tcPr>
          <w:p>
            <w:r>
              <w:rPr>
                <w:sz w:val="18"/>
              </w:rPr>
              <w:t>25,019</w:t>
            </w:r>
          </w:p>
        </w:tc>
        <w:tc>
          <w:tcPr>
            <w:tcW w:type="dxa" w:w="1170"/>
          </w:tcPr>
          <w:p>
            <w:r>
              <w:rPr>
                <w:sz w:val="18"/>
              </w:rPr>
              <w:t>27,362</w:t>
            </w:r>
          </w:p>
        </w:tc>
      </w:tr>
      <w:tr>
        <w:tc>
          <w:tcPr>
            <w:tcW w:type="dxa" w:w="1170"/>
          </w:tcPr>
          <w:p>
            <w:r>
              <w:rPr>
                <w:sz w:val="18"/>
              </w:rPr>
              <w:t>Low Income Share</w:t>
            </w:r>
          </w:p>
        </w:tc>
        <w:tc>
          <w:tcPr>
            <w:tcW w:type="dxa" w:w="1170"/>
          </w:tcPr>
          <w:p>
            <w:r>
              <w:rPr>
                <w:sz w:val="18"/>
              </w:rPr>
              <w:t>42.0%</w:t>
            </w:r>
          </w:p>
        </w:tc>
        <w:tc>
          <w:tcPr>
            <w:tcW w:type="dxa" w:w="1170"/>
          </w:tcPr>
          <w:p>
            <w:r>
              <w:rPr>
                <w:sz w:val="18"/>
              </w:rPr>
              <w:t>42.8%</w:t>
            </w:r>
          </w:p>
        </w:tc>
        <w:tc>
          <w:tcPr>
            <w:tcW w:type="dxa" w:w="1170"/>
          </w:tcPr>
          <w:p>
            <w:r>
              <w:rPr>
                <w:sz w:val="18"/>
              </w:rPr>
              <w:t>43.2%</w:t>
            </w:r>
          </w:p>
        </w:tc>
        <w:tc>
          <w:tcPr>
            <w:tcW w:type="dxa" w:w="1170"/>
          </w:tcPr>
          <w:p>
            <w:r>
              <w:rPr>
                <w:sz w:val="18"/>
              </w:rPr>
              <w:t>42.8%</w:t>
            </w:r>
          </w:p>
        </w:tc>
        <w:tc>
          <w:tcPr>
            <w:tcW w:type="dxa" w:w="1170"/>
          </w:tcPr>
          <w:p>
            <w:r>
              <w:rPr>
                <w:sz w:val="18"/>
              </w:rPr>
              <w:t>42.0%</w:t>
            </w:r>
          </w:p>
        </w:tc>
        <w:tc>
          <w:tcPr>
            <w:tcW w:type="dxa" w:w="1170"/>
          </w:tcPr>
          <w:p>
            <w:r>
              <w:rPr>
                <w:sz w:val="18"/>
              </w:rPr>
              <w:t>42.2%</w:t>
            </w:r>
          </w:p>
        </w:tc>
        <w:tc>
          <w:tcPr>
            <w:tcW w:type="dxa" w:w="1170"/>
          </w:tcPr>
          <w:p>
            <w:r>
              <w:rPr>
                <w:sz w:val="18"/>
              </w:rPr>
              <w:t>41.8%</w:t>
            </w:r>
          </w:p>
        </w:tc>
      </w:tr>
      <w:tr>
        <w:tc>
          <w:tcPr>
            <w:tcW w:type="dxa" w:w="1170"/>
          </w:tcPr>
          <w:p>
            <w:r>
              <w:rPr>
                <w:sz w:val="18"/>
              </w:rPr>
              <w:t>Medium Income Share</w:t>
            </w:r>
          </w:p>
        </w:tc>
        <w:tc>
          <w:tcPr>
            <w:tcW w:type="dxa" w:w="1170"/>
          </w:tcPr>
          <w:p>
            <w:r>
              <w:rPr>
                <w:sz w:val="18"/>
              </w:rPr>
              <w:t>20.5%</w:t>
            </w:r>
          </w:p>
        </w:tc>
        <w:tc>
          <w:tcPr>
            <w:tcW w:type="dxa" w:w="1170"/>
          </w:tcPr>
          <w:p>
            <w:r>
              <w:rPr>
                <w:sz w:val="18"/>
              </w:rPr>
              <w:t>19.8%</w:t>
            </w:r>
          </w:p>
        </w:tc>
        <w:tc>
          <w:tcPr>
            <w:tcW w:type="dxa" w:w="1170"/>
          </w:tcPr>
          <w:p>
            <w:r>
              <w:rPr>
                <w:sz w:val="18"/>
              </w:rPr>
              <w:t>19.4%</w:t>
            </w:r>
          </w:p>
        </w:tc>
        <w:tc>
          <w:tcPr>
            <w:tcW w:type="dxa" w:w="1170"/>
          </w:tcPr>
          <w:p>
            <w:r>
              <w:rPr>
                <w:sz w:val="18"/>
              </w:rPr>
              <w:t>19.8%</w:t>
            </w:r>
          </w:p>
        </w:tc>
        <w:tc>
          <w:tcPr>
            <w:tcW w:type="dxa" w:w="1170"/>
          </w:tcPr>
          <w:p>
            <w:r>
              <w:rPr>
                <w:sz w:val="18"/>
              </w:rPr>
              <w:t>20.2%</w:t>
            </w:r>
          </w:p>
        </w:tc>
        <w:tc>
          <w:tcPr>
            <w:tcW w:type="dxa" w:w="1170"/>
          </w:tcPr>
          <w:p>
            <w:r>
              <w:rPr>
                <w:sz w:val="18"/>
              </w:rPr>
              <w:t>20.2%</w:t>
            </w:r>
          </w:p>
        </w:tc>
        <w:tc>
          <w:tcPr>
            <w:tcW w:type="dxa" w:w="1170"/>
          </w:tcPr>
          <w:p>
            <w:r>
              <w:rPr>
                <w:sz w:val="18"/>
              </w:rPr>
              <w:t>20.3%</w:t>
            </w:r>
          </w:p>
        </w:tc>
      </w:tr>
      <w:tr>
        <w:tc>
          <w:tcPr>
            <w:tcW w:type="dxa" w:w="1170"/>
          </w:tcPr>
          <w:p>
            <w:r>
              <w:rPr>
                <w:sz w:val="18"/>
              </w:rPr>
              <w:t>High Income Share</w:t>
            </w:r>
          </w:p>
        </w:tc>
        <w:tc>
          <w:tcPr>
            <w:tcW w:type="dxa" w:w="1170"/>
          </w:tcPr>
          <w:p>
            <w:r>
              <w:rPr>
                <w:sz w:val="18"/>
              </w:rPr>
              <w:t>37.5%</w:t>
            </w:r>
          </w:p>
        </w:tc>
        <w:tc>
          <w:tcPr>
            <w:tcW w:type="dxa" w:w="1170"/>
          </w:tcPr>
          <w:p>
            <w:r>
              <w:rPr>
                <w:sz w:val="18"/>
              </w:rPr>
              <w:t>37.4%</w:t>
            </w:r>
          </w:p>
        </w:tc>
        <w:tc>
          <w:tcPr>
            <w:tcW w:type="dxa" w:w="1170"/>
          </w:tcPr>
          <w:p>
            <w:r>
              <w:rPr>
                <w:sz w:val="18"/>
              </w:rPr>
              <w:t>37.4%</w:t>
            </w:r>
          </w:p>
        </w:tc>
        <w:tc>
          <w:tcPr>
            <w:tcW w:type="dxa" w:w="1170"/>
          </w:tcPr>
          <w:p>
            <w:r>
              <w:rPr>
                <w:sz w:val="18"/>
              </w:rPr>
              <w:t>37.3%</w:t>
            </w:r>
          </w:p>
        </w:tc>
        <w:tc>
          <w:tcPr>
            <w:tcW w:type="dxa" w:w="1170"/>
          </w:tcPr>
          <w:p>
            <w:r>
              <w:rPr>
                <w:sz w:val="18"/>
              </w:rPr>
              <w:t>37.8%</w:t>
            </w:r>
          </w:p>
        </w:tc>
        <w:tc>
          <w:tcPr>
            <w:tcW w:type="dxa" w:w="1170"/>
          </w:tcPr>
          <w:p>
            <w:r>
              <w:rPr>
                <w:sz w:val="18"/>
              </w:rPr>
              <w:t>37.6%</w:t>
            </w:r>
          </w:p>
        </w:tc>
        <w:tc>
          <w:tcPr>
            <w:tcW w:type="dxa" w:w="1170"/>
          </w:tcPr>
          <w:p>
            <w:r>
              <w:rPr>
                <w:sz w:val="18"/>
              </w:rPr>
              <w:t>37.9%</w:t>
            </w:r>
          </w:p>
        </w:tc>
      </w:tr>
    </w:tbl>
    <w:p>
      <w:pPr>
        <w:pStyle w:val="Caption"/>
      </w:pPr>
      <w:r>
        <w:t>Table: Occupied Unit Income Distribution by Alternative</w:t>
      </w:r>
    </w:p>
    <w:p w14:paraId="76291913" w14:textId="36499EBC" w:rsidR="00DA68D5" w:rsidRPr="00C72649" w:rsidRDefault="000D1F78">
      <w:commentRangeStart w:id="6"/>
      <w:r>
        <w:rPr>
          <w:noProof/>
        </w:rPr>
        <w:drawing>
          <wp:anchor distT="0" distB="0" distL="114300" distR="114300" simplePos="0" relativeHeight="251658241" behindDoc="0" locked="0" layoutInCell="1" allowOverlap="1" wp14:anchorId="17C0A8CE" wp14:editId="72789321">
            <wp:simplePos x="0" y="0"/>
            <wp:positionH relativeFrom="column">
              <wp:posOffset>1790700</wp:posOffset>
            </wp:positionH>
            <wp:positionV relativeFrom="paragraph">
              <wp:posOffset>687070</wp:posOffset>
            </wp:positionV>
            <wp:extent cx="4067175" cy="6401578"/>
            <wp:effectExtent l="0" t="0" r="0" b="0"/>
            <wp:wrapSquare wrapText="bothSides"/>
            <wp:docPr id="36512627" name="Picture 1" descr="A screenshot of a data&#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5">
                      <a:extLst>
                        <a:ext uri="{28A0092B-C50C-407E-A947-70E740481C1C}">
                          <a14:useLocalDpi xmlns:a14="http://schemas.microsoft.com/office/drawing/2010/main" val="0"/>
                        </a:ext>
                      </a:extLst>
                    </a:blip>
                    <a:stretch>
                      <a:fillRect/>
                    </a:stretch>
                  </pic:blipFill>
                  <pic:spPr>
                    <a:xfrm>
                      <a:off x="0" y="0"/>
                      <a:ext cx="4067175" cy="6401578"/>
                    </a:xfrm>
                    <a:prstGeom prst="rect">
                      <a:avLst/>
                    </a:prstGeom>
                  </pic:spPr>
                </pic:pic>
              </a:graphicData>
            </a:graphic>
            <wp14:sizeRelH relativeFrom="page">
              <wp14:pctWidth>0</wp14:pctWidth>
            </wp14:sizeRelH>
            <wp14:sizeRelV relativeFrom="page">
              <wp14:pctHeight>0</wp14:pctHeight>
            </wp14:sizeRelV>
          </wp:anchor>
        </w:drawing>
      </w:r>
      <w:commentRangeEnd w:id="6"/>
      <w:r w:rsidR="001815D6" w:rsidRPr="20A6508D">
        <w:rPr>
          <w:rStyle w:val="CommentReference"/>
          <w:i/>
          <w:sz w:val="22"/>
          <w:szCs w:val="22"/>
        </w:rPr>
        <w:commentReference w:id="6"/>
      </w:r>
      <w:r w:rsidR="00DA68D5" w:rsidRPr="20A6508D">
        <w:rPr>
          <w:i/>
        </w:rPr>
        <w:t>Visitation</w:t>
      </w:r>
      <w:r w:rsidR="00DA68D5" w:rsidRPr="77ABC10C">
        <w:t xml:space="preserve"> – The forecast projects slight growth in both day and overnight visitation. This forecasted increase is based upon the projected population growth in the mega-region (Bay Area/Sacramento/Reno), and the recovery to pre-Covid occupancy rates at hotels. This increase in visitation will result in an increase in the number of occupied overnight lodging units and short-term rentals. The forecast assumes a return to pre-Covid occupancy rates for seasonal homes. These rates have increased during the past couple of years with increased remote work opportunities during the pandemic. However, recent data suggests that workers are returning (or being required to return) to their offices more frequently, so </w:t>
      </w:r>
      <w:r w:rsidR="0023550E" w:rsidRPr="77ABC10C">
        <w:t xml:space="preserve">the </w:t>
      </w:r>
      <w:r w:rsidR="00DA68D5" w:rsidRPr="77ABC10C">
        <w:t xml:space="preserve">second home occupancy rate </w:t>
      </w:r>
      <w:r w:rsidR="0023550E" w:rsidRPr="77ABC10C">
        <w:t>was reduced to</w:t>
      </w:r>
      <w:r w:rsidR="00DA68D5" w:rsidRPr="77ABC10C">
        <w:t xml:space="preserve"> 2018 levels.</w:t>
      </w:r>
    </w:p>
    <w:p w14:paraId="724C5AEC" w14:textId="00541F83" w:rsidR="006A7DE3" w:rsidRPr="00D03A40" w:rsidRDefault="006A7DE3">
      <w:pPr>
        <w:rPr>
          <w:rFonts w:eastAsia="Times New Roman" w:cstheme="minorHAnsi"/>
          <w:b/>
          <w:bCs/>
          <w:sz w:val="28"/>
          <w:szCs w:val="28"/>
        </w:rPr>
      </w:pPr>
      <w:r w:rsidRPr="00D03A40">
        <w:rPr>
          <w:rFonts w:eastAsia="Times New Roman" w:cstheme="minorHAnsi"/>
          <w:b/>
          <w:bCs/>
          <w:sz w:val="28"/>
          <w:szCs w:val="28"/>
        </w:rPr>
        <w:br w:type="page"/>
      </w:r>
    </w:p>
    <w:p w14:paraId="5A65E7FB" w14:textId="08BA689F" w:rsidR="0056018C" w:rsidRPr="00D03A40" w:rsidRDefault="000D6F38" w:rsidP="000D1F78">
      <w:pPr>
        <w:pStyle w:val="Heading3"/>
        <w:rPr>
          <w:rFonts w:eastAsia="Times New Roman" w:cstheme="minorHAnsi"/>
          <w:b w:val="0"/>
          <w:bCs/>
          <w:szCs w:val="28"/>
        </w:rPr>
      </w:pPr>
      <w:r w:rsidRPr="00D03A40">
        <w:rPr>
          <w:rFonts w:eastAsia="Times New Roman"/>
        </w:rPr>
        <w:lastRenderedPageBreak/>
        <w:t>Forecast Methodology</w:t>
      </w:r>
    </w:p>
    <w:p w14:paraId="744576B8" w14:textId="0BB88E3A" w:rsidR="004443D1" w:rsidRPr="001815D6" w:rsidRDefault="00173E66" w:rsidP="000D1F78">
      <w:pPr>
        <w:rPr>
          <w:highlight w:val="yellow"/>
        </w:rPr>
      </w:pPr>
      <w:commentRangeStart w:id="7"/>
      <w:r w:rsidRPr="001815D6">
        <w:rPr>
          <w:highlight w:val="yellow"/>
        </w:rPr>
        <w:t>The overall approach to forecast development was to apply the best available information and data.</w:t>
      </w:r>
      <w:commentRangeEnd w:id="7"/>
      <w:r w:rsidR="001815D6" w:rsidRPr="001815D6">
        <w:rPr>
          <w:rStyle w:val="CommentReference"/>
          <w:sz w:val="22"/>
          <w:szCs w:val="22"/>
          <w:highlight w:val="yellow"/>
        </w:rPr>
        <w:commentReference w:id="7"/>
      </w:r>
      <w:r w:rsidRPr="001815D6">
        <w:rPr>
          <w:highlight w:val="yellow"/>
        </w:rPr>
        <w:t xml:space="preserve"> The development rate forecast was informed by a review of historical development rates, and an assessment of the performance of past forecasts. The forecast differs from past forecasts in at least two ways: </w:t>
      </w:r>
    </w:p>
    <w:p w14:paraId="1C09AF66" w14:textId="77777777" w:rsidR="000D1F78" w:rsidRPr="001815D6" w:rsidRDefault="00173E66" w:rsidP="00842940">
      <w:pPr>
        <w:pStyle w:val="ListParagraph"/>
        <w:numPr>
          <w:ilvl w:val="0"/>
          <w:numId w:val="11"/>
        </w:numPr>
        <w:rPr>
          <w:highlight w:val="yellow"/>
        </w:rPr>
      </w:pPr>
      <w:r w:rsidRPr="001815D6">
        <w:rPr>
          <w:highlight w:val="yellow"/>
        </w:rPr>
        <w:t>More rational development rates – Prior forecasts have generally assumed that full build out of the Region would occur. Historic development rates have not kept pace with those forecasts (additional detail on observed rates is available in the data trends appendix). This forecast refines past methodologies by placing greater weight on observed development rates.</w:t>
      </w:r>
    </w:p>
    <w:p w14:paraId="5C440A04" w14:textId="515098FB" w:rsidR="00173E66" w:rsidRPr="001815D6" w:rsidRDefault="00173E66" w:rsidP="00842940">
      <w:pPr>
        <w:pStyle w:val="ListParagraph"/>
        <w:numPr>
          <w:ilvl w:val="0"/>
          <w:numId w:val="11"/>
        </w:numPr>
        <w:rPr>
          <w:highlight w:val="yellow"/>
        </w:rPr>
      </w:pPr>
      <w:r w:rsidRPr="001815D6">
        <w:rPr>
          <w:highlight w:val="yellow"/>
        </w:rPr>
        <w:t>Development rights system -</w:t>
      </w:r>
      <w:r w:rsidRPr="001815D6" w:rsidDel="005B1FE5">
        <w:rPr>
          <w:highlight w:val="yellow"/>
        </w:rPr>
        <w:t xml:space="preserve"> </w:t>
      </w:r>
      <w:r w:rsidRPr="001815D6">
        <w:rPr>
          <w:highlight w:val="yellow"/>
        </w:rPr>
        <w:t xml:space="preserve">significant changes were made to the development rights system to accelerate the attainment of threshold standards and Regional Plan goals and policies. The changes enable easier conversion between types and facilitate the attainment of state housing mandates. </w:t>
      </w:r>
    </w:p>
    <w:p w14:paraId="394126FA" w14:textId="68693807" w:rsidR="00173E66" w:rsidRPr="00D03A40" w:rsidRDefault="00173E66" w:rsidP="000D1F78">
      <w:r w:rsidRPr="001815D6">
        <w:rPr>
          <w:highlight w:val="yellow"/>
        </w:rPr>
        <w:t>The forecasts contained in this document represent a realistic view of the continued build out of the Lake Tahoe Regional Plan. Prior forecasts by TRPA had projected significantly faster growth and a faster consumption of the remaining development rights. The annual rate of consumption for commercial floor area and tourist accommodation units were adjusted to align with observed trends since the adoption of the 2012 Regional Plan update</w:t>
      </w:r>
      <w:r w:rsidR="002C12B8" w:rsidRPr="001815D6">
        <w:rPr>
          <w:highlight w:val="yellow"/>
        </w:rPr>
        <w:t xml:space="preserve">. </w:t>
      </w:r>
      <w:r w:rsidRPr="001815D6">
        <w:rPr>
          <w:highlight w:val="yellow"/>
        </w:rPr>
        <w:t>Additionally, the forecast assumes that not all the remaining development potential for commercial floor area and tourist accommodation units will be constructed by 2050.</w:t>
      </w:r>
      <w:r w:rsidRPr="00D03A40">
        <w:t xml:space="preserve"> </w:t>
      </w:r>
    </w:p>
    <w:p w14:paraId="13811166" w14:textId="77777777" w:rsidR="00173E66" w:rsidRPr="00D03A40" w:rsidRDefault="00173E66" w:rsidP="00BB6C26">
      <w:pPr>
        <w:pStyle w:val="Heading4"/>
      </w:pPr>
      <w:r w:rsidRPr="00D03A40">
        <w:t xml:space="preserve">Residential </w:t>
      </w:r>
      <w:r w:rsidRPr="00C55AC2">
        <w:t>Units</w:t>
      </w:r>
      <w:r w:rsidRPr="00D03A40">
        <w:t xml:space="preserve"> </w:t>
      </w:r>
    </w:p>
    <w:p w14:paraId="68402DEA" w14:textId="676880DC" w:rsidR="00173E66" w:rsidRPr="001815D6" w:rsidRDefault="00173E66" w:rsidP="000D1F78">
      <w:pPr>
        <w:rPr>
          <w:rFonts w:eastAsia="Calibri"/>
          <w:highlight w:val="yellow"/>
        </w:rPr>
      </w:pPr>
      <w:r w:rsidRPr="001815D6">
        <w:rPr>
          <w:highlight w:val="yellow"/>
        </w:rPr>
        <w:t xml:space="preserve">There are currently 49,950 residential units in the Region (based on TRPA records); according to the occupancy rates published by the U.S. Census Bureau 2022 American Community Survey (ACS) applied to 2026 parcel data, an estimated 23,655 residential units (47%) are occupied by full-time residents and 26,295 units (53%) are not occupied by full-time residents . Approximately 20% of existing residential units in the region are multi-family units (approximately 9,885 units) and 80% of existing units (39,539) are single-family units. By 2050, between 4,247 and 5,485 additional units are expected to be constructed depending on the alternative, bringing the total number of residential units to between 54,197 and 55,435. This includes the construction of additional single-family and multi-family residential units distributed per zone proportions (default 50% SF, 35% MF, 15% infill); Alternative 2 has a higher multi-family share due to Affordable pool units (100% multi-family). Forecasts of residential projects in the California jurisdictions are sufficient to accommodate the Regional Housing Needs Assessment (RHNA) Cycle 5 (2013-2021) and Cycle 6 (2022-2031). However, local housing needs assessments have identified a greater number of affordable and workforce housing units needed beyond what the forecast assumes will be newly constructed and occupied. The conversion of existing housing from market rate to workforce or affordable housing would also be required to fully meet the housing needs identified. </w:t>
      </w:r>
      <w:sdt>
        <w:sdtPr>
          <w:rPr>
            <w:highlight w:val="yellow"/>
          </w:rPr>
          <w:id w:val="1785470326"/>
          <w:citation/>
        </w:sdtPr>
        <w:sdtContent>
          <w:r w:rsidR="00C610A7" w:rsidRPr="001815D6">
            <w:rPr>
              <w:highlight w:val="yellow"/>
            </w:rPr>
            <w:fldChar w:fldCharType="begin"/>
          </w:r>
          <w:r w:rsidR="00C610A7" w:rsidRPr="001815D6">
            <w:rPr>
              <w:highlight w:val="yellow"/>
            </w:rPr>
            <w:instrText xml:space="preserve"> CITATION USD22 \l 1033 </w:instrText>
          </w:r>
          <w:r w:rsidR="00C610A7" w:rsidRPr="001815D6">
            <w:rPr>
              <w:highlight w:val="yellow"/>
            </w:rPr>
            <w:fldChar w:fldCharType="separate"/>
          </w:r>
          <w:r w:rsidR="00C610A7" w:rsidRPr="001815D6">
            <w:rPr>
              <w:highlight w:val="yellow"/>
            </w:rPr>
            <w:t>(U.S. Department of Commerce, 2022)</w:t>
          </w:r>
          <w:r w:rsidR="00C610A7" w:rsidRPr="001815D6">
            <w:rPr>
              <w:highlight w:val="yellow"/>
            </w:rPr>
            <w:fldChar w:fldCharType="end"/>
          </w:r>
        </w:sdtContent>
      </w:sdt>
      <w:r w:rsidRPr="001815D6">
        <w:rPr>
          <w:highlight w:val="yellow"/>
        </w:rPr>
      </w:r>
      <w:r w:rsidRPr="001815D6">
        <w:rPr>
          <w:rFonts w:eastAsia="Times New Roman"/>
          <w:color w:val="000000" w:themeColor="text1"/>
          <w:highlight w:val="yellow"/>
        </w:rPr>
      </w:r>
      <w:r w:rsidRPr="001815D6">
        <w:rPr>
          <w:highlight w:val="yellow"/>
        </w:rPr>
      </w:r>
      <w:r w:rsidRPr="001815D6">
        <w:rPr>
          <w:rFonts w:eastAsia="Times New Roman"/>
          <w:color w:val="000000" w:themeColor="text1"/>
          <w:highlight w:val="yellow"/>
        </w:rPr>
      </w:r>
      <w:r w:rsidRPr="001815D6">
        <w:rPr>
          <w:highlight w:val="yellow"/>
        </w:rPr>
      </w:r>
      <w:r w:rsidRPr="001815D6">
        <w:rPr>
          <w:rFonts w:eastAsia="Times New Roman"/>
          <w:color w:val="000000" w:themeColor="text1"/>
          <w:highlight w:val="yellow"/>
        </w:rPr>
      </w:r>
      <w:r w:rsidRPr="001815D6">
        <w:rPr>
          <w:highlight w:val="yellow"/>
        </w:rPr>
      </w:r>
      <w:r w:rsidRPr="001815D6">
        <w:rPr>
          <w:rFonts w:eastAsia="Times New Roman"/>
          <w:color w:val="000000" w:themeColor="text1"/>
          <w:highlight w:val="yellow"/>
        </w:rPr>
      </w:r>
      <w:r w:rsidRPr="001815D6">
        <w:rPr>
          <w:highlight w:val="yellow"/>
        </w:rPr>
      </w:r>
      <w:r w:rsidRPr="001815D6">
        <w:rPr>
          <w:color w:val="000000" w:themeColor="text1"/>
          <w:highlight w:val="yellow"/>
        </w:rPr>
      </w:r>
      <w:r w:rsidRPr="001815D6">
        <w:rPr>
          <w:highlight w:val="yellow"/>
        </w:rPr>
      </w:r>
      <w:r w:rsidRPr="001815D6">
        <w:rPr>
          <w:color w:val="000000" w:themeColor="text1"/>
          <w:highlight w:val="yellow"/>
        </w:rPr>
      </w:r>
      <w:r w:rsidRPr="001815D6">
        <w:rPr>
          <w:highlight w:val="yellow"/>
        </w:rPr>
      </w:r>
      <w:r w:rsidRPr="001815D6">
        <w:rPr>
          <w:rFonts w:eastAsia="Calibri"/>
          <w:highlight w:val="yellow"/>
        </w:rPr>
      </w:r>
      <w:r w:rsidRPr="001815D6">
        <w:rPr>
          <w:highlight w:val="yellow"/>
        </w:rPr>
      </w:r>
      <w:r w:rsidRPr="001815D6">
        <w:rPr>
          <w:rFonts w:eastAsia="Calibri"/>
          <w:highlight w:val="yellow"/>
        </w:rPr>
      </w:r>
    </w:p>
    <w:p w14:paraId="6C7F6D5B" w14:textId="6B779F66" w:rsidR="00173E66" w:rsidRPr="001815D6" w:rsidRDefault="00173E66" w:rsidP="000D1F78">
      <w:pPr>
        <w:rPr>
          <w:rFonts w:eastAsia="Times New Roman"/>
          <w:color w:val="000000" w:themeColor="text1"/>
          <w:highlight w:val="yellow"/>
        </w:rPr>
      </w:pPr>
      <w:r w:rsidRPr="001815D6">
        <w:rPr>
          <w:rFonts w:eastAsia="Times New Roman"/>
          <w:color w:val="000000" w:themeColor="text1"/>
          <w:highlight w:val="yellow"/>
        </w:rPr>
        <w:t xml:space="preserve">All remaining residential allocations (1,892) are allocated and constructed in the forecast. This includes the award and construction of all residential bonus units (1,448) and all currently banked residential units (345) by 2050. The forecast also includes the conversion of 100,000 square feet of CFA and 300 </w:t>
      </w:r>
      <w:r w:rsidRPr="001815D6">
        <w:rPr>
          <w:rFonts w:eastAsia="Times New Roman"/>
          <w:color w:val="000000" w:themeColor="text1"/>
          <w:highlight w:val="yellow"/>
        </w:rPr>
        <w:lastRenderedPageBreak/>
        <w:t xml:space="preserve">TAUs to residential units, which will generate an additional 350 multi-family and 350 single-family units. The projected conversions are consistent with conversion trends since the adoption of the conversion programs and observed development rights utilization rates. The observed trends indicate a net conversion from CFA and TAUs to Residential. </w:t>
      </w: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shd w:val="clear" w:color="auto" w:fill="1F3864"/>
          </w:tcPr>
          <w:p>
            <w:r>
              <w:rPr>
                <w:b/>
                <w:color w:val="FFFFFF"/>
                <w:sz w:val="18"/>
              </w:rPr>
              <w:t>Jurisdiction</w:t>
            </w:r>
          </w:p>
        </w:tc>
        <w:tc>
          <w:tcPr>
            <w:tcW w:type="dxa" w:w="1337"/>
            <w:shd w:val="clear" w:color="auto" w:fill="1F3864"/>
          </w:tcPr>
          <w:p>
            <w:r>
              <w:rPr>
                <w:b/>
                <w:color w:val="FFFFFF"/>
                <w:sz w:val="18"/>
              </w:rPr>
              <w:t>Bonus Units</w:t>
            </w:r>
          </w:p>
        </w:tc>
        <w:tc>
          <w:tcPr>
            <w:tcW w:type="dxa" w:w="1337"/>
            <w:shd w:val="clear" w:color="auto" w:fill="1F3864"/>
          </w:tcPr>
          <w:p>
            <w:r>
              <w:rPr>
                <w:b/>
                <w:color w:val="FFFFFF"/>
                <w:sz w:val="18"/>
              </w:rPr>
              <w:t>General Units</w:t>
            </w:r>
          </w:p>
        </w:tc>
        <w:tc>
          <w:tcPr>
            <w:tcW w:type="dxa" w:w="1337"/>
            <w:shd w:val="clear" w:color="auto" w:fill="1F3864"/>
          </w:tcPr>
          <w:p>
            <w:r>
              <w:rPr>
                <w:b/>
                <w:color w:val="FFFFFF"/>
                <w:sz w:val="18"/>
              </w:rPr>
              <w:t>ADU</w:t>
            </w:r>
          </w:p>
        </w:tc>
        <w:tc>
          <w:tcPr>
            <w:tcW w:type="dxa" w:w="1337"/>
            <w:shd w:val="clear" w:color="auto" w:fill="1F3864"/>
          </w:tcPr>
          <w:p>
            <w:r>
              <w:rPr>
                <w:b/>
                <w:color w:val="FFFFFF"/>
                <w:sz w:val="18"/>
              </w:rPr>
              <w:t>Alt 1 Total</w:t>
            </w:r>
          </w:p>
        </w:tc>
        <w:tc>
          <w:tcPr>
            <w:tcW w:type="dxa" w:w="1337"/>
            <w:shd w:val="clear" w:color="auto" w:fill="1F3864"/>
          </w:tcPr>
          <w:p>
            <w:r>
              <w:rPr>
                <w:b/>
                <w:color w:val="FFFFFF"/>
                <w:sz w:val="18"/>
              </w:rPr>
              <w:t>Alt 2 Total</w:t>
            </w:r>
          </w:p>
        </w:tc>
        <w:tc>
          <w:tcPr>
            <w:tcW w:type="dxa" w:w="1337"/>
            <w:shd w:val="clear" w:color="auto" w:fill="1F3864"/>
          </w:tcPr>
          <w:p>
            <w:r>
              <w:rPr>
                <w:b/>
                <w:color w:val="FFFFFF"/>
                <w:sz w:val="18"/>
              </w:rPr>
              <w:t>Alt 3 Total</w:t>
            </w:r>
          </w:p>
        </w:tc>
      </w:tr>
      <w:tr>
        <w:tc>
          <w:tcPr>
            <w:tcW w:type="dxa" w:w="1337"/>
          </w:tcPr>
          <w:p>
            <w:r>
              <w:rPr>
                <w:sz w:val="18"/>
              </w:rPr>
              <w:t>City of South Lake Tahoe (CSLT)</w:t>
            </w:r>
          </w:p>
        </w:tc>
        <w:tc>
          <w:tcPr>
            <w:tcW w:type="dxa" w:w="1337"/>
          </w:tcPr>
          <w:p>
            <w:r>
              <w:rPr>
                <w:sz w:val="18"/>
              </w:rPr>
              <w:t>89</w:t>
            </w:r>
          </w:p>
        </w:tc>
        <w:tc>
          <w:tcPr>
            <w:tcW w:type="dxa" w:w="1337"/>
          </w:tcPr>
          <w:p>
            <w:r>
              <w:rPr>
                <w:sz w:val="18"/>
              </w:rPr>
              <w:t>395</w:t>
            </w:r>
          </w:p>
        </w:tc>
        <w:tc>
          <w:tcPr>
            <w:tcW w:type="dxa" w:w="1337"/>
          </w:tcPr>
          <w:p>
            <w:r>
              <w:rPr>
                <w:sz w:val="18"/>
              </w:rPr>
              <w:t>0</w:t>
            </w:r>
          </w:p>
        </w:tc>
        <w:tc>
          <w:tcPr>
            <w:tcW w:type="dxa" w:w="1337"/>
          </w:tcPr>
          <w:p>
            <w:r>
              <w:rPr>
                <w:sz w:val="18"/>
              </w:rPr>
              <w:t>484</w:t>
            </w:r>
          </w:p>
        </w:tc>
        <w:tc>
          <w:tcPr>
            <w:tcW w:type="dxa" w:w="1337"/>
          </w:tcPr>
          <w:p>
            <w:r>
              <w:rPr>
                <w:sz w:val="18"/>
              </w:rPr>
              <w:t>484</w:t>
            </w:r>
          </w:p>
        </w:tc>
        <w:tc>
          <w:tcPr>
            <w:tcW w:type="dxa" w:w="1337"/>
          </w:tcPr>
          <w:p>
            <w:r>
              <w:rPr>
                <w:sz w:val="18"/>
              </w:rPr>
              <w:t>484</w:t>
            </w:r>
          </w:p>
        </w:tc>
      </w:tr>
      <w:tr>
        <w:tc>
          <w:tcPr>
            <w:tcW w:type="dxa" w:w="1337"/>
          </w:tcPr>
          <w:p>
            <w:r>
              <w:rPr>
                <w:sz w:val="18"/>
              </w:rPr>
              <w:t>Douglas County (DG)</w:t>
            </w:r>
          </w:p>
        </w:tc>
        <w:tc>
          <w:tcPr>
            <w:tcW w:type="dxa" w:w="1337"/>
          </w:tcPr>
          <w:p>
            <w:r>
              <w:rPr>
                <w:sz w:val="18"/>
              </w:rPr>
              <w:t>67</w:t>
            </w:r>
          </w:p>
        </w:tc>
        <w:tc>
          <w:tcPr>
            <w:tcW w:type="dxa" w:w="1337"/>
          </w:tcPr>
          <w:p>
            <w:r>
              <w:rPr>
                <w:sz w:val="18"/>
              </w:rPr>
              <w:t>160</w:t>
            </w:r>
          </w:p>
        </w:tc>
        <w:tc>
          <w:tcPr>
            <w:tcW w:type="dxa" w:w="1337"/>
          </w:tcPr>
          <w:p>
            <w:r>
              <w:rPr>
                <w:sz w:val="18"/>
              </w:rPr>
              <w:t>0</w:t>
            </w:r>
          </w:p>
        </w:tc>
        <w:tc>
          <w:tcPr>
            <w:tcW w:type="dxa" w:w="1337"/>
          </w:tcPr>
          <w:p>
            <w:r>
              <w:rPr>
                <w:sz w:val="18"/>
              </w:rPr>
              <w:t>227</w:t>
            </w:r>
          </w:p>
        </w:tc>
        <w:tc>
          <w:tcPr>
            <w:tcW w:type="dxa" w:w="1337"/>
          </w:tcPr>
          <w:p>
            <w:r>
              <w:rPr>
                <w:sz w:val="18"/>
              </w:rPr>
              <w:t>227</w:t>
            </w:r>
          </w:p>
        </w:tc>
        <w:tc>
          <w:tcPr>
            <w:tcW w:type="dxa" w:w="1337"/>
          </w:tcPr>
          <w:p>
            <w:r>
              <w:rPr>
                <w:sz w:val="18"/>
              </w:rPr>
              <w:t>227</w:t>
            </w:r>
          </w:p>
        </w:tc>
      </w:tr>
      <w:tr>
        <w:tc>
          <w:tcPr>
            <w:tcW w:type="dxa" w:w="1337"/>
          </w:tcPr>
          <w:p>
            <w:r>
              <w:rPr>
                <w:sz w:val="18"/>
              </w:rPr>
              <w:t>El Dorado County (EL)</w:t>
            </w:r>
          </w:p>
        </w:tc>
        <w:tc>
          <w:tcPr>
            <w:tcW w:type="dxa" w:w="1337"/>
          </w:tcPr>
          <w:p>
            <w:r>
              <w:rPr>
                <w:sz w:val="18"/>
              </w:rPr>
              <w:t>0</w:t>
            </w:r>
          </w:p>
        </w:tc>
        <w:tc>
          <w:tcPr>
            <w:tcW w:type="dxa" w:w="1337"/>
          </w:tcPr>
          <w:p>
            <w:r>
              <w:rPr>
                <w:sz w:val="18"/>
              </w:rPr>
              <w:t>281</w:t>
            </w:r>
          </w:p>
        </w:tc>
        <w:tc>
          <w:tcPr>
            <w:tcW w:type="dxa" w:w="1337"/>
          </w:tcPr>
          <w:p>
            <w:r>
              <w:rPr>
                <w:sz w:val="18"/>
              </w:rPr>
              <w:t>0</w:t>
            </w:r>
          </w:p>
        </w:tc>
        <w:tc>
          <w:tcPr>
            <w:tcW w:type="dxa" w:w="1337"/>
          </w:tcPr>
          <w:p>
            <w:r>
              <w:rPr>
                <w:sz w:val="18"/>
              </w:rPr>
              <w:t>281</w:t>
            </w:r>
          </w:p>
        </w:tc>
        <w:tc>
          <w:tcPr>
            <w:tcW w:type="dxa" w:w="1337"/>
          </w:tcPr>
          <w:p>
            <w:r>
              <w:rPr>
                <w:sz w:val="18"/>
              </w:rPr>
              <w:t>281</w:t>
            </w:r>
          </w:p>
        </w:tc>
        <w:tc>
          <w:tcPr>
            <w:tcW w:type="dxa" w:w="1337"/>
          </w:tcPr>
          <w:p>
            <w:r>
              <w:rPr>
                <w:sz w:val="18"/>
              </w:rPr>
              <w:t>281</w:t>
            </w:r>
          </w:p>
        </w:tc>
      </w:tr>
      <w:tr>
        <w:tc>
          <w:tcPr>
            <w:tcW w:type="dxa" w:w="1337"/>
          </w:tcPr>
          <w:p>
            <w:r>
              <w:rPr>
                <w:sz w:val="18"/>
              </w:rPr>
              <w:t>Placer County (PL)</w:t>
            </w:r>
          </w:p>
        </w:tc>
        <w:tc>
          <w:tcPr>
            <w:tcW w:type="dxa" w:w="1337"/>
          </w:tcPr>
          <w:p>
            <w:r>
              <w:rPr>
                <w:sz w:val="18"/>
              </w:rPr>
              <w:t>582</w:t>
            </w:r>
          </w:p>
        </w:tc>
        <w:tc>
          <w:tcPr>
            <w:tcW w:type="dxa" w:w="1337"/>
          </w:tcPr>
          <w:p>
            <w:r>
              <w:rPr>
                <w:sz w:val="18"/>
              </w:rPr>
              <w:t>41</w:t>
            </w:r>
          </w:p>
        </w:tc>
        <w:tc>
          <w:tcPr>
            <w:tcW w:type="dxa" w:w="1337"/>
          </w:tcPr>
          <w:p>
            <w:r>
              <w:rPr>
                <w:sz w:val="18"/>
              </w:rPr>
              <w:t>0</w:t>
            </w:r>
          </w:p>
        </w:tc>
        <w:tc>
          <w:tcPr>
            <w:tcW w:type="dxa" w:w="1337"/>
          </w:tcPr>
          <w:p>
            <w:r>
              <w:rPr>
                <w:sz w:val="18"/>
              </w:rPr>
              <w:t>623</w:t>
            </w:r>
          </w:p>
        </w:tc>
        <w:tc>
          <w:tcPr>
            <w:tcW w:type="dxa" w:w="1337"/>
          </w:tcPr>
          <w:p>
            <w:r>
              <w:rPr>
                <w:sz w:val="18"/>
              </w:rPr>
              <w:t>623</w:t>
            </w:r>
          </w:p>
        </w:tc>
        <w:tc>
          <w:tcPr>
            <w:tcW w:type="dxa" w:w="1337"/>
          </w:tcPr>
          <w:p>
            <w:r>
              <w:rPr>
                <w:sz w:val="18"/>
              </w:rPr>
              <w:t>623</w:t>
            </w:r>
          </w:p>
        </w:tc>
      </w:tr>
      <w:tr>
        <w:tc>
          <w:tcPr>
            <w:tcW w:type="dxa" w:w="1337"/>
          </w:tcPr>
          <w:p>
            <w:r>
              <w:rPr>
                <w:sz w:val="18"/>
              </w:rPr>
              <w:t>Washoe County (WA)</w:t>
            </w:r>
          </w:p>
        </w:tc>
        <w:tc>
          <w:tcPr>
            <w:tcW w:type="dxa" w:w="1337"/>
          </w:tcPr>
          <w:p>
            <w:r>
              <w:rPr>
                <w:sz w:val="18"/>
              </w:rPr>
              <w:t>120</w:t>
            </w:r>
          </w:p>
        </w:tc>
        <w:tc>
          <w:tcPr>
            <w:tcW w:type="dxa" w:w="1337"/>
          </w:tcPr>
          <w:p>
            <w:r>
              <w:rPr>
                <w:sz w:val="18"/>
              </w:rPr>
              <w:t>196</w:t>
            </w:r>
          </w:p>
        </w:tc>
        <w:tc>
          <w:tcPr>
            <w:tcW w:type="dxa" w:w="1337"/>
          </w:tcPr>
          <w:p>
            <w:r>
              <w:rPr>
                <w:sz w:val="18"/>
              </w:rPr>
              <w:t>0</w:t>
            </w:r>
          </w:p>
        </w:tc>
        <w:tc>
          <w:tcPr>
            <w:tcW w:type="dxa" w:w="1337"/>
          </w:tcPr>
          <w:p>
            <w:r>
              <w:rPr>
                <w:sz w:val="18"/>
              </w:rPr>
              <w:t>316</w:t>
            </w:r>
          </w:p>
        </w:tc>
        <w:tc>
          <w:tcPr>
            <w:tcW w:type="dxa" w:w="1337"/>
          </w:tcPr>
          <w:p>
            <w:r>
              <w:rPr>
                <w:sz w:val="18"/>
              </w:rPr>
              <w:t>316</w:t>
            </w:r>
          </w:p>
        </w:tc>
        <w:tc>
          <w:tcPr>
            <w:tcW w:type="dxa" w:w="1337"/>
          </w:tcPr>
          <w:p>
            <w:r>
              <w:rPr>
                <w:sz w:val="18"/>
              </w:rPr>
              <w:t>316</w:t>
            </w:r>
          </w:p>
        </w:tc>
      </w:tr>
      <w:tr>
        <w:tc>
          <w:tcPr>
            <w:tcW w:type="dxa" w:w="1337"/>
          </w:tcPr>
          <w:p>
            <w:r>
              <w:rPr>
                <w:sz w:val="18"/>
              </w:rPr>
              <w:t>TRPA (Regional Pools)</w:t>
            </w:r>
          </w:p>
        </w:tc>
        <w:tc>
          <w:tcPr>
            <w:tcW w:type="dxa" w:w="1337"/>
          </w:tcPr>
          <w:p>
            <w:r>
              <w:rPr>
                <w:sz w:val="18"/>
              </w:rPr>
              <w:t>388</w:t>
            </w:r>
          </w:p>
        </w:tc>
        <w:tc>
          <w:tcPr>
            <w:tcW w:type="dxa" w:w="1337"/>
          </w:tcPr>
          <w:p>
            <w:r>
              <w:rPr>
                <w:sz w:val="18"/>
              </w:rPr>
              <w:t>948</w:t>
            </w:r>
          </w:p>
        </w:tc>
        <w:tc>
          <w:tcPr>
            <w:tcW w:type="dxa" w:w="1337"/>
          </w:tcPr>
          <w:p>
            <w:r>
              <w:rPr>
                <w:sz w:val="18"/>
              </w:rPr>
              <w:t>110</w:t>
            </w:r>
          </w:p>
        </w:tc>
        <w:tc>
          <w:tcPr>
            <w:tcW w:type="dxa" w:w="1337"/>
          </w:tcPr>
          <w:p>
            <w:r>
              <w:rPr>
                <w:sz w:val="18"/>
              </w:rPr>
              <w:t>1,446</w:t>
            </w:r>
          </w:p>
        </w:tc>
        <w:tc>
          <w:tcPr>
            <w:tcW w:type="dxa" w:w="1337"/>
          </w:tcPr>
          <w:p>
            <w:r>
              <w:rPr>
                <w:sz w:val="18"/>
              </w:rPr>
              <w:t>2,684</w:t>
            </w:r>
          </w:p>
        </w:tc>
        <w:tc>
          <w:tcPr>
            <w:tcW w:type="dxa" w:w="1337"/>
          </w:tcPr>
          <w:p>
            <w:r>
              <w:rPr>
                <w:sz w:val="18"/>
              </w:rPr>
              <w:t>1,446</w:t>
            </w:r>
          </w:p>
        </w:tc>
      </w:tr>
      <w:tr>
        <w:tc>
          <w:tcPr>
            <w:tcW w:type="dxa" w:w="1337"/>
          </w:tcPr>
          <w:p>
            <w:r>
              <w:rPr>
                <w:sz w:val="18"/>
              </w:rPr>
              <w:t>TRPA — Affordable</w:t>
            </w:r>
          </w:p>
        </w:tc>
        <w:tc>
          <w:tcPr>
            <w:tcW w:type="dxa" w:w="1337"/>
          </w:tcPr>
          <w:p>
            <w:r>
              <w:rPr>
                <w:sz w:val="18"/>
              </w:rPr>
              <w:t>—</w:t>
            </w:r>
          </w:p>
        </w:tc>
        <w:tc>
          <w:tcPr>
            <w:tcW w:type="dxa" w:w="1337"/>
          </w:tcPr>
          <w:p>
            <w:r>
              <w:rPr>
                <w:sz w:val="18"/>
              </w:rPr>
              <w:t>—</w:t>
            </w:r>
          </w:p>
        </w:tc>
        <w:tc>
          <w:tcPr>
            <w:tcW w:type="dxa" w:w="1337"/>
          </w:tcPr>
          <w:p>
            <w:r>
              <w:rPr>
                <w:sz w:val="18"/>
              </w:rPr>
              <w:t>—</w:t>
            </w:r>
          </w:p>
        </w:tc>
        <w:tc>
          <w:tcPr>
            <w:tcW w:type="dxa" w:w="1337"/>
          </w:tcPr>
          <w:p>
            <w:r>
              <w:rPr>
                <w:sz w:val="18"/>
              </w:rPr>
              <w:t>—</w:t>
            </w:r>
          </w:p>
        </w:tc>
        <w:tc>
          <w:tcPr>
            <w:tcW w:type="dxa" w:w="1337"/>
          </w:tcPr>
          <w:p>
            <w:r>
              <w:rPr>
                <w:sz w:val="18"/>
              </w:rPr>
              <w:t>456</w:t>
            </w:r>
          </w:p>
        </w:tc>
        <w:tc>
          <w:tcPr>
            <w:tcW w:type="dxa" w:w="1337"/>
          </w:tcPr>
          <w:p>
            <w:r>
              <w:rPr>
                <w:sz w:val="18"/>
              </w:rPr>
              <w:t>—</w:t>
            </w:r>
          </w:p>
        </w:tc>
      </w:tr>
      <w:tr>
        <w:tc>
          <w:tcPr>
            <w:tcW w:type="dxa" w:w="1337"/>
          </w:tcPr>
          <w:p>
            <w:r>
              <w:rPr>
                <w:sz w:val="18"/>
              </w:rPr>
              <w:t>TRPA — Moderate</w:t>
            </w:r>
          </w:p>
        </w:tc>
        <w:tc>
          <w:tcPr>
            <w:tcW w:type="dxa" w:w="1337"/>
          </w:tcPr>
          <w:p>
            <w:r>
              <w:rPr>
                <w:sz w:val="18"/>
              </w:rPr>
              <w:t>—</w:t>
            </w:r>
          </w:p>
        </w:tc>
        <w:tc>
          <w:tcPr>
            <w:tcW w:type="dxa" w:w="1337"/>
          </w:tcPr>
          <w:p>
            <w:r>
              <w:rPr>
                <w:sz w:val="18"/>
              </w:rPr>
              <w:t>—</w:t>
            </w:r>
          </w:p>
        </w:tc>
        <w:tc>
          <w:tcPr>
            <w:tcW w:type="dxa" w:w="1337"/>
          </w:tcPr>
          <w:p>
            <w:r>
              <w:rPr>
                <w:sz w:val="18"/>
              </w:rPr>
              <w:t>—</w:t>
            </w:r>
          </w:p>
        </w:tc>
        <w:tc>
          <w:tcPr>
            <w:tcW w:type="dxa" w:w="1337"/>
          </w:tcPr>
          <w:p>
            <w:r>
              <w:rPr>
                <w:sz w:val="18"/>
              </w:rPr>
              <w:t>—</w:t>
            </w:r>
          </w:p>
        </w:tc>
        <w:tc>
          <w:tcPr>
            <w:tcW w:type="dxa" w:w="1337"/>
          </w:tcPr>
          <w:p>
            <w:r>
              <w:rPr>
                <w:sz w:val="18"/>
              </w:rPr>
              <w:t>285</w:t>
            </w:r>
          </w:p>
        </w:tc>
        <w:tc>
          <w:tcPr>
            <w:tcW w:type="dxa" w:w="1337"/>
          </w:tcPr>
          <w:p>
            <w:r>
              <w:rPr>
                <w:sz w:val="18"/>
              </w:rPr>
              <w:t>—</w:t>
            </w:r>
          </w:p>
        </w:tc>
      </w:tr>
      <w:tr>
        <w:tc>
          <w:tcPr>
            <w:tcW w:type="dxa" w:w="1337"/>
          </w:tcPr>
          <w:p>
            <w:r>
              <w:rPr>
                <w:sz w:val="18"/>
              </w:rPr>
              <w:t>TRPA — Achievable Bonus</w:t>
            </w:r>
          </w:p>
        </w:tc>
        <w:tc>
          <w:tcPr>
            <w:tcW w:type="dxa" w:w="1337"/>
          </w:tcPr>
          <w:p>
            <w:r>
              <w:rPr>
                <w:sz w:val="18"/>
              </w:rPr>
              <w:t>—</w:t>
            </w:r>
          </w:p>
        </w:tc>
        <w:tc>
          <w:tcPr>
            <w:tcW w:type="dxa" w:w="1337"/>
          </w:tcPr>
          <w:p>
            <w:r>
              <w:rPr>
                <w:sz w:val="18"/>
              </w:rPr>
              <w:t>—</w:t>
            </w:r>
          </w:p>
        </w:tc>
        <w:tc>
          <w:tcPr>
            <w:tcW w:type="dxa" w:w="1337"/>
          </w:tcPr>
          <w:p>
            <w:r>
              <w:rPr>
                <w:sz w:val="18"/>
              </w:rPr>
              <w:t>—</w:t>
            </w:r>
          </w:p>
        </w:tc>
        <w:tc>
          <w:tcPr>
            <w:tcW w:type="dxa" w:w="1337"/>
          </w:tcPr>
          <w:p>
            <w:r>
              <w:rPr>
                <w:sz w:val="18"/>
              </w:rPr>
              <w:t>—</w:t>
            </w:r>
          </w:p>
        </w:tc>
        <w:tc>
          <w:tcPr>
            <w:tcW w:type="dxa" w:w="1337"/>
          </w:tcPr>
          <w:p>
            <w:r>
              <w:rPr>
                <w:sz w:val="18"/>
              </w:rPr>
              <w:t>228</w:t>
            </w:r>
          </w:p>
        </w:tc>
        <w:tc>
          <w:tcPr>
            <w:tcW w:type="dxa" w:w="1337"/>
          </w:tcPr>
          <w:p>
            <w:r>
              <w:rPr>
                <w:sz w:val="18"/>
              </w:rPr>
              <w:t>—</w:t>
            </w:r>
          </w:p>
        </w:tc>
      </w:tr>
      <w:tr>
        <w:tc>
          <w:tcPr>
            <w:tcW w:type="dxa" w:w="1337"/>
          </w:tcPr>
          <w:p>
            <w:r>
              <w:rPr>
                <w:sz w:val="18"/>
              </w:rPr>
              <w:t>TRPA — Achievable General</w:t>
            </w:r>
          </w:p>
        </w:tc>
        <w:tc>
          <w:tcPr>
            <w:tcW w:type="dxa" w:w="1337"/>
          </w:tcPr>
          <w:p>
            <w:r>
              <w:rPr>
                <w:sz w:val="18"/>
              </w:rPr>
              <w:t>—</w:t>
            </w:r>
          </w:p>
        </w:tc>
        <w:tc>
          <w:tcPr>
            <w:tcW w:type="dxa" w:w="1337"/>
          </w:tcPr>
          <w:p>
            <w:r>
              <w:rPr>
                <w:sz w:val="18"/>
              </w:rPr>
              <w:t>—</w:t>
            </w:r>
          </w:p>
        </w:tc>
        <w:tc>
          <w:tcPr>
            <w:tcW w:type="dxa" w:w="1337"/>
          </w:tcPr>
          <w:p>
            <w:r>
              <w:rPr>
                <w:sz w:val="18"/>
              </w:rPr>
              <w:t>—</w:t>
            </w:r>
          </w:p>
        </w:tc>
        <w:tc>
          <w:tcPr>
            <w:tcW w:type="dxa" w:w="1337"/>
          </w:tcPr>
          <w:p>
            <w:r>
              <w:rPr>
                <w:sz w:val="18"/>
              </w:rPr>
              <w:t>—</w:t>
            </w:r>
          </w:p>
        </w:tc>
        <w:tc>
          <w:tcPr>
            <w:tcW w:type="dxa" w:w="1337"/>
          </w:tcPr>
          <w:p>
            <w:r>
              <w:rPr>
                <w:sz w:val="18"/>
              </w:rPr>
              <w:t>57</w:t>
            </w:r>
          </w:p>
        </w:tc>
        <w:tc>
          <w:tcPr>
            <w:tcW w:type="dxa" w:w="1337"/>
          </w:tcPr>
          <w:p>
            <w:r>
              <w:rPr>
                <w:sz w:val="18"/>
              </w:rPr>
              <w:t>—</w:t>
            </w:r>
          </w:p>
        </w:tc>
      </w:tr>
      <w:tr>
        <w:tc>
          <w:tcPr>
            <w:tcW w:type="dxa" w:w="1337"/>
          </w:tcPr>
          <w:p>
            <w:r>
              <w:rPr>
                <w:sz w:val="18"/>
              </w:rPr>
              <w:t>TRPA — Affordable by Design</w:t>
            </w:r>
          </w:p>
        </w:tc>
        <w:tc>
          <w:tcPr>
            <w:tcW w:type="dxa" w:w="1337"/>
          </w:tcPr>
          <w:p>
            <w:r>
              <w:rPr>
                <w:sz w:val="18"/>
              </w:rPr>
              <w:t>—</w:t>
            </w:r>
          </w:p>
        </w:tc>
        <w:tc>
          <w:tcPr>
            <w:tcW w:type="dxa" w:w="1337"/>
          </w:tcPr>
          <w:p>
            <w:r>
              <w:rPr>
                <w:sz w:val="18"/>
              </w:rPr>
              <w:t>—</w:t>
            </w:r>
          </w:p>
        </w:tc>
        <w:tc>
          <w:tcPr>
            <w:tcW w:type="dxa" w:w="1337"/>
          </w:tcPr>
          <w:p>
            <w:r>
              <w:rPr>
                <w:sz w:val="18"/>
              </w:rPr>
              <w:t>—</w:t>
            </w:r>
          </w:p>
        </w:tc>
        <w:tc>
          <w:tcPr>
            <w:tcW w:type="dxa" w:w="1337"/>
          </w:tcPr>
          <w:p>
            <w:r>
              <w:rPr>
                <w:sz w:val="18"/>
              </w:rPr>
              <w:t>—</w:t>
            </w:r>
          </w:p>
        </w:tc>
        <w:tc>
          <w:tcPr>
            <w:tcW w:type="dxa" w:w="1337"/>
          </w:tcPr>
          <w:p>
            <w:r>
              <w:rPr>
                <w:sz w:val="18"/>
              </w:rPr>
              <w:t>114</w:t>
            </w:r>
          </w:p>
        </w:tc>
        <w:tc>
          <w:tcPr>
            <w:tcW w:type="dxa" w:w="1337"/>
          </w:tcPr>
          <w:p>
            <w:r>
              <w:rPr>
                <w:sz w:val="18"/>
              </w:rPr>
              <w:t>—</w:t>
            </w:r>
          </w:p>
        </w:tc>
      </w:tr>
      <w:tr>
        <w:tc>
          <w:tcPr>
            <w:tcW w:type="dxa" w:w="1337"/>
          </w:tcPr>
          <w:p>
            <w:r>
              <w:rPr>
                <w:sz w:val="18"/>
              </w:rPr>
              <w:t>TRPA — JADU</w:t>
            </w:r>
          </w:p>
        </w:tc>
        <w:tc>
          <w:tcPr>
            <w:tcW w:type="dxa" w:w="1337"/>
          </w:tcPr>
          <w:p>
            <w:r>
              <w:rPr>
                <w:sz w:val="18"/>
              </w:rPr>
              <w:t>—</w:t>
            </w:r>
          </w:p>
        </w:tc>
        <w:tc>
          <w:tcPr>
            <w:tcW w:type="dxa" w:w="1337"/>
          </w:tcPr>
          <w:p>
            <w:r>
              <w:rPr>
                <w:sz w:val="18"/>
              </w:rPr>
              <w:t>—</w:t>
            </w:r>
          </w:p>
        </w:tc>
        <w:tc>
          <w:tcPr>
            <w:tcW w:type="dxa" w:w="1337"/>
          </w:tcPr>
          <w:p>
            <w:r>
              <w:rPr>
                <w:sz w:val="18"/>
              </w:rPr>
              <w:t>—</w:t>
            </w:r>
          </w:p>
        </w:tc>
        <w:tc>
          <w:tcPr>
            <w:tcW w:type="dxa" w:w="1337"/>
          </w:tcPr>
          <w:p>
            <w:r>
              <w:rPr>
                <w:sz w:val="18"/>
              </w:rPr>
              <w:t>—</w:t>
            </w:r>
          </w:p>
        </w:tc>
        <w:tc>
          <w:tcPr>
            <w:tcW w:type="dxa" w:w="1337"/>
          </w:tcPr>
          <w:p>
            <w:r>
              <w:rPr>
                <w:sz w:val="18"/>
              </w:rPr>
              <w:t>98</w:t>
            </w:r>
          </w:p>
        </w:tc>
        <w:tc>
          <w:tcPr>
            <w:tcW w:type="dxa" w:w="1337"/>
          </w:tcPr>
          <w:p>
            <w:r>
              <w:rPr>
                <w:sz w:val="18"/>
              </w:rPr>
              <w:t>—</w:t>
            </w:r>
          </w:p>
        </w:tc>
      </w:tr>
      <w:tr>
        <w:tc>
          <w:tcPr>
            <w:tcW w:type="dxa" w:w="1337"/>
          </w:tcPr>
          <w:p>
            <w:r>
              <w:rPr>
                <w:sz w:val="18"/>
              </w:rPr>
              <w:t>Total</w:t>
            </w:r>
          </w:p>
        </w:tc>
        <w:tc>
          <w:tcPr>
            <w:tcW w:type="dxa" w:w="1337"/>
          </w:tcPr>
          <w:p>
            <w:r>
              <w:rPr>
                <w:sz w:val="18"/>
              </w:rPr>
              <w:t>1,246</w:t>
            </w:r>
          </w:p>
        </w:tc>
        <w:tc>
          <w:tcPr>
            <w:tcW w:type="dxa" w:w="1337"/>
          </w:tcPr>
          <w:p>
            <w:r>
              <w:rPr>
                <w:sz w:val="18"/>
              </w:rPr>
              <w:t>2,021</w:t>
            </w:r>
          </w:p>
        </w:tc>
        <w:tc>
          <w:tcPr>
            <w:tcW w:type="dxa" w:w="1337"/>
          </w:tcPr>
          <w:p>
            <w:r>
              <w:rPr>
                <w:sz w:val="18"/>
              </w:rPr>
              <w:t>110</w:t>
            </w:r>
          </w:p>
        </w:tc>
        <w:tc>
          <w:tcPr>
            <w:tcW w:type="dxa" w:w="1337"/>
          </w:tcPr>
          <w:p>
            <w:r>
              <w:rPr>
                <w:sz w:val="18"/>
              </w:rPr>
              <w:t>3,377</w:t>
            </w:r>
          </w:p>
        </w:tc>
        <w:tc>
          <w:tcPr>
            <w:tcW w:type="dxa" w:w="1337"/>
          </w:tcPr>
          <w:p>
            <w:r>
              <w:rPr>
                <w:sz w:val="18"/>
              </w:rPr>
              <w:t>4,615</w:t>
            </w:r>
          </w:p>
        </w:tc>
        <w:tc>
          <w:tcPr>
            <w:tcW w:type="dxa" w:w="1337"/>
          </w:tcPr>
          <w:p>
            <w:r>
              <w:rPr>
                <w:sz w:val="18"/>
              </w:rPr>
              <w:t>3,377</w:t>
            </w:r>
          </w:p>
        </w:tc>
      </w:tr>
    </w:tbl>
    <w:p>
      <w:pPr>
        <w:pStyle w:val="Caption"/>
      </w:pPr>
      <w:r>
        <w:t>Table 2: New Residential Unit Allocations by Jurisdiction and Alternative</w:t>
      </w:r>
    </w:p>
    <w:p w14:paraId="5377EE26" w14:textId="4F069CA4" w:rsidR="00AA6B1A" w:rsidRPr="000D1F78" w:rsidRDefault="00173E66" w:rsidP="000D1F78">
      <w:pPr>
        <w:rPr>
          <w:rFonts w:eastAsia="Times New Roman"/>
          <w:color w:val="000000" w:themeColor="text1"/>
        </w:rPr>
      </w:pPr>
      <w:r w:rsidRPr="001815D6">
        <w:rPr>
          <w:rFonts w:eastAsia="Times New Roman"/>
          <w:color w:val="000000" w:themeColor="text1"/>
          <w:highlight w:val="yellow"/>
        </w:rPr>
        <w:t>Several key assumptions informed the spatial distribution of residential development in the forecast. First, new residential units were allocated to projects known to be in the pipeline, including multi-family and affordable-/moderate-income projects on public lands. This includes 710 units expected to be built on California Tahoe Conservancy asset lands</w:t>
      </w:r>
      <w:r w:rsidRPr="001815D6">
        <w:rPr>
          <w:rStyle w:val="FootnoteReference"/>
          <w:rFonts w:eastAsia="Times New Roman" w:cstheme="minorHAnsi"/>
          <w:color w:val="000000" w:themeColor="text1"/>
          <w:highlight w:val="yellow"/>
        </w:rPr>
        <w:footnoteReference w:id="2"/>
      </w:r>
      <w:r w:rsidRPr="001815D6">
        <w:rPr>
          <w:rFonts w:eastAsia="Times New Roman"/>
          <w:color w:val="000000" w:themeColor="text1"/>
          <w:highlight w:val="yellow"/>
        </w:rPr>
        <w:t>, redevelopment successor agency</w:t>
      </w:r>
      <w:r w:rsidRPr="001815D6">
        <w:rPr>
          <w:rStyle w:val="FootnoteReference"/>
          <w:rFonts w:eastAsia="Times New Roman" w:cstheme="minorHAnsi"/>
          <w:color w:val="000000" w:themeColor="text1"/>
          <w:highlight w:val="yellow"/>
        </w:rPr>
        <w:footnoteReference w:id="3"/>
      </w:r>
      <w:r w:rsidRPr="001815D6">
        <w:rPr>
          <w:rFonts w:eastAsia="Times New Roman"/>
          <w:color w:val="000000" w:themeColor="text1"/>
          <w:highlight w:val="yellow"/>
        </w:rPr>
        <w:t xml:space="preserve"> parcels and other publicly owned parcels where large multi-family and affordable/moderate-income housing projects are likely to be constructed. For multi-family development on private properties, where the exact number of units to be constructed was not fully known, a computer-generated random selection distributed units to vacant buildable multi-family and existing underbuilt residential parcels throughout the region. For these parcels, the number of units allocated was 60% of the maximum allowable buildout based on current zoning, coverage constraints, and density restrictions. This assumption is consistent with observed buildout patterns, and conservative in that it distributes new residential development throughout the region (rather than modeling the most compact possible pattern). Multi-family units were only assigned to parcels that are currently zoned for multi-family residential, meet density requirements, and that have remaining coverage available to support additional units. Finally, the remaining private residential units were constructed as single-family units through random assignment to vacant buildable properties throughout the region.</w:t>
      </w:r>
      <w:r w:rsidR="0044751A" w:rsidRPr="001815D6">
        <w:rPr>
          <w:rFonts w:eastAsia="Times New Roman"/>
          <w:color w:val="000000" w:themeColor="text1"/>
          <w:highlight w:val="yellow"/>
        </w:rPr>
        <w:t xml:space="preserve"> Figures 3 – 5 show the impact of these added residential units on housing density, highlighting that the impacts are concentrated in </w:t>
      </w:r>
      <w:r w:rsidR="00A4554F" w:rsidRPr="001815D6">
        <w:rPr>
          <w:rFonts w:eastAsia="Times New Roman"/>
          <w:color w:val="000000" w:themeColor="text1"/>
          <w:highlight w:val="yellow"/>
        </w:rPr>
        <w:t>town center areas that may already have similar density.</w:t>
      </w:r>
    </w:p>
    <w:p w14:paraId="3D68472A" w14:textId="77777777" w:rsidR="00AA6B1A" w:rsidRDefault="00AA6B1A">
      <w:pPr>
        <w:rPr>
          <w:rFonts w:eastAsia="Times New Roman" w:cstheme="minorHAnsi"/>
          <w:b/>
          <w:bCs/>
          <w:color w:val="000000" w:themeColor="text1"/>
        </w:rPr>
      </w:pPr>
      <w:r>
        <w:rPr>
          <w:rFonts w:eastAsia="Times New Roman" w:cstheme="minorHAnsi"/>
          <w:b/>
          <w:bCs/>
          <w:color w:val="000000" w:themeColor="text1"/>
        </w:rPr>
        <w:br w:type="page"/>
      </w:r>
    </w:p>
    <w:p w14:paraId="7532EBEA" w14:textId="77777777" w:rsidR="00186456" w:rsidRDefault="00EF062B">
      <w:pPr>
        <w:rPr>
          <w:rFonts w:eastAsia="Times New Roman" w:cstheme="minorHAnsi"/>
          <w:b/>
          <w:bCs/>
          <w:color w:val="000000" w:themeColor="text1"/>
        </w:rPr>
      </w:pPr>
      <w:commentRangeStart w:id="8"/>
      <w:r>
        <w:rPr>
          <w:rFonts w:eastAsia="Times New Roman" w:cstheme="minorHAnsi"/>
          <w:b/>
          <w:bCs/>
          <w:noProof/>
          <w:color w:val="000000" w:themeColor="text1"/>
        </w:rPr>
        <w:lastRenderedPageBreak/>
        <w:drawing>
          <wp:inline distT="0" distB="0" distL="0" distR="0" wp14:anchorId="524933B6" wp14:editId="32FA3BCE">
            <wp:extent cx="6027997" cy="7800975"/>
            <wp:effectExtent l="0" t="0" r="0" b="0"/>
            <wp:docPr id="1145764075" name="Picture 3" descr="A map of a lak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764075" name="Picture 3" descr="A map of a lake&#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029838" cy="7803358"/>
                    </a:xfrm>
                    <a:prstGeom prst="rect">
                      <a:avLst/>
                    </a:prstGeom>
                  </pic:spPr>
                </pic:pic>
              </a:graphicData>
            </a:graphic>
          </wp:inline>
        </w:drawing>
      </w:r>
      <w:commentRangeEnd w:id="8"/>
      <w:r w:rsidR="001815D6">
        <w:rPr>
          <w:rStyle w:val="CommentReference"/>
          <w:rFonts w:eastAsia="Times New Roman" w:cstheme="minorHAnsi"/>
          <w:b/>
          <w:bCs/>
          <w:color w:val="000000" w:themeColor="text1"/>
          <w:sz w:val="22"/>
          <w:szCs w:val="22"/>
        </w:rPr>
        <w:commentReference w:id="8"/>
      </w:r>
    </w:p>
    <w:p w14:paraId="56263745" w14:textId="04EE21C0" w:rsidR="00AA6B1A" w:rsidRDefault="00186456">
      <w:pPr>
        <w:rPr>
          <w:rFonts w:eastAsia="Times New Roman" w:cstheme="minorHAnsi"/>
          <w:b/>
          <w:bCs/>
          <w:color w:val="000000" w:themeColor="text1"/>
        </w:rPr>
      </w:pPr>
      <w:r>
        <w:rPr>
          <w:rFonts w:eastAsia="Times New Roman" w:cstheme="minorHAnsi"/>
          <w:b/>
          <w:bCs/>
          <w:color w:val="000000" w:themeColor="text1"/>
        </w:rPr>
        <w:t>Figure 2: Existing Housing Density by TAZ Base Year 2026</w:t>
      </w:r>
      <w:r w:rsidR="0013139F">
        <w:rPr>
          <w:rFonts w:eastAsia="Times New Roman" w:cstheme="minorHAnsi"/>
          <w:b/>
          <w:bCs/>
          <w:color w:val="000000" w:themeColor="text1"/>
        </w:rPr>
      </w:r>
      <w:r w:rsidR="00AA6B1A">
        <w:rPr>
          <w:rFonts w:eastAsia="Times New Roman" w:cstheme="minorHAnsi"/>
          <w:b/>
          <w:bCs/>
          <w:color w:val="000000" w:themeColor="text1"/>
        </w:rPr>
      </w:r>
    </w:p>
    <w:p w14:paraId="5A53D364" w14:textId="33A7EEBA" w:rsidR="00AA6B1A" w:rsidRDefault="00DE2C71" w:rsidP="00646419">
      <w:pPr>
        <w:spacing w:after="0" w:line="360" w:lineRule="auto"/>
        <w:rPr>
          <w:rFonts w:eastAsia="Times New Roman" w:cstheme="minorHAnsi"/>
          <w:b/>
          <w:bCs/>
          <w:color w:val="000000" w:themeColor="text1"/>
        </w:rPr>
      </w:pPr>
      <w:commentRangeStart w:id="9"/>
      <w:r>
        <w:rPr>
          <w:rFonts w:eastAsia="Times New Roman" w:cstheme="minorHAnsi"/>
          <w:b/>
          <w:bCs/>
          <w:noProof/>
          <w:color w:val="000000" w:themeColor="text1"/>
        </w:rPr>
        <w:lastRenderedPageBreak/>
        <w:drawing>
          <wp:inline distT="0" distB="0" distL="0" distR="0" wp14:anchorId="4C7E2C0A" wp14:editId="04F6D67C">
            <wp:extent cx="6035357" cy="7810500"/>
            <wp:effectExtent l="0" t="0" r="3810" b="0"/>
            <wp:docPr id="1934017405" name="Picture 4" descr="A map of a lak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017405" name="Picture 4" descr="A map of a lake&#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035674" cy="7810910"/>
                    </a:xfrm>
                    <a:prstGeom prst="rect">
                      <a:avLst/>
                    </a:prstGeom>
                  </pic:spPr>
                </pic:pic>
              </a:graphicData>
            </a:graphic>
          </wp:inline>
        </w:drawing>
      </w:r>
      <w:commentRangeEnd w:id="9"/>
      <w:r w:rsidR="001815D6">
        <w:rPr>
          <w:rStyle w:val="CommentReference"/>
          <w:rFonts w:eastAsia="Times New Roman" w:cstheme="minorHAnsi"/>
          <w:b/>
          <w:bCs/>
          <w:color w:val="000000" w:themeColor="text1"/>
          <w:sz w:val="22"/>
          <w:szCs w:val="22"/>
        </w:rPr>
        <w:commentReference w:id="9"/>
      </w:r>
    </w:p>
    <w:p w14:paraId="12F2760A" w14:textId="4815AB17" w:rsidR="00AA6B1A" w:rsidRDefault="00186456" w:rsidP="00BF7226">
      <w:pPr>
        <w:spacing w:after="0" w:line="360" w:lineRule="auto"/>
        <w:rPr>
          <w:rFonts w:eastAsia="Times New Roman" w:cstheme="minorHAnsi"/>
          <w:b/>
          <w:bCs/>
          <w:color w:val="000000" w:themeColor="text1"/>
        </w:rPr>
      </w:pPr>
      <w:r>
        <w:rPr>
          <w:rFonts w:eastAsia="Times New Roman" w:cstheme="minorHAnsi"/>
          <w:b/>
          <w:bCs/>
          <w:color w:val="000000" w:themeColor="text1"/>
        </w:rPr>
        <w:t>Figure 3: Projected Housing Density by TAZ Model Year 2035</w:t>
      </w:r>
      <w:r w:rsidR="0013139F">
        <w:rPr>
          <w:rFonts w:eastAsia="Times New Roman" w:cstheme="minorHAnsi"/>
          <w:b/>
          <w:bCs/>
          <w:color w:val="000000" w:themeColor="text1"/>
        </w:rPr>
      </w:r>
      <w:r w:rsidR="00AA6B1A">
        <w:rPr>
          <w:rFonts w:eastAsia="Times New Roman" w:cstheme="minorHAnsi"/>
          <w:b/>
          <w:bCs/>
          <w:color w:val="000000" w:themeColor="text1"/>
        </w:rPr>
      </w:r>
    </w:p>
    <w:p w14:paraId="37DA0162" w14:textId="1199B9BD" w:rsidR="00AA6B1A" w:rsidRDefault="00DE2C71" w:rsidP="00646419">
      <w:pPr>
        <w:spacing w:after="0" w:line="360" w:lineRule="auto"/>
        <w:rPr>
          <w:rFonts w:eastAsia="Times New Roman" w:cstheme="minorHAnsi"/>
          <w:b/>
          <w:bCs/>
          <w:color w:val="000000" w:themeColor="text1"/>
        </w:rPr>
      </w:pPr>
      <w:commentRangeStart w:id="10"/>
      <w:r>
        <w:rPr>
          <w:rFonts w:eastAsia="Times New Roman" w:cstheme="minorHAnsi"/>
          <w:b/>
          <w:bCs/>
          <w:noProof/>
          <w:color w:val="000000" w:themeColor="text1"/>
        </w:rPr>
        <w:lastRenderedPageBreak/>
        <w:drawing>
          <wp:inline distT="0" distB="0" distL="0" distR="0" wp14:anchorId="517752BD" wp14:editId="62B99786">
            <wp:extent cx="5943600" cy="7691755"/>
            <wp:effectExtent l="0" t="0" r="0" b="4445"/>
            <wp:docPr id="662760701" name="Picture 5" descr="A map of a lak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760701" name="Picture 5" descr="A map of a lake&#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7691755"/>
                    </a:xfrm>
                    <a:prstGeom prst="rect">
                      <a:avLst/>
                    </a:prstGeom>
                  </pic:spPr>
                </pic:pic>
              </a:graphicData>
            </a:graphic>
          </wp:inline>
        </w:drawing>
      </w:r>
      <w:commentRangeEnd w:id="10"/>
      <w:r w:rsidR="001815D6">
        <w:rPr>
          <w:rStyle w:val="CommentReference"/>
          <w:rFonts w:eastAsia="Times New Roman" w:cstheme="minorHAnsi"/>
          <w:b/>
          <w:bCs/>
          <w:color w:val="000000" w:themeColor="text1"/>
          <w:sz w:val="22"/>
          <w:szCs w:val="22"/>
        </w:rPr>
        <w:commentReference w:id="10"/>
      </w:r>
    </w:p>
    <w:p w14:paraId="53713916" w14:textId="35853EF3" w:rsidR="00AA6B1A" w:rsidRDefault="00186456">
      <w:pPr>
        <w:rPr>
          <w:rFonts w:eastAsia="Times New Roman" w:cstheme="minorHAnsi"/>
          <w:b/>
          <w:bCs/>
          <w:color w:val="000000" w:themeColor="text1"/>
        </w:rPr>
      </w:pPr>
      <w:r>
        <w:rPr>
          <w:rFonts w:eastAsia="Times New Roman" w:cstheme="minorHAnsi"/>
          <w:b/>
          <w:bCs/>
          <w:color w:val="000000" w:themeColor="text1"/>
        </w:rPr>
        <w:t>Figure 4: Projected Housing Density by TAZ Model Year 2050</w:t>
      </w:r>
      <w:r w:rsidR="0013139F">
        <w:rPr>
          <w:rFonts w:eastAsia="Times New Roman" w:cstheme="minorHAnsi"/>
          <w:b/>
          <w:bCs/>
          <w:color w:val="000000" w:themeColor="text1"/>
        </w:rPr>
      </w:r>
      <w:r w:rsidR="00AA6B1A">
        <w:rPr>
          <w:rFonts w:eastAsia="Times New Roman" w:cstheme="minorHAnsi"/>
          <w:b/>
          <w:bCs/>
          <w:color w:val="000000" w:themeColor="text1"/>
        </w:rPr>
      </w:r>
    </w:p>
    <w:p w14:paraId="05CC0880" w14:textId="5717B15A" w:rsidR="00646419" w:rsidRPr="00D03A40" w:rsidRDefault="00646419" w:rsidP="00BB6C26">
      <w:pPr>
        <w:pStyle w:val="Heading4"/>
      </w:pPr>
      <w:r w:rsidRPr="00D03A40">
        <w:lastRenderedPageBreak/>
        <w:t xml:space="preserve">Residential Occupancy </w:t>
      </w:r>
      <w:r w:rsidR="000D1F78">
        <w:t>R</w:t>
      </w:r>
      <w:r w:rsidRPr="00D03A40">
        <w:t>ate</w:t>
      </w:r>
    </w:p>
    <w:p w14:paraId="5D3DEBD1" w14:textId="304D5397" w:rsidR="00F71077" w:rsidRPr="00D03A40" w:rsidRDefault="000365D7" w:rsidP="000D1F78">
      <w:commentRangeStart w:id="11"/>
      <w:r w:rsidRPr="00D03A40">
        <w:t xml:space="preserve">The 2020 Decennial Census estimates that the proportion of occupied housing units in the Tahoe Region was 50% in </w:t>
      </w:r>
      <w:r w:rsidR="00E958E5" w:rsidRPr="00D03A40">
        <w:t xml:space="preserve">2020 </w:t>
      </w:r>
      <w:sdt>
        <w:sdtPr>
          <w:id w:val="907728513"/>
          <w:citation/>
        </w:sdtPr>
        <w:sdtContent>
          <w:r w:rsidR="00E958E5" w:rsidRPr="00D03A40">
            <w:fldChar w:fldCharType="begin"/>
          </w:r>
          <w:r w:rsidR="00E958E5" w:rsidRPr="20A6508D">
            <w:instrText xml:space="preserve"> CITATION USD23 \l 1033 </w:instrText>
          </w:r>
          <w:r w:rsidR="00E958E5" w:rsidRPr="00D03A40">
            <w:fldChar w:fldCharType="separate"/>
          </w:r>
          <w:r w:rsidR="00E958E5" w:rsidRPr="20A6508D">
            <w:t>(U.S. Department of Commerce, 2023)</w:t>
          </w:r>
          <w:r w:rsidR="00E958E5" w:rsidRPr="00D03A40">
            <w:fldChar w:fldCharType="end"/>
          </w:r>
        </w:sdtContent>
      </w:sdt>
      <w:r w:rsidRPr="00D03A40">
        <w:t>. The remaining 50% of the regional housing supply not occupied by full-time residents is classified by the ACS as seasonal use (44%, including short-term rentals) or otherwise vacant (6%). These figures were slightly higher than the 2010 Census, which reported that 49% of Tahoe’s housing units were occupied, 44% were seasonal use, and 7% were otherwise vacant.</w:t>
      </w:r>
      <w:commentRangeEnd w:id="11"/>
      <w:r w:rsidR="001815D6" w:rsidRPr="00D03A40">
        <w:rPr>
          <w:rStyle w:val="CommentReference"/>
          <w:sz w:val="22"/>
          <w:szCs w:val="22"/>
        </w:rPr>
        <w:commentReference w:id="11"/>
      </w:r>
    </w:p>
    <w:p w14:paraId="3163D097" w14:textId="7BB56E0D" w:rsidR="000365D7" w:rsidRPr="00D03A40" w:rsidRDefault="000365D7" w:rsidP="000D1F78">
      <w:r w:rsidRPr="00D03A40">
        <w:t xml:space="preserve">The 2020 housing occupancy data varies significantly by jurisdiction and community around the Tahoe Region, with some communities on the west shore of Tahoe approaching 70% to 80% seasonal and vacant housing units, and some east shore communities at 33% seasonal and vacant. </w:t>
      </w:r>
    </w:p>
    <w:p w14:paraId="1E069A34" w14:textId="405FAEF2" w:rsidR="000365D7" w:rsidRPr="00D03A40" w:rsidRDefault="00AC7DA1" w:rsidP="000365D7">
      <w:pPr>
        <w:spacing w:line="360" w:lineRule="auto"/>
        <w:rPr>
          <w:rFonts w:cstheme="minorHAnsi"/>
        </w:rPr>
      </w:pPr>
      <w:r w:rsidRPr="00AC7DA1">
        <w:rPr>
          <w:noProof/>
        </w:rPr>
        <w:drawing>
          <wp:inline distT="0" distB="0" distL="0" distR="0" wp14:anchorId="02E2B806" wp14:editId="49864F3A">
            <wp:extent cx="5172075" cy="2752725"/>
            <wp:effectExtent l="0" t="0" r="9525" b="9525"/>
            <wp:docPr id="451352613" name="Picture 4" descr="A graph of numbers and a number of peop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352613" name="Picture 4" descr="A graph of numbers and a number of people&#10;&#10;AI-generated content may be incorrec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172075" cy="2752725"/>
                    </a:xfrm>
                    <a:prstGeom prst="rect">
                      <a:avLst/>
                    </a:prstGeom>
                    <a:noFill/>
                    <a:ln>
                      <a:noFill/>
                    </a:ln>
                  </pic:spPr>
                </pic:pic>
              </a:graphicData>
            </a:graphic>
          </wp:inline>
        </w:drawing>
      </w:r>
      <w:r w:rsidRPr="00AC7DA1">
        <w:br/>
      </w:r>
      <w:r w:rsidR="00171A0C" w:rsidRPr="00BF7226">
        <w:rPr>
          <w:b/>
        </w:rPr>
        <w:t>Figure 5</w:t>
      </w:r>
      <w:r w:rsidR="0013139F">
        <w:rPr>
          <w:b/>
        </w:rPr>
        <w:t>: US Decennial Census: Housing Occupancy in the Tahoe Region</w:t>
      </w:r>
    </w:p>
    <w:p w14:paraId="7E56839F" w14:textId="2CFA7F3B" w:rsidR="000365D7" w:rsidRPr="00D03A40" w:rsidRDefault="000365D7" w:rsidP="000D1F78">
      <w:r w:rsidRPr="7B403D96">
        <w:t xml:space="preserve">The forecast includes an increase in the proportion of residential units occupied by full-time residents (owner-occupied and renter-occupied) and assumes a return to pre-Covid level of second home occupancy. Three factors are expected to contribute to the shift: 1) Housing Initiatives to </w:t>
      </w:r>
      <w:r w:rsidR="0913D33A" w:rsidRPr="7B403D96">
        <w:t xml:space="preserve">support </w:t>
      </w:r>
      <w:r w:rsidRPr="7B403D96">
        <w:t xml:space="preserve">construction of new workforce, achievable, and affordable housing in the region, 2) Housing initiatives to </w:t>
      </w:r>
      <w:r w:rsidR="64889BDE" w:rsidRPr="7B403D96">
        <w:t>support</w:t>
      </w:r>
      <w:r w:rsidRPr="7B403D96">
        <w:t xml:space="preserve"> the transition of the existing stock of residential units from second homes and short term rentals to resident-occupied units, and 3) Short term rentals regulations. Additional details on each factor </w:t>
      </w:r>
      <w:r w:rsidR="00171A0C" w:rsidRPr="7B403D96">
        <w:t>are</w:t>
      </w:r>
      <w:r w:rsidRPr="7B403D96">
        <w:t xml:space="preserve"> provided below. </w:t>
      </w:r>
    </w:p>
    <w:p w14:paraId="58045695" w14:textId="77777777" w:rsidR="000365D7" w:rsidRPr="001815D6" w:rsidRDefault="000365D7" w:rsidP="00842940">
      <w:pPr>
        <w:pStyle w:val="ListParagraph"/>
        <w:numPr>
          <w:ilvl w:val="0"/>
          <w:numId w:val="12"/>
        </w:numPr>
        <w:rPr>
          <w:rFonts w:cstheme="minorHAnsi"/>
          <w:b/>
          <w:bCs/>
          <w:sz w:val="24"/>
          <w:szCs w:val="24"/>
          <w:highlight w:val="yellow"/>
        </w:rPr>
      </w:pPr>
      <w:r w:rsidRPr="001815D6">
        <w:rPr>
          <w:rFonts w:cstheme="minorHAnsi"/>
          <w:i/>
          <w:iCs/>
          <w:highlight w:val="yellow"/>
        </w:rPr>
        <w:t>Housing initiatives to promote new workforce and income-restricted housing</w:t>
      </w:r>
      <w:r w:rsidRPr="001815D6">
        <w:rPr>
          <w:rFonts w:cstheme="minorHAnsi"/>
          <w:highlight w:val="yellow"/>
        </w:rPr>
        <w:t xml:space="preserve">: The development forecast includes construction of all of the remaining 1,448 residential units from the TRPA residential bonus unit pool. Residential Bonus Units are awarded as transfer incentives for relocating remote development into town centers, and for the construction of affordable/moderate/achievable housing. New housing constructed with Residential Bonus </w:t>
      </w:r>
      <w:r w:rsidRPr="001815D6">
        <w:rPr>
          <w:rFonts w:cstheme="minorHAnsi"/>
          <w:highlight w:val="yellow"/>
        </w:rPr>
        <w:lastRenderedPageBreak/>
        <w:t xml:space="preserve">Units is required by TRPA Code to be deed-restricted to prohibit these housing units from being used for second homes or vacation rentals. </w:t>
      </w:r>
    </w:p>
    <w:p w14:paraId="397A7AA8" w14:textId="77777777" w:rsidR="000365D7" w:rsidRPr="001815D6" w:rsidRDefault="000365D7" w:rsidP="00842940">
      <w:pPr>
        <w:pStyle w:val="ListParagraph"/>
        <w:numPr>
          <w:ilvl w:val="0"/>
          <w:numId w:val="12"/>
        </w:numPr>
        <w:rPr>
          <w:rFonts w:cstheme="minorHAnsi"/>
          <w:highlight w:val="yellow"/>
        </w:rPr>
      </w:pPr>
      <w:r w:rsidRPr="001815D6">
        <w:rPr>
          <w:rFonts w:cstheme="minorHAnsi"/>
          <w:i/>
          <w:iCs/>
          <w:highlight w:val="yellow"/>
        </w:rPr>
        <w:t xml:space="preserve">Short term rental regulations: </w:t>
      </w:r>
      <w:r w:rsidRPr="001815D6">
        <w:rPr>
          <w:rFonts w:cstheme="minorHAnsi"/>
          <w:highlight w:val="yellow"/>
        </w:rPr>
        <w:t xml:space="preserve">Since the 2020 RTP, there have been numerous changes in the regulation of short-term rentals by local jurisdictions. </w:t>
      </w:r>
    </w:p>
    <w:p w14:paraId="2AC0416B" w14:textId="4C387EB4" w:rsidR="000365D7" w:rsidRPr="001815D6" w:rsidRDefault="000365D7" w:rsidP="00842940">
      <w:pPr>
        <w:pStyle w:val="ListParagraph"/>
        <w:numPr>
          <w:ilvl w:val="1"/>
          <w:numId w:val="12"/>
        </w:numPr>
        <w:rPr>
          <w:rFonts w:cstheme="minorHAnsi"/>
          <w:highlight w:val="yellow"/>
        </w:rPr>
      </w:pPr>
      <w:r w:rsidRPr="001815D6">
        <w:rPr>
          <w:rFonts w:cstheme="minorHAnsi"/>
          <w:i/>
          <w:iCs/>
          <w:highlight w:val="yellow"/>
        </w:rPr>
        <w:t xml:space="preserve">Measure T in the City of South Lake Tahoe: Voters passed Measure T in the City of South Lake Tahoe in November 2018. The measure includes broad restrictions on short term rentals (STRs) outside select areas in the city. The restrictions went into effect on December 31, 2021. As a result of the measure, approximately 1,372 previously permitted VHRs were not renewed. In March of 2025, this measure was declared unconstitutional requiring the City to develop a short-term rental program once again. For Alternative 1, modeling considered the Measure T requirements in effect at the time the prior model was run. Alternative 3 accounts for increased residential occupancy that results from STR regulations across all jurisdictions. In TRPA’s model runs, the model considered these units residential units and assumed an average occupancy rate based on the census block occupancy rates. Trips/VMT were assumed in the Resident submodel based on residential trip rates and resident O/D behavior (as opposed to the visitor submodel, trip purposes/destinations). On average, residential units produce more vehicle trips/VMT than lodging and rental units. Other VHRs in the region were considered in the Visitor submodel. Future analyses will account for the number of permitted VHRs at the time of the input base year, and forecasts will generally assume full utilization of the maximum permits allowed by the jurisdiction. </w:t>
      </w:r>
      <w:r w:rsidRPr="001815D6">
        <w:rPr>
          <w:rFonts w:cstheme="minorHAnsi"/>
          <w:highlight w:val="yellow"/>
        </w:rPr>
      </w:r>
      <w:r w:rsidRPr="001815D6">
        <w:rPr>
          <w:rFonts w:cstheme="minorHAnsi"/>
          <w:i/>
          <w:iCs/>
          <w:highlight w:val="yellow"/>
        </w:rPr>
      </w:r>
      <w:r w:rsidRPr="001815D6">
        <w:rPr>
          <w:rFonts w:cstheme="minorHAnsi"/>
          <w:highlight w:val="yellow"/>
        </w:rPr>
      </w:r>
      <w:r w:rsidRPr="001815D6">
        <w:rPr>
          <w:highlight w:val="yellow"/>
        </w:rPr>
      </w:r>
      <w:r w:rsidRPr="001815D6">
        <w:rPr>
          <w:rFonts w:cstheme="minorHAnsi"/>
          <w:highlight w:val="yellow"/>
        </w:rPr>
      </w:r>
      <w:r w:rsidRPr="001815D6">
        <w:rPr>
          <w:rFonts w:eastAsiaTheme="minorEastAsia" w:cstheme="minorHAnsi"/>
          <w:highlight w:val="yellow"/>
        </w:rPr>
      </w:r>
      <w:sdt>
        <w:sdtPr>
          <w:rPr>
            <w:rFonts w:eastAsiaTheme="minorEastAsia"/>
            <w:highlight w:val="yellow"/>
          </w:rPr>
          <w:id w:val="419837726"/>
          <w:citation/>
        </w:sdtPr>
        <w:sdtContent>
          <w:r w:rsidR="006C4D58" w:rsidRPr="001815D6">
            <w:rPr>
              <w:rFonts w:eastAsiaTheme="minorEastAsia" w:cstheme="minorHAnsi"/>
              <w:highlight w:val="yellow"/>
            </w:rPr>
            <w:fldChar w:fldCharType="begin"/>
          </w:r>
          <w:r w:rsidR="006C4D58" w:rsidRPr="001815D6">
            <w:rPr>
              <w:rFonts w:eastAsiaTheme="minorEastAsia" w:cstheme="minorHAnsi"/>
              <w:highlight w:val="yellow"/>
            </w:rPr>
            <w:instrText xml:space="preserve">CITATION MT \l 1033 </w:instrText>
          </w:r>
          <w:r w:rsidR="006C4D58" w:rsidRPr="001815D6">
            <w:rPr>
              <w:rFonts w:eastAsiaTheme="minorEastAsia" w:cstheme="minorHAnsi"/>
              <w:highlight w:val="yellow"/>
            </w:rPr>
            <w:fldChar w:fldCharType="separate"/>
          </w:r>
          <w:r w:rsidR="006C4D58" w:rsidRPr="001815D6">
            <w:rPr>
              <w:rFonts w:eastAsiaTheme="minorEastAsia" w:cstheme="minorHAnsi"/>
              <w:noProof/>
              <w:highlight w:val="yellow"/>
            </w:rPr>
            <w:t xml:space="preserve"> (City of South Lake Tahoe, n.d.)</w:t>
          </w:r>
          <w:r w:rsidR="006C4D58" w:rsidRPr="001815D6">
            <w:rPr>
              <w:rFonts w:eastAsiaTheme="minorEastAsia" w:cstheme="minorHAnsi"/>
              <w:highlight w:val="yellow"/>
            </w:rPr>
            <w:fldChar w:fldCharType="end"/>
          </w:r>
        </w:sdtContent>
      </w:sdt>
      <w:r w:rsidR="005350EC" w:rsidRPr="001815D6">
        <w:rPr>
          <w:rFonts w:eastAsiaTheme="minorEastAsia"/>
          <w:highlight w:val="yellow"/>
        </w:rPr>
      </w:r>
      <w:r w:rsidR="0040113B" w:rsidRPr="001815D6">
        <w:rPr>
          <w:rFonts w:eastAsiaTheme="minorEastAsia"/>
          <w:highlight w:val="yellow"/>
        </w:rPr>
      </w:r>
      <w:r w:rsidR="001D3F13" w:rsidRPr="001815D6">
        <w:rPr>
          <w:rFonts w:eastAsiaTheme="minorEastAsia"/>
          <w:highlight w:val="yellow"/>
        </w:rPr>
      </w:r>
      <w:r w:rsidR="004069FA" w:rsidRPr="001815D6">
        <w:rPr>
          <w:rFonts w:eastAsiaTheme="minorEastAsia"/>
          <w:highlight w:val="yellow"/>
        </w:rPr>
      </w:r>
      <w:r w:rsidR="00FE256C" w:rsidRPr="001815D6">
        <w:rPr>
          <w:rFonts w:eastAsiaTheme="minorEastAsia"/>
          <w:highlight w:val="yellow"/>
        </w:rPr>
      </w:r>
      <w:r w:rsidR="004069FA" w:rsidRPr="001815D6">
        <w:rPr>
          <w:rFonts w:eastAsiaTheme="minorEastAsia"/>
          <w:highlight w:val="yellow"/>
        </w:rPr>
      </w:r>
      <w:r w:rsidR="000E27C8" w:rsidRPr="001815D6">
        <w:rPr>
          <w:rFonts w:eastAsiaTheme="minorEastAsia"/>
          <w:highlight w:val="yellow"/>
        </w:rPr>
      </w:r>
      <w:r w:rsidR="00166F76" w:rsidRPr="001815D6">
        <w:rPr>
          <w:rFonts w:eastAsiaTheme="minorEastAsia"/>
          <w:highlight w:val="yellow"/>
        </w:rPr>
      </w:r>
      <w:r w:rsidR="004376F4" w:rsidRPr="001815D6">
        <w:rPr>
          <w:rFonts w:eastAsiaTheme="minorEastAsia"/>
          <w:highlight w:val="yellow"/>
        </w:rPr>
      </w:r>
      <w:r w:rsidR="00166F76" w:rsidRPr="001815D6">
        <w:rPr>
          <w:rFonts w:eastAsiaTheme="minorEastAsia"/>
          <w:highlight w:val="yellow"/>
        </w:rPr>
      </w:r>
      <w:r w:rsidR="008D3D66" w:rsidRPr="001815D6">
        <w:rPr>
          <w:rFonts w:eastAsiaTheme="minorEastAsia"/>
          <w:highlight w:val="yellow"/>
        </w:rPr>
      </w:r>
      <w:r w:rsidR="009D008D" w:rsidRPr="001815D6">
        <w:rPr>
          <w:rFonts w:eastAsiaTheme="minorEastAsia"/>
          <w:highlight w:val="yellow"/>
        </w:rPr>
      </w:r>
      <w:r w:rsidR="002414A4" w:rsidRPr="001815D6">
        <w:rPr>
          <w:rFonts w:eastAsiaTheme="minorEastAsia"/>
          <w:highlight w:val="yellow"/>
        </w:rPr>
      </w:r>
      <w:r w:rsidR="005556A6" w:rsidRPr="001815D6">
        <w:rPr>
          <w:rFonts w:eastAsiaTheme="minorEastAsia"/>
          <w:highlight w:val="yellow"/>
        </w:rPr>
      </w:r>
      <w:r w:rsidR="00EC7014" w:rsidRPr="001815D6">
        <w:rPr>
          <w:rFonts w:eastAsiaTheme="minorEastAsia"/>
          <w:highlight w:val="yellow"/>
        </w:rPr>
      </w:r>
      <w:r w:rsidR="001E0B9F" w:rsidRPr="001815D6">
        <w:rPr>
          <w:rFonts w:eastAsiaTheme="minorEastAsia"/>
          <w:highlight w:val="yellow"/>
        </w:rPr>
      </w:r>
      <w:r w:rsidR="00D718F7" w:rsidRPr="001815D6">
        <w:rPr>
          <w:rFonts w:eastAsiaTheme="minorEastAsia"/>
          <w:highlight w:val="yellow"/>
        </w:rPr>
      </w:r>
      <w:r w:rsidR="00141F5D" w:rsidRPr="001815D6">
        <w:rPr>
          <w:rFonts w:eastAsiaTheme="minorEastAsia"/>
          <w:highlight w:val="yellow"/>
        </w:rPr>
      </w:r>
      <w:r w:rsidR="00D718F7" w:rsidRPr="001815D6">
        <w:rPr>
          <w:rFonts w:eastAsiaTheme="minorEastAsia"/>
          <w:highlight w:val="yellow"/>
        </w:rPr>
      </w:r>
      <w:r w:rsidR="00E53F68" w:rsidRPr="001815D6">
        <w:rPr>
          <w:rFonts w:eastAsiaTheme="minorEastAsia"/>
          <w:highlight w:val="yellow"/>
        </w:rPr>
      </w:r>
      <w:r w:rsidR="00D718F7" w:rsidRPr="001815D6">
        <w:rPr>
          <w:rFonts w:eastAsiaTheme="minorEastAsia"/>
          <w:highlight w:val="yellow"/>
        </w:rPr>
      </w:r>
      <w:r w:rsidR="00037AAD" w:rsidRPr="001815D6">
        <w:rPr>
          <w:rFonts w:eastAsiaTheme="minorEastAsia"/>
          <w:highlight w:val="yellow"/>
        </w:rPr>
      </w:r>
      <w:r w:rsidR="00D718F7" w:rsidRPr="001815D6">
        <w:rPr>
          <w:rFonts w:eastAsiaTheme="minorEastAsia"/>
          <w:highlight w:val="yellow"/>
        </w:rPr>
      </w:r>
    </w:p>
    <w:p w14:paraId="2C9A7D2A" w14:textId="0F21B246" w:rsidR="000365D7" w:rsidRPr="00D03A40" w:rsidRDefault="000365D7" w:rsidP="00842940">
      <w:pPr>
        <w:pStyle w:val="ListParagraph"/>
        <w:numPr>
          <w:ilvl w:val="1"/>
          <w:numId w:val="12"/>
        </w:numPr>
        <w:rPr>
          <w:rFonts w:cstheme="minorHAnsi"/>
        </w:rPr>
      </w:pPr>
      <w:r w:rsidRPr="00D03A40">
        <w:rPr>
          <w:rFonts w:cstheme="minorHAnsi"/>
          <w:i/>
          <w:iCs/>
        </w:rPr>
        <w:t>Douglas County</w:t>
      </w:r>
      <w:r w:rsidRPr="00D03A40">
        <w:rPr>
          <w:rFonts w:cstheme="minorHAnsi"/>
        </w:rPr>
        <w:t>: In 2021, Douglas County adopted changes to its vacation home rental ordinance that placed a cap on the total number of permits available (600) in the Tahoe Township, placed caps on the number of permits available in each subdivision, established a tiered permit structure, created an advisory board, and substantially increased the penalties for violations. The current version of Douglas County’s Lake Tahoe Vacation Home Rentals ordinance (chapter 20.622 of the Douglas County Code) was adopted March 21, 2024. Under current regulations, vacation home rentals are either prohibited or heavily restricted in and north of Lincoln Park, with VHRs in allowed subdivisions limited to 15% of housing stock. Many neighborhoods have reached their caps, with additional permit requests added to a waitlist.</w:t>
      </w:r>
      <w:sdt>
        <w:sdtPr>
          <w:id w:val="1453975088"/>
          <w:citation/>
        </w:sdtPr>
        <w:sdtContent>
          <w:r w:rsidR="006C4D58" w:rsidRPr="00D03A40">
            <w:rPr>
              <w:rFonts w:cstheme="minorHAnsi"/>
            </w:rPr>
            <w:fldChar w:fldCharType="begin"/>
          </w:r>
          <w:r w:rsidR="006C4D58" w:rsidRPr="00D03A40">
            <w:rPr>
              <w:rFonts w:cstheme="minorHAnsi"/>
            </w:rPr>
            <w:instrText xml:space="preserve"> CITATION Dou24 \l 1033 </w:instrText>
          </w:r>
          <w:r w:rsidR="006C4D58" w:rsidRPr="00D03A40">
            <w:rPr>
              <w:rFonts w:cstheme="minorHAnsi"/>
            </w:rPr>
            <w:fldChar w:fldCharType="separate"/>
          </w:r>
          <w:r w:rsidR="006C4D58" w:rsidRPr="00D03A40">
            <w:rPr>
              <w:rFonts w:cstheme="minorHAnsi"/>
              <w:noProof/>
            </w:rPr>
            <w:t xml:space="preserve"> (Douglas County Board of County Commissioners, 2024)</w:t>
          </w:r>
          <w:r w:rsidR="006C4D58" w:rsidRPr="00D03A40">
            <w:rPr>
              <w:rFonts w:cstheme="minorHAnsi"/>
            </w:rPr>
            <w:fldChar w:fldCharType="end"/>
          </w:r>
        </w:sdtContent>
      </w:sdt>
    </w:p>
    <w:p w14:paraId="3DC07F30" w14:textId="3D87DB24" w:rsidR="000365D7" w:rsidRPr="00D03A40" w:rsidRDefault="000365D7" w:rsidP="00842940">
      <w:pPr>
        <w:pStyle w:val="ListParagraph"/>
        <w:numPr>
          <w:ilvl w:val="1"/>
          <w:numId w:val="12"/>
        </w:numPr>
        <w:rPr>
          <w:rFonts w:cstheme="minorHAnsi"/>
        </w:rPr>
      </w:pPr>
      <w:r w:rsidRPr="00D03A40">
        <w:rPr>
          <w:rFonts w:cstheme="minorHAnsi"/>
          <w:i/>
          <w:iCs/>
        </w:rPr>
        <w:t xml:space="preserve">El Dorado </w:t>
      </w:r>
      <w:r w:rsidRPr="000D1F78">
        <w:rPr>
          <w:rFonts w:cstheme="minorHAnsi"/>
          <w:i/>
          <w:iCs/>
        </w:rPr>
        <w:t>County</w:t>
      </w:r>
      <w:r w:rsidRPr="00D03A40">
        <w:rPr>
          <w:rFonts w:cstheme="minorHAnsi"/>
        </w:rPr>
        <w:t>: El Dorado County adopted a new county-wide VHR ordinance on December 2, 2020. This ordinance limited the number of permits in the Tahoe Basin to 900 permits. On August 24, 2021, the ordinance was amended to require a 500-foot buffer around all active VHR permits. El Dorado County’s permit cap was reached in May 2023.</w:t>
      </w:r>
      <w:sdt>
        <w:sdtPr>
          <w:id w:val="1815598282"/>
          <w:citation/>
        </w:sdtPr>
        <w:sdtContent>
          <w:r w:rsidR="006C4D58" w:rsidRPr="00D03A40">
            <w:rPr>
              <w:rFonts w:cstheme="minorHAnsi"/>
            </w:rPr>
            <w:fldChar w:fldCharType="begin"/>
          </w:r>
          <w:r w:rsidR="006C4D58" w:rsidRPr="00D03A40">
            <w:rPr>
              <w:rFonts w:cstheme="minorHAnsi"/>
            </w:rPr>
            <w:instrText xml:space="preserve"> CITATION ElD \l 1033 </w:instrText>
          </w:r>
          <w:r w:rsidR="006C4D58" w:rsidRPr="00D03A40">
            <w:rPr>
              <w:rFonts w:cstheme="minorHAnsi"/>
            </w:rPr>
            <w:fldChar w:fldCharType="separate"/>
          </w:r>
          <w:r w:rsidR="006C4D58" w:rsidRPr="00D03A40">
            <w:rPr>
              <w:rFonts w:cstheme="minorHAnsi"/>
              <w:noProof/>
            </w:rPr>
            <w:t xml:space="preserve"> (El Dorado County, n.d.)</w:t>
          </w:r>
          <w:r w:rsidR="006C4D58" w:rsidRPr="00D03A40">
            <w:rPr>
              <w:rFonts w:cstheme="minorHAnsi"/>
            </w:rPr>
            <w:fldChar w:fldCharType="end"/>
          </w:r>
        </w:sdtContent>
      </w:sdt>
    </w:p>
    <w:p w14:paraId="1CDC207E" w14:textId="07313499" w:rsidR="000365D7" w:rsidRPr="00D03A40" w:rsidRDefault="000365D7" w:rsidP="00842940">
      <w:pPr>
        <w:pStyle w:val="ListParagraph"/>
        <w:numPr>
          <w:ilvl w:val="1"/>
          <w:numId w:val="12"/>
        </w:numPr>
        <w:rPr>
          <w:rFonts w:cstheme="minorHAnsi"/>
        </w:rPr>
      </w:pPr>
      <w:r w:rsidRPr="00D03A40">
        <w:rPr>
          <w:rFonts w:cstheme="minorHAnsi"/>
          <w:i/>
          <w:iCs/>
        </w:rPr>
        <w:t>Placer County</w:t>
      </w:r>
      <w:r w:rsidRPr="00D03A40">
        <w:rPr>
          <w:rFonts w:cstheme="minorHAnsi"/>
        </w:rPr>
        <w:t>: Placer County adopted a STR ordinance in November 2019, going into effect in January 2020. This ordinance was repealed and replaced with the current STR ordinance on February 8, 2022, effective March 11, 2022</w:t>
      </w:r>
      <w:r w:rsidR="00E958E5" w:rsidRPr="00D03A40">
        <w:rPr>
          <w:rFonts w:cstheme="minorHAnsi"/>
        </w:rPr>
        <w:t>, with later amendments</w:t>
      </w:r>
      <w:r w:rsidRPr="00D03A40">
        <w:rPr>
          <w:rFonts w:cstheme="minorHAnsi"/>
        </w:rPr>
        <w:t xml:space="preserve">. The current ordinance limits the number of STR permits east of Kingvale to 3,900 permits, </w:t>
      </w:r>
      <w:r w:rsidRPr="00D03A40">
        <w:rPr>
          <w:rFonts w:cstheme="minorHAnsi"/>
        </w:rPr>
        <w:lastRenderedPageBreak/>
        <w:t>with 3,227 permits active as of October 2024. About two-thirds of the active permits are located within the Tahoe Basin, with most of the remainder in the Northstar, Soda Springs, Schaffer’s Mill, and Olympic Valley/Alpine Meadows areas outside of the Tahoe Basin. There is no specific cap on Tahoe permits, though Placer County representatives have stated that the cap may be lowered if additional hotel or resort capacity is constructed.</w:t>
      </w:r>
      <w:sdt>
        <w:sdtPr>
          <w:id w:val="930313803"/>
          <w:citation/>
        </w:sdtPr>
        <w:sdtContent>
          <w:r w:rsidR="00E958E5" w:rsidRPr="00D03A40">
            <w:rPr>
              <w:rFonts w:cstheme="minorHAnsi"/>
            </w:rPr>
            <w:fldChar w:fldCharType="begin"/>
          </w:r>
          <w:r w:rsidR="00E958E5" w:rsidRPr="00D03A40">
            <w:rPr>
              <w:rFonts w:cstheme="minorHAnsi"/>
            </w:rPr>
            <w:instrText xml:space="preserve"> CITATION Pla24 \l 1033 </w:instrText>
          </w:r>
          <w:r w:rsidR="00E958E5" w:rsidRPr="00D03A40">
            <w:rPr>
              <w:rFonts w:cstheme="minorHAnsi"/>
            </w:rPr>
            <w:fldChar w:fldCharType="separate"/>
          </w:r>
          <w:r w:rsidR="00E958E5" w:rsidRPr="00D03A40">
            <w:rPr>
              <w:rFonts w:cstheme="minorHAnsi"/>
              <w:noProof/>
            </w:rPr>
            <w:t xml:space="preserve"> (Placer County Code Enforcement Services, 2024)</w:t>
          </w:r>
          <w:r w:rsidR="00E958E5" w:rsidRPr="00D03A40">
            <w:rPr>
              <w:rFonts w:cstheme="minorHAnsi"/>
            </w:rPr>
            <w:fldChar w:fldCharType="end"/>
          </w:r>
        </w:sdtContent>
      </w:sdt>
    </w:p>
    <w:p w14:paraId="43D74343" w14:textId="730AAFA0" w:rsidR="000365D7" w:rsidRPr="00D03A40" w:rsidRDefault="000365D7" w:rsidP="00842940">
      <w:pPr>
        <w:pStyle w:val="ListParagraph"/>
        <w:numPr>
          <w:ilvl w:val="1"/>
          <w:numId w:val="12"/>
        </w:numPr>
        <w:rPr>
          <w:rFonts w:cstheme="minorHAnsi"/>
        </w:rPr>
      </w:pPr>
      <w:r w:rsidRPr="00D03A40">
        <w:rPr>
          <w:rFonts w:cstheme="minorHAnsi"/>
          <w:i/>
          <w:iCs/>
        </w:rPr>
        <w:t>Washoe County</w:t>
      </w:r>
      <w:r w:rsidRPr="00D03A40">
        <w:rPr>
          <w:rFonts w:cstheme="minorHAnsi"/>
        </w:rPr>
        <w:t>: Unlike other jurisdictions in the Tahoe Basin, Washoe County does not place a limit on the number of STR permits that may be issued. The current Washoe County STR ordinance was adopted May 10, 2022. More recently, STR fees were increased, with the latest fee schedule becoming effective on July 1, 2024. Separate from county regulations, some homeowners’ associations in Washoe County ban STRs.</w:t>
      </w:r>
      <w:sdt>
        <w:sdtPr>
          <w:id w:val="2032997858"/>
          <w:citation/>
        </w:sdtPr>
        <w:sdtContent>
          <w:r w:rsidR="00E958E5" w:rsidRPr="00D03A40">
            <w:rPr>
              <w:rFonts w:cstheme="minorHAnsi"/>
            </w:rPr>
            <w:fldChar w:fldCharType="begin"/>
          </w:r>
          <w:r w:rsidR="00E958E5" w:rsidRPr="00D03A40">
            <w:rPr>
              <w:rFonts w:cstheme="minorHAnsi"/>
            </w:rPr>
            <w:instrText xml:space="preserve"> CITATION Was24 \l 1033 </w:instrText>
          </w:r>
          <w:r w:rsidR="00E958E5" w:rsidRPr="00D03A40">
            <w:rPr>
              <w:rFonts w:cstheme="minorHAnsi"/>
            </w:rPr>
            <w:fldChar w:fldCharType="separate"/>
          </w:r>
          <w:r w:rsidR="00E958E5" w:rsidRPr="00D03A40">
            <w:rPr>
              <w:rFonts w:cstheme="minorHAnsi"/>
              <w:noProof/>
            </w:rPr>
            <w:t xml:space="preserve"> (Washoe County Community Services Department, 2024)</w:t>
          </w:r>
          <w:r w:rsidR="00E958E5" w:rsidRPr="00D03A40">
            <w:rPr>
              <w:rFonts w:cstheme="minorHAnsi"/>
            </w:rPr>
            <w:fldChar w:fldCharType="end"/>
          </w:r>
        </w:sdtContent>
      </w:sdt>
    </w:p>
    <w:p w14:paraId="14FBE2A2" w14:textId="78B5FA84" w:rsidR="003F68D8" w:rsidRPr="00D03A40" w:rsidRDefault="003F68D8" w:rsidP="0099704D">
      <w:pPr>
        <w:spacing w:after="0" w:line="360" w:lineRule="auto"/>
        <w:rPr>
          <w:rFonts w:eastAsia="Times New Roman"/>
        </w:rPr>
      </w:pPr>
    </w:p>
    <w:p w14:paraId="6C15337B" w14:textId="50BDB333" w:rsidR="00A3079B" w:rsidRPr="00D03A40" w:rsidRDefault="00A3079B" w:rsidP="00BB6C26">
      <w:pPr>
        <w:pStyle w:val="Heading4"/>
        <w:rPr>
          <w:rFonts w:cstheme="minorHAnsi"/>
          <w:color w:val="000000" w:themeColor="text1"/>
        </w:rPr>
      </w:pPr>
      <w:r w:rsidRPr="00D03A40">
        <w:t xml:space="preserve">Commercial Floor </w:t>
      </w:r>
      <w:r w:rsidRPr="00AB3E4A">
        <w:t xml:space="preserve">Area </w:t>
      </w:r>
      <w:r w:rsidR="00C1264C" w:rsidRPr="00AB3E4A">
        <w:t>(CFA)</w:t>
      </w:r>
    </w:p>
    <w:p w14:paraId="6B6CDA6C" w14:textId="1F895283" w:rsidR="00601787" w:rsidRPr="00D03A40" w:rsidRDefault="00601787" w:rsidP="000D1F78">
      <w:pPr>
        <w:rPr>
          <w:rFonts w:eastAsia="Times New Roman"/>
        </w:rPr>
      </w:pPr>
      <w:r w:rsidRPr="00D03A40">
        <w:t xml:space="preserve">There are currently 529,880 square feet of unused commercial floor area in TRPA and local jurisdiction community/area plan pools. Since 2013, a total of 50,200 square feet of CFA has been allocated to projects; an average rate of 5,020 square feet of CFA per year. The forecast includes the construction of an additional of 78,676 square feet of CFA by 2035 (local jurisdiction pools) and approximately 161,373 square feet by 2050. The forecasted rate of development – 5,763 square feet - is higher than the observed rate since the 2012 Regional Plan, but lower than rates used in prior regional forecasts. CFA was allocated to known projects that have been permitted or are in the planning phase, but not constructed; remaining CFA was allocated to town centers and community plans or area plans using the observed proportions from recent allocations. </w:t>
      </w:r>
      <w:r w:rsidRPr="001815D6">
        <w:rPr>
          <w:highlight w:val="yellow"/>
        </w:rPr>
      </w:r>
      <w:r w:rsidRPr="00D03A40"/>
      <w:r w:rsidRPr="001815D6">
        <w:rPr>
          <w:highlight w:val="yellow"/>
        </w:rPr>
      </w:r>
      <w:r w:rsidR="00F71077" w:rsidRPr="001815D6">
        <w:rPr>
          <w:highlight w:val="yellow"/>
        </w:rPr>
      </w:r>
      <w:r w:rsidRPr="001815D6">
        <w:rPr>
          <w:highlight w:val="yellow"/>
        </w:rPr>
      </w:r>
      <w:r w:rsidRPr="00D03A40"/>
      <w:r w:rsidRPr="00D03A40">
        <w:rPr>
          <w:rFonts w:eastAsia="Times New Roman"/>
        </w:rPr>
      </w:r>
      <w:r w:rsidRPr="20A6508D">
        <w:rPr>
          <w:rFonts w:eastAsia="Times New Roman"/>
        </w:rPr>
      </w:r>
      <w:r w:rsidRPr="00D03A40">
        <w:rPr>
          <w:rFonts w:eastAsia="Times New Roman"/>
        </w:rPr>
      </w:r>
    </w:p>
    <w:p w14:paraId="243310EE" w14:textId="6DC5C9B3" w:rsidR="008E7155" w:rsidRPr="000D1F78" w:rsidRDefault="00601787" w:rsidP="000D1F78">
      <w:pPr>
        <w:rPr>
          <w:rFonts w:eastAsia="Times New Roman"/>
        </w:rPr>
      </w:pPr>
      <w:r w:rsidRPr="00D03A40">
        <w:rPr>
          <w:rFonts w:eastAsia="Times New Roman"/>
        </w:rPr>
        <w:t>The forecast includes the conversion of 100,000 square feet of CFA to residential units, consistent with conversion trends since the adoption of the conversion program; recent trends indicate the net conversion from CFA and TAUs towards Residential. The converted CFA is forecasted to result in the construction of 400 additional residential units --200 multifamily units, and 200 single family units. At the end of the forecast period, 457,627 square feet of CFA remains unallocated or banked, and thus unconstructed.</w:t>
      </w:r>
    </w:p>
    <w:p w14:paraId="0C7A3247" w14:textId="23DE5A18" w:rsidR="00A3079B" w:rsidRPr="00D03A40" w:rsidRDefault="00A3079B" w:rsidP="00BB6C26">
      <w:pPr>
        <w:pStyle w:val="Heading4"/>
        <w:rPr>
          <w:rFonts w:cstheme="minorHAnsi"/>
          <w:color w:val="000000" w:themeColor="text1"/>
        </w:rPr>
      </w:pPr>
      <w:r w:rsidRPr="00D03A40">
        <w:t xml:space="preserve">Tourist Accommodation </w:t>
      </w:r>
      <w:r w:rsidRPr="00AB3E4A">
        <w:t xml:space="preserve">Units </w:t>
      </w:r>
      <w:r w:rsidR="00C1264C" w:rsidRPr="00AB3E4A">
        <w:t>(TAU)</w:t>
      </w:r>
    </w:p>
    <w:p w14:paraId="1D6F272B" w14:textId="753DC8CA" w:rsidR="00601787" w:rsidRPr="00D03A40" w:rsidRDefault="00601787" w:rsidP="000D1F78">
      <w:r w:rsidRPr="00D03A40">
        <w:t xml:space="preserve">The forecast includes the construction of an additional 489 TAUs by 2035 and another 503 TAUs by 2050. The forecast includes the completed construction of all currently permitted projects using 854 banked TAUs and the use of 138 awarded TAU bonus units. Furthermore, the forecast includes the removal, banking, and conversion to residential of 300 existing units, including units at Lakeside Inn, that were considered as part of the baseline 2022 data but have been since removed, and Motel 6 that is expected to be removed in coming years. Not all TAUs allowed in the Regional Plan are forecast to be constructed by 2050; an estimated 326 TAUs will remain undeveloped through 2050 (204 TAU bonus units and 122 banked TAUs). The TAU development rights pool is not exhausted within the forecast horizon, because of the slow rate of TAU right utilization and construction over the past 30 years. No </w:t>
      </w:r>
      <w:r w:rsidRPr="00D03A40">
        <w:lastRenderedPageBreak/>
        <w:t>TAUs have been allocated to projects and constructed since adoption of the 2012 Regional Plan, and only 58 TAUs have been allocated since the adoption of the 1987 Regional Plan. TAUs were allocated to projects that are permitted but not yet constructed (Homewood, Boulder Bay, Edgewood Casitas, Tahoe City Lodge, and Chateau/Project 3)</w:t>
      </w:r>
      <w:r w:rsidR="002C12B8" w:rsidRPr="00D03A40">
        <w:t xml:space="preserve">. </w:t>
      </w:r>
      <w:r w:rsidRPr="00D03A40">
        <w:t>Bonus TAUs were assigned to permitted projects (Homewood, Boulder Bay, Tahoe City Lodge) and no additional allocations other than existing permits were included. </w:t>
      </w:r>
    </w:p>
    <w:p w14:paraId="072452DD" w14:textId="3367DD1C" w:rsidR="00D25ED8" w:rsidRPr="000D1F78" w:rsidRDefault="00601787" w:rsidP="000D1F78">
      <w:r w:rsidRPr="00D03A40">
        <w:t>The forecast also includes the conversion of 300 TAUs to residential units, consistent with recent conversion trends since the adoption of the conversion programs; observed trends indicate the net conversion from CFA and TAUs and towards Residential. </w:t>
      </w:r>
    </w:p>
    <w:p w14:paraId="23869A53" w14:textId="178B98B1" w:rsidR="00C601A9" w:rsidRPr="00D03A40" w:rsidRDefault="00B4274C" w:rsidP="000D1F78">
      <w:pPr>
        <w:pStyle w:val="Heading3"/>
        <w:rPr>
          <w:rFonts w:eastAsia="Times New Roman" w:cstheme="minorHAnsi"/>
          <w:b w:val="0"/>
          <w:bCs/>
          <w:color w:val="000000" w:themeColor="text1"/>
        </w:rPr>
      </w:pPr>
      <w:r w:rsidRPr="00D03A40">
        <w:rPr>
          <w:rFonts w:eastAsia="Times New Roman"/>
        </w:rPr>
        <w:t>Development Rights Forecast Summary</w:t>
      </w:r>
    </w:p>
    <w:p w14:paraId="3F440D9B" w14:textId="77777777" w:rsidR="00CD3119" w:rsidRPr="001815D6" w:rsidRDefault="00CD3119" w:rsidP="000D1F78">
      <w:pPr>
        <w:rPr>
          <w:highlight w:val="yellow"/>
        </w:rPr>
      </w:pPr>
      <w:r w:rsidRPr="001815D6">
        <w:rPr>
          <w:highlight w:val="yellow"/>
        </w:rPr>
        <w:t>Total development in the Tahoe Region is capped by the Regional Plan. The type and rate of that development is further controlled by a complex system governing development rights in the Region. Development rights are land use units someone must acquire before a property is developed. Development rights include tourist accommodation units (TAUs), single and multi-family residential units of use (RUUs), and commercial floor area (CFA). Residential units of use (RUUs) are formed by combining a potential residential unit of use (PRU) and a residential allocation. The forecast differentiates between when a development right is allocated from TRPA or another jurisdiction’s pool and the final use of that development right. Development rights can be utilized in one of two ways; they can be used to construct a project (e.g. a house) or converted to a different type of development right. The forecast is grounded in projections about the utilization, transfer, conversion, and construction of development rights. Tables 2-4 summarize the fate of development rights in the forecast period.</w:t>
      </w:r>
    </w:p>
    <w:p w14:paraId="30CAB878" w14:textId="77777777" w:rsidR="00CD3119" w:rsidRPr="001815D6" w:rsidRDefault="00CD3119" w:rsidP="00842940">
      <w:pPr>
        <w:pStyle w:val="ListParagraph"/>
        <w:numPr>
          <w:ilvl w:val="0"/>
          <w:numId w:val="13"/>
        </w:numPr>
        <w:rPr>
          <w:highlight w:val="yellow"/>
        </w:rPr>
      </w:pPr>
      <w:r w:rsidRPr="001815D6">
        <w:rPr>
          <w:highlight w:val="yellow"/>
        </w:rPr>
        <w:t xml:space="preserve">Table 3 summarizes new construction which influences land use in the future scenarios. Tables 4 and 5 provide background detail on the underlying accounting that enabled the development. </w:t>
      </w:r>
    </w:p>
    <w:p w14:paraId="6C13A02B" w14:textId="77777777" w:rsidR="00CD3119" w:rsidRPr="001815D6" w:rsidRDefault="00CD3119" w:rsidP="00842940">
      <w:pPr>
        <w:pStyle w:val="ListParagraph"/>
        <w:numPr>
          <w:ilvl w:val="0"/>
          <w:numId w:val="13"/>
        </w:numPr>
        <w:rPr>
          <w:highlight w:val="yellow"/>
        </w:rPr>
      </w:pPr>
      <w:r w:rsidRPr="001815D6">
        <w:rPr>
          <w:highlight w:val="yellow"/>
        </w:rPr>
        <w:t xml:space="preserve">Table 4 summarizes the expected utilization of development rights in their current type. </w:t>
      </w:r>
    </w:p>
    <w:p w14:paraId="47F483E3" w14:textId="77777777" w:rsidR="00CD3119" w:rsidRPr="001815D6" w:rsidRDefault="00CD3119" w:rsidP="00842940">
      <w:pPr>
        <w:pStyle w:val="ListParagraph"/>
        <w:numPr>
          <w:ilvl w:val="0"/>
          <w:numId w:val="13"/>
        </w:numPr>
        <w:rPr>
          <w:highlight w:val="yellow"/>
        </w:rPr>
      </w:pPr>
      <w:r w:rsidRPr="001815D6">
        <w:rPr>
          <w:highlight w:val="yellow"/>
        </w:rPr>
        <w:t xml:space="preserve">Table 5 summarizes the expected conversion of development rights between types. </w:t>
      </w:r>
    </w:p>
    <w:p w14:paraId="30CAC2C0" w14:textId="423667DF" w:rsidR="00CD3119" w:rsidRPr="001815D6" w:rsidRDefault="00CD3119" w:rsidP="00CD3119">
      <w:pPr>
        <w:rPr>
          <w:highlight w:val="yellow"/>
        </w:rPr>
      </w:pPr>
      <w:r w:rsidRPr="001815D6">
        <w:rPr>
          <w:highlight w:val="yellow"/>
        </w:rPr>
        <w:t>The forecast includes the net annual construction of 157 residential units, 5,763 square feet of commercial floor area and 25 tourist accommodation units (Table 2).</w:t>
      </w:r>
    </w:p>
    <w:p w14:paraId="6D9E10E5" w14:textId="619D8814" w:rsidR="00CD3119" w:rsidRPr="001815D6" w:rsidRDefault="00CD3119" w:rsidP="00CD3119">
      <w:pPr>
        <w:pStyle w:val="Caption"/>
        <w:keepNext/>
        <w:rPr>
          <w:rFonts w:cstheme="minorHAnsi"/>
          <w:b/>
          <w:bCs/>
          <w:i w:val="0"/>
          <w:iCs w:val="0"/>
          <w:color w:val="000000" w:themeColor="text1"/>
          <w:sz w:val="22"/>
          <w:szCs w:val="22"/>
          <w:highlight w:val="yellow"/>
        </w:rPr>
      </w:pPr>
      <w:r w:rsidRPr="001815D6">
        <w:rPr>
          <w:rFonts w:cstheme="minorHAnsi"/>
          <w:b/>
          <w:bCs/>
          <w:i w:val="0"/>
          <w:iCs w:val="0"/>
          <w:color w:val="000000" w:themeColor="text1"/>
          <w:sz w:val="22"/>
          <w:szCs w:val="22"/>
          <w:highlight w:val="yellow"/>
        </w:rPr>
        <w:t xml:space="preserve">Table </w:t>
      </w:r>
      <w:r w:rsidR="0013139F" w:rsidRPr="001815D6">
        <w:rPr>
          <w:rFonts w:cstheme="minorHAnsi"/>
          <w:b/>
          <w:bCs/>
          <w:i w:val="0"/>
          <w:iCs w:val="0"/>
          <w:color w:val="000000" w:themeColor="text1"/>
          <w:sz w:val="22"/>
          <w:szCs w:val="22"/>
          <w:highlight w:val="yellow"/>
        </w:rPr>
        <w:t>2</w:t>
      </w:r>
      <w:r w:rsidRPr="001815D6">
        <w:rPr>
          <w:rFonts w:cstheme="minorHAnsi"/>
          <w:b/>
          <w:bCs/>
          <w:i w:val="0"/>
          <w:iCs w:val="0"/>
          <w:color w:val="000000" w:themeColor="text1"/>
          <w:sz w:val="22"/>
          <w:szCs w:val="22"/>
          <w:highlight w:val="yellow"/>
        </w:rPr>
        <w:t>: Construction Forecast Summary</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shd w:val="clear" w:color="auto" w:fill="1F3864"/>
          </w:tcPr>
          <w:p>
            <w:r>
              <w:rPr>
                <w:b/>
                <w:color w:val="FFFFFF"/>
                <w:sz w:val="18"/>
              </w:rPr>
              <w:t>Development Right</w:t>
            </w:r>
          </w:p>
        </w:tc>
        <w:tc>
          <w:tcPr>
            <w:tcW w:type="dxa" w:w="1080"/>
            <w:shd w:val="clear" w:color="auto" w:fill="1F3864"/>
          </w:tcPr>
          <w:p>
            <w:r>
              <w:rPr>
                <w:b/>
                <w:color w:val="FFFFFF"/>
                <w:sz w:val="18"/>
              </w:rPr>
              <w:t>Annual Rate</w:t>
            </w:r>
          </w:p>
        </w:tc>
        <w:tc>
          <w:tcPr>
            <w:tcW w:type="dxa" w:w="1080"/>
            <w:shd w:val="clear" w:color="auto" w:fill="1F3864"/>
          </w:tcPr>
          <w:p>
            <w:r>
              <w:rPr>
                <w:b/>
                <w:color w:val="FFFFFF"/>
                <w:sz w:val="18"/>
              </w:rPr>
              <w:t>Alt 1 - 2035</w:t>
              <w:br/>
              <w:t>Net Change</w:t>
            </w:r>
          </w:p>
        </w:tc>
        <w:tc>
          <w:tcPr>
            <w:tcW w:type="dxa" w:w="1080"/>
            <w:shd w:val="clear" w:color="auto" w:fill="1F3864"/>
          </w:tcPr>
          <w:p>
            <w:r>
              <w:rPr>
                <w:b/>
                <w:color w:val="FFFFFF"/>
                <w:sz w:val="18"/>
              </w:rPr>
              <w:t>Alt 1 - 2050</w:t>
              <w:br/>
              <w:t>Net Change</w:t>
            </w:r>
          </w:p>
        </w:tc>
        <w:tc>
          <w:tcPr>
            <w:tcW w:type="dxa" w:w="1080"/>
            <w:shd w:val="clear" w:color="auto" w:fill="1F3864"/>
          </w:tcPr>
          <w:p>
            <w:r>
              <w:rPr>
                <w:b/>
                <w:color w:val="FFFFFF"/>
                <w:sz w:val="18"/>
              </w:rPr>
              <w:t>Alt 2 - 2035</w:t>
              <w:br/>
              <w:t>Net Change</w:t>
            </w:r>
          </w:p>
        </w:tc>
        <w:tc>
          <w:tcPr>
            <w:tcW w:type="dxa" w:w="1080"/>
            <w:shd w:val="clear" w:color="auto" w:fill="1F3864"/>
          </w:tcPr>
          <w:p>
            <w:r>
              <w:rPr>
                <w:b/>
                <w:color w:val="FFFFFF"/>
                <w:sz w:val="18"/>
              </w:rPr>
              <w:t>Alt 2 - 2050</w:t>
              <w:br/>
              <w:t>Net Change</w:t>
            </w:r>
          </w:p>
        </w:tc>
        <w:tc>
          <w:tcPr>
            <w:tcW w:type="dxa" w:w="1080"/>
            <w:shd w:val="clear" w:color="auto" w:fill="1F3864"/>
          </w:tcPr>
          <w:p>
            <w:r>
              <w:rPr>
                <w:b/>
                <w:color w:val="FFFFFF"/>
                <w:sz w:val="18"/>
              </w:rPr>
              <w:t>Alt 3 - 2035</w:t>
              <w:br/>
              <w:t>Net Change</w:t>
            </w:r>
          </w:p>
        </w:tc>
        <w:tc>
          <w:tcPr>
            <w:tcW w:type="dxa" w:w="1080"/>
            <w:shd w:val="clear" w:color="auto" w:fill="1F3864"/>
          </w:tcPr>
          <w:p>
            <w:r>
              <w:rPr>
                <w:b/>
                <w:color w:val="FFFFFF"/>
                <w:sz w:val="18"/>
              </w:rPr>
              <w:t>Alt 3 - 2050</w:t>
              <w:br/>
              <w:t>Net Change</w:t>
            </w:r>
          </w:p>
        </w:tc>
      </w:tr>
      <w:tr>
        <w:tc>
          <w:tcPr>
            <w:tcW w:type="dxa" w:w="1080"/>
          </w:tcPr>
          <w:p>
            <w:r>
              <w:rPr>
                <w:sz w:val="18"/>
              </w:rPr>
              <w:t>Residential Units</w:t>
            </w:r>
          </w:p>
        </w:tc>
        <w:tc>
          <w:tcPr>
            <w:tcW w:type="dxa" w:w="1080"/>
          </w:tcPr>
          <w:p>
            <w:r>
              <w:rPr>
                <w:sz w:val="18"/>
              </w:rPr>
              <w:t>+varies</w:t>
            </w:r>
          </w:p>
        </w:tc>
        <w:tc>
          <w:tcPr>
            <w:tcW w:type="dxa" w:w="1080"/>
          </w:tcPr>
          <w:p>
            <w:r>
              <w:rPr>
                <w:sz w:val="18"/>
              </w:rPr>
              <w:t>+1,112</w:t>
            </w:r>
          </w:p>
        </w:tc>
        <w:tc>
          <w:tcPr>
            <w:tcW w:type="dxa" w:w="1080"/>
          </w:tcPr>
          <w:p>
            <w:r>
              <w:rPr>
                <w:sz w:val="18"/>
              </w:rPr>
              <w:t>+4,247</w:t>
            </w:r>
          </w:p>
        </w:tc>
        <w:tc>
          <w:tcPr>
            <w:tcW w:type="dxa" w:w="1080"/>
          </w:tcPr>
          <w:p>
            <w:r>
              <w:rPr>
                <w:sz w:val="18"/>
              </w:rPr>
              <w:t>+1,519</w:t>
            </w:r>
          </w:p>
        </w:tc>
        <w:tc>
          <w:tcPr>
            <w:tcW w:type="dxa" w:w="1080"/>
          </w:tcPr>
          <w:p>
            <w:r>
              <w:rPr>
                <w:sz w:val="18"/>
              </w:rPr>
              <w:t>+5,485</w:t>
            </w:r>
          </w:p>
        </w:tc>
        <w:tc>
          <w:tcPr>
            <w:tcW w:type="dxa" w:w="1080"/>
          </w:tcPr>
          <w:p>
            <w:r>
              <w:rPr>
                <w:sz w:val="18"/>
              </w:rPr>
              <w:t>+1,112</w:t>
            </w:r>
          </w:p>
        </w:tc>
        <w:tc>
          <w:tcPr>
            <w:tcW w:type="dxa" w:w="1080"/>
          </w:tcPr>
          <w:p>
            <w:r>
              <w:rPr>
                <w:sz w:val="18"/>
              </w:rPr>
              <w:t>+4,247</w:t>
            </w:r>
          </w:p>
        </w:tc>
      </w:tr>
      <w:tr>
        <w:tc>
          <w:tcPr>
            <w:tcW w:type="dxa" w:w="1080"/>
          </w:tcPr>
          <w:p>
            <w:r>
              <w:rPr>
                <w:sz w:val="18"/>
              </w:rPr>
              <w:t>Commercial Floor Area (sq ft)</w:t>
            </w:r>
          </w:p>
        </w:tc>
        <w:tc>
          <w:tcPr>
            <w:tcW w:type="dxa" w:w="1080"/>
          </w:tcPr>
          <w:p>
            <w:r>
              <w:rPr>
                <w:sz w:val="18"/>
              </w:rPr>
              <w:t>+5,763</w:t>
            </w:r>
          </w:p>
        </w:tc>
        <w:tc>
          <w:tcPr>
            <w:tcW w:type="dxa" w:w="1080"/>
          </w:tcPr>
          <w:p>
            <w:r>
              <w:rPr>
                <w:sz w:val="18"/>
              </w:rPr>
              <w:t>+78,676</w:t>
            </w:r>
          </w:p>
        </w:tc>
        <w:tc>
          <w:tcPr>
            <w:tcW w:type="dxa" w:w="1080"/>
          </w:tcPr>
          <w:p>
            <w:r>
              <w:rPr>
                <w:sz w:val="18"/>
              </w:rPr>
              <w:t>+161,373</w:t>
            </w:r>
          </w:p>
        </w:tc>
        <w:tc>
          <w:tcPr>
            <w:tcW w:type="dxa" w:w="1080"/>
          </w:tcPr>
          <w:p>
            <w:r>
              <w:rPr>
                <w:sz w:val="18"/>
              </w:rPr>
              <w:t>+78,676</w:t>
            </w:r>
          </w:p>
        </w:tc>
        <w:tc>
          <w:tcPr>
            <w:tcW w:type="dxa" w:w="1080"/>
          </w:tcPr>
          <w:p>
            <w:r>
              <w:rPr>
                <w:sz w:val="18"/>
              </w:rPr>
              <w:t>+161,373</w:t>
            </w:r>
          </w:p>
        </w:tc>
        <w:tc>
          <w:tcPr>
            <w:tcW w:type="dxa" w:w="1080"/>
          </w:tcPr>
          <w:p>
            <w:r>
              <w:rPr>
                <w:sz w:val="18"/>
              </w:rPr>
              <w:t>+78,676</w:t>
            </w:r>
          </w:p>
        </w:tc>
        <w:tc>
          <w:tcPr>
            <w:tcW w:type="dxa" w:w="1080"/>
          </w:tcPr>
          <w:p>
            <w:r>
              <w:rPr>
                <w:sz w:val="18"/>
              </w:rPr>
              <w:t>+161,373</w:t>
            </w:r>
          </w:p>
        </w:tc>
      </w:tr>
      <w:tr>
        <w:tc>
          <w:tcPr>
            <w:tcW w:type="dxa" w:w="1080"/>
          </w:tcPr>
          <w:p>
            <w:r>
              <w:rPr>
                <w:sz w:val="18"/>
              </w:rPr>
              <w:t>Tourist Accommodation Units</w:t>
            </w:r>
          </w:p>
        </w:tc>
        <w:tc>
          <w:tcPr>
            <w:tcW w:type="dxa" w:w="1080"/>
          </w:tcPr>
          <w:p>
            <w:r>
              <w:rPr>
                <w:sz w:val="18"/>
              </w:rPr>
              <w:t>+varies</w:t>
            </w:r>
          </w:p>
        </w:tc>
        <w:tc>
          <w:tcPr>
            <w:tcW w:type="dxa" w:w="1080"/>
          </w:tcPr>
          <w:p>
            <w:r>
              <w:rPr>
                <w:sz w:val="18"/>
              </w:rPr>
              <w:t>see note</w:t>
            </w:r>
          </w:p>
        </w:tc>
        <w:tc>
          <w:tcPr>
            <w:tcW w:type="dxa" w:w="1080"/>
          </w:tcPr>
          <w:p>
            <w:r>
              <w:rPr>
                <w:sz w:val="18"/>
              </w:rPr>
              <w:t>see note</w:t>
            </w:r>
          </w:p>
        </w:tc>
        <w:tc>
          <w:tcPr>
            <w:tcW w:type="dxa" w:w="1080"/>
          </w:tcPr>
          <w:p>
            <w:r>
              <w:rPr>
                <w:sz w:val="18"/>
              </w:rPr>
              <w:t>see note</w:t>
            </w:r>
          </w:p>
        </w:tc>
        <w:tc>
          <w:tcPr>
            <w:tcW w:type="dxa" w:w="1080"/>
          </w:tcPr>
          <w:p>
            <w:r>
              <w:rPr>
                <w:sz w:val="18"/>
              </w:rPr>
              <w:t>see note</w:t>
            </w:r>
          </w:p>
        </w:tc>
        <w:tc>
          <w:tcPr>
            <w:tcW w:type="dxa" w:w="1080"/>
          </w:tcPr>
          <w:p>
            <w:r>
              <w:rPr>
                <w:sz w:val="18"/>
              </w:rPr>
              <w:t>see note</w:t>
            </w:r>
          </w:p>
        </w:tc>
        <w:tc>
          <w:tcPr>
            <w:tcW w:type="dxa" w:w="1080"/>
          </w:tcPr>
          <w:p>
            <w:r>
              <w:rPr>
                <w:sz w:val="18"/>
              </w:rPr>
              <w:t>see note</w:t>
            </w:r>
          </w:p>
        </w:tc>
      </w:tr>
    </w:tbl>
    <w:p w14:paraId="560E703F" w14:textId="77777777" w:rsidR="00CD3119" w:rsidRPr="001815D6" w:rsidRDefault="00CD3119" w:rsidP="00CD3119">
      <w:pPr>
        <w:spacing w:after="0" w:line="360" w:lineRule="auto"/>
        <w:rPr>
          <w:rFonts w:eastAsia="Times New Roman" w:cstheme="minorHAnsi"/>
          <w:b/>
          <w:bCs/>
          <w:sz w:val="24"/>
          <w:szCs w:val="24"/>
          <w:highlight w:val="yellow"/>
        </w:rPr>
      </w:pPr>
    </w:p>
    <w:p w14:paraId="0A24102E" w14:textId="301E205E" w:rsidR="00CD3119" w:rsidRPr="001815D6" w:rsidRDefault="00CD3119" w:rsidP="000D1F78">
      <w:pPr>
        <w:rPr>
          <w:highlight w:val="yellow"/>
        </w:rPr>
      </w:pPr>
      <w:r w:rsidRPr="001815D6">
        <w:rPr>
          <w:highlight w:val="yellow"/>
        </w:rPr>
        <w:lastRenderedPageBreak/>
        <w:t>The forecast includes the utilization of allocation pools held by TRPA and local jurisdictions in the area plan, community plan, or plan area statement pools, as well as the use of bonus and incentive pools, special projects pools, and banked development rights (Table 3).</w:t>
      </w:r>
    </w:p>
    <w:p w14:paraId="248D5DDA" w14:textId="77777777" w:rsidR="00CD3119" w:rsidRPr="001815D6" w:rsidRDefault="00CD3119" w:rsidP="00CD3119">
      <w:pPr>
        <w:spacing w:after="0" w:line="360" w:lineRule="auto"/>
        <w:rPr>
          <w:rFonts w:eastAsia="Times New Roman" w:cstheme="minorHAnsi"/>
          <w:b/>
          <w:bCs/>
          <w:highlight w:val="yellow"/>
        </w:rPr>
      </w:pPr>
      <w:r>
        <w:t>Table 5: Development Rights Utilization Forecast Summary</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1F3864"/>
          </w:tcPr>
          <w:p>
            <w:r>
              <w:rPr>
                <w:b/>
                <w:color w:val="FFFFFF"/>
                <w:sz w:val="18"/>
              </w:rPr>
              <w:t>Development Right Utilization</w:t>
            </w:r>
          </w:p>
        </w:tc>
        <w:tc>
          <w:tcPr>
            <w:tcW w:type="dxa" w:w="2160"/>
            <w:shd w:val="clear" w:color="auto" w:fill="1F3864"/>
          </w:tcPr>
          <w:p>
            <w:r>
              <w:rPr>
                <w:b/>
                <w:color w:val="FFFFFF"/>
                <w:sz w:val="18"/>
              </w:rPr>
              <w:t>Annual Rate</w:t>
            </w:r>
          </w:p>
        </w:tc>
        <w:tc>
          <w:tcPr>
            <w:tcW w:type="dxa" w:w="2160"/>
            <w:shd w:val="clear" w:color="auto" w:fill="1F3864"/>
          </w:tcPr>
          <w:p>
            <w:r>
              <w:rPr>
                <w:b/>
                <w:color w:val="FFFFFF"/>
                <w:sz w:val="18"/>
              </w:rPr>
              <w:t>2035</w:t>
              <w:br/>
              <w:t>Net Change</w:t>
            </w:r>
          </w:p>
        </w:tc>
        <w:tc>
          <w:tcPr>
            <w:tcW w:type="dxa" w:w="2160"/>
            <w:shd w:val="clear" w:color="auto" w:fill="1F3864"/>
          </w:tcPr>
          <w:p>
            <w:r>
              <w:rPr>
                <w:b/>
                <w:color w:val="FFFFFF"/>
                <w:sz w:val="18"/>
              </w:rPr>
              <w:t>2050</w:t>
              <w:br/>
              <w:t>Net Change</w:t>
            </w:r>
          </w:p>
        </w:tc>
      </w:tr>
      <w:tr>
        <w:tc>
          <w:tcPr>
            <w:tcW w:type="dxa" w:w="2160"/>
          </w:tcPr>
          <w:p>
            <w:r>
              <w:rPr>
                <w:sz w:val="18"/>
              </w:rPr>
              <w:t>Residential Allocations</w:t>
            </w:r>
          </w:p>
        </w:tc>
        <w:tc>
          <w:tcPr>
            <w:tcW w:type="dxa" w:w="2160"/>
          </w:tcPr>
          <w:p>
            <w:r>
              <w:rPr>
                <w:sz w:val="18"/>
              </w:rPr>
              <w:t>+varies</w:t>
            </w:r>
          </w:p>
        </w:tc>
        <w:tc>
          <w:tcPr>
            <w:tcW w:type="dxa" w:w="2160"/>
          </w:tcPr>
          <w:p>
            <w:r>
              <w:rPr>
                <w:sz w:val="18"/>
              </w:rPr>
              <w:t>+varies</w:t>
            </w:r>
          </w:p>
        </w:tc>
        <w:tc>
          <w:tcPr>
            <w:tcW w:type="dxa" w:w="2160"/>
          </w:tcPr>
          <w:p>
            <w:r>
              <w:rPr>
                <w:sz w:val="18"/>
              </w:rPr>
              <w:t>+varies by alt (see Alternatives Overview)</w:t>
            </w:r>
          </w:p>
        </w:tc>
      </w:tr>
      <w:tr>
        <w:tc>
          <w:tcPr>
            <w:tcW w:type="dxa" w:w="2160"/>
          </w:tcPr>
          <w:p>
            <w:r>
              <w:rPr>
                <w:sz w:val="18"/>
              </w:rPr>
              <w:t>Residential Bonus Units</w:t>
            </w:r>
          </w:p>
        </w:tc>
        <w:tc>
          <w:tcPr>
            <w:tcW w:type="dxa" w:w="2160"/>
          </w:tcPr>
          <w:p>
            <w:r>
              <w:rPr>
                <w:sz w:val="18"/>
              </w:rPr>
              <w:t>+52</w:t>
            </w:r>
          </w:p>
        </w:tc>
        <w:tc>
          <w:tcPr>
            <w:tcW w:type="dxa" w:w="2160"/>
          </w:tcPr>
          <w:p>
            <w:r>
              <w:rPr>
                <w:sz w:val="18"/>
              </w:rPr>
              <w:t>+676</w:t>
            </w:r>
          </w:p>
        </w:tc>
        <w:tc>
          <w:tcPr>
            <w:tcW w:type="dxa" w:w="2160"/>
          </w:tcPr>
          <w:p>
            <w:r>
              <w:rPr>
                <w:sz w:val="18"/>
              </w:rPr>
              <w:t>+1,246 (all alts) / +1,474 (Alt 2)</w:t>
            </w:r>
          </w:p>
        </w:tc>
      </w:tr>
      <w:tr>
        <w:tc>
          <w:tcPr>
            <w:tcW w:type="dxa" w:w="2160"/>
          </w:tcPr>
          <w:p>
            <w:r>
              <w:rPr>
                <w:sz w:val="18"/>
              </w:rPr>
              <w:t>ADU Allocations</w:t>
            </w:r>
          </w:p>
        </w:tc>
        <w:tc>
          <w:tcPr>
            <w:tcW w:type="dxa" w:w="2160"/>
          </w:tcPr>
          <w:p>
            <w:r>
              <w:rPr>
                <w:sz w:val="18"/>
              </w:rPr>
              <w:t>+varies</w:t>
            </w:r>
          </w:p>
        </w:tc>
        <w:tc>
          <w:tcPr>
            <w:tcW w:type="dxa" w:w="2160"/>
          </w:tcPr>
          <w:p>
            <w:r>
              <w:rPr>
                <w:sz w:val="18"/>
              </w:rPr>
              <w:t>+varies</w:t>
            </w:r>
          </w:p>
        </w:tc>
        <w:tc>
          <w:tcPr>
            <w:tcW w:type="dxa" w:w="2160"/>
          </w:tcPr>
          <w:p>
            <w:r>
              <w:rPr>
                <w:sz w:val="18"/>
              </w:rPr>
              <w:t>+110 (all alts)</w:t>
            </w:r>
          </w:p>
        </w:tc>
      </w:tr>
      <w:tr>
        <w:tc>
          <w:tcPr>
            <w:tcW w:type="dxa" w:w="2160"/>
          </w:tcPr>
          <w:p>
            <w:r>
              <w:rPr>
                <w:sz w:val="18"/>
              </w:rPr>
              <w:t>Affordable/Moderate/JADU (Alt 2 only)</w:t>
            </w:r>
          </w:p>
        </w:tc>
        <w:tc>
          <w:tcPr>
            <w:tcW w:type="dxa" w:w="2160"/>
          </w:tcPr>
          <w:p>
            <w:r>
              <w:rPr>
                <w:sz w:val="18"/>
              </w:rPr>
              <w:t>—</w:t>
            </w:r>
          </w:p>
        </w:tc>
        <w:tc>
          <w:tcPr>
            <w:tcW w:type="dxa" w:w="2160"/>
          </w:tcPr>
          <w:p>
            <w:r>
              <w:rPr>
                <w:sz w:val="18"/>
              </w:rPr>
              <w:t>—</w:t>
            </w:r>
          </w:p>
        </w:tc>
        <w:tc>
          <w:tcPr>
            <w:tcW w:type="dxa" w:w="2160"/>
          </w:tcPr>
          <w:p>
            <w:r>
              <w:rPr>
                <w:sz w:val="18"/>
              </w:rPr>
              <w:t>+1,238 additional (Alt 2 only)</w:t>
            </w:r>
          </w:p>
        </w:tc>
      </w:tr>
      <w:tr>
        <w:tc>
          <w:tcPr>
            <w:tcW w:type="dxa" w:w="2160"/>
          </w:tcPr>
          <w:p>
            <w:r>
              <w:rPr>
                <w:sz w:val="18"/>
              </w:rPr>
              <w:t>Total Residential Rights</w:t>
            </w:r>
          </w:p>
        </w:tc>
        <w:tc>
          <w:tcPr>
            <w:tcW w:type="dxa" w:w="2160"/>
          </w:tcPr>
          <w:p>
            <w:r>
              <w:rPr>
                <w:sz w:val="18"/>
              </w:rPr>
              <w:t>+varies</w:t>
            </w:r>
          </w:p>
        </w:tc>
        <w:tc>
          <w:tcPr>
            <w:tcW w:type="dxa" w:w="2160"/>
          </w:tcPr>
          <w:p>
            <w:r>
              <w:rPr>
                <w:sz w:val="18"/>
              </w:rPr>
              <w:t>+1,112 to +1,519</w:t>
            </w:r>
          </w:p>
        </w:tc>
        <w:tc>
          <w:tcPr>
            <w:tcW w:type="dxa" w:w="2160"/>
          </w:tcPr>
          <w:p>
            <w:r>
              <w:rPr>
                <w:sz w:val="18"/>
              </w:rPr>
              <w:t>+4,247 (Alt 1/3) to +5,485 (Alt 2)</w:t>
            </w:r>
          </w:p>
        </w:tc>
      </w:tr>
      <w:tr>
        <w:tc>
          <w:tcPr>
            <w:tcW w:type="dxa" w:w="2160"/>
          </w:tcPr>
          <w:p>
            <w:r>
              <w:rPr>
                <w:sz w:val="18"/>
              </w:rPr>
              <w:t>CFA Allocations (sq ft)</w:t>
            </w:r>
          </w:p>
        </w:tc>
        <w:tc>
          <w:tcPr>
            <w:tcW w:type="dxa" w:w="2160"/>
          </w:tcPr>
          <w:p>
            <w:r>
              <w:rPr>
                <w:sz w:val="18"/>
              </w:rPr>
              <w:t>+6,052</w:t>
            </w:r>
          </w:p>
        </w:tc>
        <w:tc>
          <w:tcPr>
            <w:tcW w:type="dxa" w:w="2160"/>
          </w:tcPr>
          <w:p>
            <w:r>
              <w:rPr>
                <w:sz w:val="18"/>
              </w:rPr>
              <w:t>+78,676</w:t>
            </w:r>
          </w:p>
        </w:tc>
        <w:tc>
          <w:tcPr>
            <w:tcW w:type="dxa" w:w="2160"/>
          </w:tcPr>
          <w:p>
            <w:r>
              <w:rPr>
                <w:sz w:val="18"/>
              </w:rPr>
              <w:t>+169,452</w:t>
            </w:r>
          </w:p>
        </w:tc>
      </w:tr>
      <w:tr>
        <w:tc>
          <w:tcPr>
            <w:tcW w:type="dxa" w:w="2160"/>
          </w:tcPr>
          <w:p>
            <w:r>
              <w:rPr>
                <w:sz w:val="18"/>
              </w:rPr>
              <w:t>CFA Special Projects Pool (Homewood)</w:t>
            </w:r>
          </w:p>
        </w:tc>
        <w:tc>
          <w:tcPr>
            <w:tcW w:type="dxa" w:w="2160"/>
          </w:tcPr>
          <w:p>
            <w:r>
              <w:rPr>
                <w:sz w:val="18"/>
              </w:rPr>
              <w:t>+varies</w:t>
            </w:r>
          </w:p>
        </w:tc>
        <w:tc>
          <w:tcPr>
            <w:tcW w:type="dxa" w:w="2160"/>
          </w:tcPr>
          <w:p>
            <w:r>
              <w:rPr>
                <w:sz w:val="18"/>
              </w:rPr>
              <w:t>+20,921</w:t>
            </w:r>
          </w:p>
        </w:tc>
        <w:tc>
          <w:tcPr>
            <w:tcW w:type="dxa" w:w="2160"/>
          </w:tcPr>
          <w:p>
            <w:r>
              <w:rPr>
                <w:sz w:val="18"/>
              </w:rPr>
              <w:t>+20,921</w:t>
            </w:r>
          </w:p>
        </w:tc>
      </w:tr>
      <w:tr>
        <w:tc>
          <w:tcPr>
            <w:tcW w:type="dxa" w:w="2160"/>
          </w:tcPr>
          <w:p>
            <w:r>
              <w:rPr>
                <w:sz w:val="18"/>
              </w:rPr>
              <w:t>Banked CFA (Area-wide TRPA)</w:t>
            </w:r>
          </w:p>
        </w:tc>
        <w:tc>
          <w:tcPr>
            <w:tcW w:type="dxa" w:w="2160"/>
          </w:tcPr>
          <w:p>
            <w:r>
              <w:rPr>
                <w:sz w:val="18"/>
              </w:rPr>
              <w:t>+varies</w:t>
            </w:r>
          </w:p>
        </w:tc>
        <w:tc>
          <w:tcPr>
            <w:tcW w:type="dxa" w:w="2160"/>
          </w:tcPr>
          <w:p>
            <w:r>
              <w:rPr>
                <w:sz w:val="18"/>
              </w:rPr>
              <w:t>—</w:t>
            </w:r>
          </w:p>
        </w:tc>
        <w:tc>
          <w:tcPr>
            <w:tcW w:type="dxa" w:w="2160"/>
          </w:tcPr>
          <w:p>
            <w:r>
              <w:rPr>
                <w:sz w:val="18"/>
              </w:rPr>
              <w:t>+71,000</w:t>
            </w:r>
          </w:p>
        </w:tc>
      </w:tr>
      <w:tr>
        <w:tc>
          <w:tcPr>
            <w:tcW w:type="dxa" w:w="2160"/>
          </w:tcPr>
          <w:p>
            <w:r>
              <w:rPr>
                <w:sz w:val="18"/>
              </w:rPr>
              <w:t>Total CFA Utilization</w:t>
            </w:r>
          </w:p>
        </w:tc>
        <w:tc>
          <w:tcPr>
            <w:tcW w:type="dxa" w:w="2160"/>
          </w:tcPr>
          <w:p>
            <w:r>
              <w:rPr>
                <w:sz w:val="18"/>
              </w:rPr>
              <w:t>+10,197</w:t>
            </w:r>
          </w:p>
        </w:tc>
        <w:tc>
          <w:tcPr>
            <w:tcW w:type="dxa" w:w="2160"/>
          </w:tcPr>
          <w:p>
            <w:r>
              <w:rPr>
                <w:sz w:val="18"/>
              </w:rPr>
              <w:t>+varies</w:t>
            </w:r>
          </w:p>
        </w:tc>
        <w:tc>
          <w:tcPr>
            <w:tcW w:type="dxa" w:w="2160"/>
          </w:tcPr>
          <w:p>
            <w:r>
              <w:rPr>
                <w:sz w:val="18"/>
              </w:rPr>
              <w:t>+261,373</w:t>
            </w:r>
          </w:p>
        </w:tc>
      </w:tr>
      <w:tr>
        <w:tc>
          <w:tcPr>
            <w:tcW w:type="dxa" w:w="2160"/>
          </w:tcPr>
          <w:p>
            <w:r>
              <w:rPr>
                <w:sz w:val="18"/>
              </w:rPr>
              <w:t>TAU Bonus Allocations</w:t>
            </w:r>
          </w:p>
        </w:tc>
        <w:tc>
          <w:tcPr>
            <w:tcW w:type="dxa" w:w="2160"/>
          </w:tcPr>
          <w:p>
            <w:r>
              <w:rPr>
                <w:sz w:val="18"/>
              </w:rPr>
              <w:t>+5</w:t>
            </w:r>
          </w:p>
        </w:tc>
        <w:tc>
          <w:tcPr>
            <w:tcW w:type="dxa" w:w="2160"/>
          </w:tcPr>
          <w:p>
            <w:r>
              <w:rPr>
                <w:sz w:val="18"/>
              </w:rPr>
              <w:t>+65</w:t>
            </w:r>
          </w:p>
        </w:tc>
        <w:tc>
          <w:tcPr>
            <w:tcW w:type="dxa" w:w="2160"/>
          </w:tcPr>
          <w:p>
            <w:r>
              <w:rPr>
                <w:sz w:val="18"/>
              </w:rPr>
              <w:t>+138</w:t>
            </w:r>
          </w:p>
        </w:tc>
      </w:tr>
      <w:tr>
        <w:tc>
          <w:tcPr>
            <w:tcW w:type="dxa" w:w="2160"/>
          </w:tcPr>
          <w:p>
            <w:r>
              <w:rPr>
                <w:sz w:val="18"/>
              </w:rPr>
              <w:t>Banked TAU Development</w:t>
            </w:r>
          </w:p>
        </w:tc>
        <w:tc>
          <w:tcPr>
            <w:tcW w:type="dxa" w:w="2160"/>
          </w:tcPr>
          <w:p>
            <w:r>
              <w:rPr>
                <w:sz w:val="18"/>
              </w:rPr>
              <w:t>+31</w:t>
            </w:r>
          </w:p>
        </w:tc>
        <w:tc>
          <w:tcPr>
            <w:tcW w:type="dxa" w:w="2160"/>
          </w:tcPr>
          <w:p>
            <w:r>
              <w:rPr>
                <w:sz w:val="18"/>
              </w:rPr>
              <w:t>+403</w:t>
            </w:r>
          </w:p>
        </w:tc>
        <w:tc>
          <w:tcPr>
            <w:tcW w:type="dxa" w:w="2160"/>
          </w:tcPr>
          <w:p>
            <w:r>
              <w:rPr>
                <w:sz w:val="18"/>
              </w:rPr>
              <w:t>+854</w:t>
            </w:r>
          </w:p>
        </w:tc>
      </w:tr>
      <w:tr>
        <w:tc>
          <w:tcPr>
            <w:tcW w:type="dxa" w:w="2160"/>
          </w:tcPr>
          <w:p>
            <w:r>
              <w:rPr>
                <w:sz w:val="18"/>
              </w:rPr>
              <w:t>Total TAU Rights</w:t>
            </w:r>
          </w:p>
        </w:tc>
        <w:tc>
          <w:tcPr>
            <w:tcW w:type="dxa" w:w="2160"/>
          </w:tcPr>
          <w:p>
            <w:r>
              <w:rPr>
                <w:sz w:val="18"/>
              </w:rPr>
              <w:t>+36</w:t>
            </w:r>
          </w:p>
        </w:tc>
        <w:tc>
          <w:tcPr>
            <w:tcW w:type="dxa" w:w="2160"/>
          </w:tcPr>
          <w:p>
            <w:r>
              <w:rPr>
                <w:sz w:val="18"/>
              </w:rPr>
              <w:t>+468</w:t>
            </w:r>
          </w:p>
        </w:tc>
        <w:tc>
          <w:tcPr>
            <w:tcW w:type="dxa" w:w="2160"/>
          </w:tcPr>
          <w:p>
            <w:r>
              <w:rPr>
                <w:sz w:val="18"/>
              </w:rPr>
              <w:t>+992</w:t>
            </w:r>
          </w:p>
        </w:tc>
      </w:tr>
    </w:tbl>
    <w:p w14:paraId="436756C6" w14:textId="77777777" w:rsidR="00CD3119" w:rsidRPr="001815D6" w:rsidRDefault="00CD3119" w:rsidP="00CD3119">
      <w:pPr>
        <w:spacing w:after="0" w:line="360" w:lineRule="auto"/>
        <w:rPr>
          <w:rFonts w:eastAsia="Times New Roman" w:cstheme="minorHAnsi"/>
          <w:b/>
          <w:bCs/>
          <w:sz w:val="24"/>
          <w:szCs w:val="24"/>
          <w:highlight w:val="yellow"/>
        </w:rPr>
      </w:pPr>
    </w:p>
    <w:p w14:paraId="2AC46530" w14:textId="7D6D5894" w:rsidR="00CD3119" w:rsidRDefault="00CD3119" w:rsidP="000D1F78">
      <w:r w:rsidRPr="001815D6">
        <w:rPr>
          <w:highlight w:val="yellow"/>
        </w:rPr>
        <w:t xml:space="preserve">The forecast includes the conversion of development rights between the various types of development (Table 4). TRPA approved a comprehensive update to Tahoe’s development rights system in 2018. This allows conversions between different types of development rights using environmentally-neutral exchange rates and makes development rights simpler to transfer around the Basin, keeping limits on Tahoe’s total development potential. The changes make it easier for the private sector to invest in redevelopment projects that benefit </w:t>
      </w:r>
      <w:r w:rsidR="52BB1CB2" w:rsidRPr="001815D6">
        <w:rPr>
          <w:highlight w:val="yellow"/>
        </w:rPr>
        <w:t>the Tahoe region</w:t>
      </w:r>
      <w:r w:rsidRPr="001815D6">
        <w:rPr>
          <w:highlight w:val="yellow"/>
        </w:rPr>
        <w:t xml:space="preserve"> and provide needed workforce housing</w:t>
      </w:r>
      <w:r w:rsidR="002C12B8" w:rsidRPr="001815D6">
        <w:rPr>
          <w:highlight w:val="yellow"/>
        </w:rPr>
        <w:t xml:space="preserve">. </w:t>
      </w:r>
      <w:r w:rsidRPr="001815D6">
        <w:rPr>
          <w:highlight w:val="yellow"/>
        </w:rPr>
        <w:t>The projected conversions are consistent with conversion trends since the adoption of the conversion programs and observed development rights utilization rates. The observed trends indicate a net conversion that reduces CFA by 3,600 square feet and 11 TAUs and creates an additional 28 residential units each year.</w:t>
      </w:r>
    </w:p>
    <w:p w14:paraId="5E72DA98" w14:textId="77777777" w:rsidR="002A0360" w:rsidRDefault="002A0360" w:rsidP="000D1F78"/>
    <w:p w14:paraId="5C5B9D38" w14:textId="77777777" w:rsidR="002A0360" w:rsidRDefault="002A0360" w:rsidP="000D1F78"/>
    <w:p w14:paraId="6690FCCF" w14:textId="77777777" w:rsidR="002A0360" w:rsidRDefault="002A0360" w:rsidP="000D1F78"/>
    <w:p w14:paraId="14D75AD7" w14:textId="77777777" w:rsidR="002A0360" w:rsidRPr="000D1F78" w:rsidRDefault="002A0360" w:rsidP="000D1F78"/>
    <w:p w14:paraId="4B6AA7E5" w14:textId="77777777" w:rsidR="00CD3119" w:rsidRPr="001815D6" w:rsidRDefault="00CD3119" w:rsidP="00CD3119">
      <w:pPr>
        <w:spacing w:after="0" w:line="360" w:lineRule="auto"/>
        <w:rPr>
          <w:rFonts w:eastAsia="Times New Roman" w:cstheme="minorHAnsi"/>
          <w:b/>
          <w:bCs/>
          <w:highlight w:val="yellow"/>
        </w:rPr>
      </w:pPr>
      <w:r w:rsidRPr="001815D6">
        <w:rPr>
          <w:rFonts w:eastAsia="Times New Roman" w:cstheme="minorHAnsi"/>
          <w:b/>
          <w:bCs/>
          <w:highlight w:val="yellow"/>
        </w:rPr>
        <w:lastRenderedPageBreak/>
        <w:t xml:space="preserve">Table 4: Development Rights Conversion Summary </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1F3864"/>
          </w:tcPr>
          <w:p>
            <w:r>
              <w:rPr>
                <w:b/>
                <w:color w:val="FFFFFF"/>
                <w:sz w:val="18"/>
              </w:rPr>
              <w:t>Development Right Conversion</w:t>
            </w:r>
          </w:p>
        </w:tc>
        <w:tc>
          <w:tcPr>
            <w:tcW w:type="dxa" w:w="2160"/>
            <w:shd w:val="clear" w:color="auto" w:fill="1F3864"/>
          </w:tcPr>
          <w:p>
            <w:r>
              <w:rPr>
                <w:b/>
                <w:color w:val="FFFFFF"/>
                <w:sz w:val="18"/>
              </w:rPr>
              <w:t>Annual Change</w:t>
              <w:br/>
              <w:t>from Conversion</w:t>
            </w:r>
          </w:p>
        </w:tc>
        <w:tc>
          <w:tcPr>
            <w:tcW w:type="dxa" w:w="2160"/>
            <w:shd w:val="clear" w:color="auto" w:fill="1F3864"/>
          </w:tcPr>
          <w:p>
            <w:r>
              <w:rPr>
                <w:b/>
                <w:color w:val="FFFFFF"/>
                <w:sz w:val="18"/>
              </w:rPr>
              <w:t>2035</w:t>
              <w:br/>
              <w:t>Net Change</w:t>
            </w:r>
          </w:p>
        </w:tc>
        <w:tc>
          <w:tcPr>
            <w:tcW w:type="dxa" w:w="2160"/>
            <w:shd w:val="clear" w:color="auto" w:fill="1F3864"/>
          </w:tcPr>
          <w:p>
            <w:r>
              <w:rPr>
                <w:b/>
                <w:color w:val="FFFFFF"/>
                <w:sz w:val="18"/>
              </w:rPr>
              <w:t>2050</w:t>
              <w:br/>
              <w:t>Net Change</w:t>
            </w:r>
          </w:p>
        </w:tc>
      </w:tr>
      <w:tr>
        <w:tc>
          <w:tcPr>
            <w:tcW w:type="dxa" w:w="2160"/>
          </w:tcPr>
          <w:p>
            <w:r>
              <w:rPr>
                <w:sz w:val="18"/>
              </w:rPr>
              <w:t>Net Conversions to Residential</w:t>
            </w:r>
          </w:p>
        </w:tc>
        <w:tc>
          <w:tcPr>
            <w:tcW w:type="dxa" w:w="2160"/>
          </w:tcPr>
          <w:p>
            <w:r>
              <w:rPr>
                <w:sz w:val="18"/>
              </w:rPr>
              <w:t>+25</w:t>
            </w:r>
          </w:p>
        </w:tc>
        <w:tc>
          <w:tcPr>
            <w:tcW w:type="dxa" w:w="2160"/>
          </w:tcPr>
          <w:p>
            <w:r>
              <w:rPr>
                <w:sz w:val="18"/>
              </w:rPr>
              <w:t>+325</w:t>
            </w:r>
          </w:p>
        </w:tc>
        <w:tc>
          <w:tcPr>
            <w:tcW w:type="dxa" w:w="2160"/>
          </w:tcPr>
          <w:p>
            <w:r>
              <w:rPr>
                <w:sz w:val="18"/>
              </w:rPr>
              <w:t>+700</w:t>
            </w:r>
          </w:p>
        </w:tc>
      </w:tr>
      <w:tr>
        <w:tc>
          <w:tcPr>
            <w:tcW w:type="dxa" w:w="2160"/>
          </w:tcPr>
          <w:p>
            <w:r>
              <w:rPr>
                <w:sz w:val="18"/>
              </w:rPr>
              <w:t>Net CFA Conversions to Residential</w:t>
            </w:r>
          </w:p>
        </w:tc>
        <w:tc>
          <w:tcPr>
            <w:tcW w:type="dxa" w:w="2160"/>
          </w:tcPr>
          <w:p>
            <w:r>
              <w:rPr>
                <w:sz w:val="18"/>
              </w:rPr>
              <w:t>–3,600 sq ft</w:t>
            </w:r>
          </w:p>
        </w:tc>
        <w:tc>
          <w:tcPr>
            <w:tcW w:type="dxa" w:w="2160"/>
          </w:tcPr>
          <w:p>
            <w:r>
              <w:rPr>
                <w:sz w:val="18"/>
              </w:rPr>
              <w:t>–46,800 sq ft</w:t>
            </w:r>
          </w:p>
        </w:tc>
        <w:tc>
          <w:tcPr>
            <w:tcW w:type="dxa" w:w="2160"/>
          </w:tcPr>
          <w:p>
            <w:r>
              <w:rPr>
                <w:sz w:val="18"/>
              </w:rPr>
              <w:t>–100,000 sq ft</w:t>
            </w:r>
          </w:p>
        </w:tc>
      </w:tr>
      <w:tr>
        <w:tc>
          <w:tcPr>
            <w:tcW w:type="dxa" w:w="2160"/>
          </w:tcPr>
          <w:p>
            <w:r>
              <w:rPr>
                <w:sz w:val="18"/>
              </w:rPr>
              <w:t>Net TAU Conversions to Residential</w:t>
            </w:r>
          </w:p>
        </w:tc>
        <w:tc>
          <w:tcPr>
            <w:tcW w:type="dxa" w:w="2160"/>
          </w:tcPr>
          <w:p>
            <w:r>
              <w:rPr>
                <w:sz w:val="18"/>
              </w:rPr>
              <w:t>–11</w:t>
            </w:r>
          </w:p>
        </w:tc>
        <w:tc>
          <w:tcPr>
            <w:tcW w:type="dxa" w:w="2160"/>
          </w:tcPr>
          <w:p>
            <w:r>
              <w:rPr>
                <w:sz w:val="18"/>
              </w:rPr>
              <w:t>–143</w:t>
            </w:r>
          </w:p>
        </w:tc>
        <w:tc>
          <w:tcPr>
            <w:tcW w:type="dxa" w:w="2160"/>
          </w:tcPr>
          <w:p>
            <w:r>
              <w:rPr>
                <w:sz w:val="18"/>
              </w:rPr>
              <w:t>–300</w:t>
            </w:r>
          </w:p>
        </w:tc>
      </w:tr>
    </w:tbl>
    <w:p w14:paraId="3553B163" w14:textId="77777777" w:rsidR="00874723" w:rsidRPr="00D03A40" w:rsidRDefault="00874723" w:rsidP="0054657A">
      <w:pPr>
        <w:spacing w:after="0" w:line="360" w:lineRule="auto"/>
        <w:rPr>
          <w:rFonts w:eastAsia="Times New Roman" w:cstheme="minorHAnsi"/>
          <w:b/>
          <w:bCs/>
          <w:color w:val="000000" w:themeColor="text1"/>
        </w:rPr>
      </w:pPr>
    </w:p>
    <w:p w14:paraId="2A0FB11A" w14:textId="1037520F" w:rsidR="0054657A" w:rsidRPr="00D03A40" w:rsidRDefault="0054657A" w:rsidP="000D1F78">
      <w:pPr>
        <w:pStyle w:val="Heading3"/>
        <w:rPr>
          <w:rFonts w:eastAsia="Times New Roman"/>
        </w:rPr>
      </w:pPr>
      <w:r w:rsidRPr="00D03A40">
        <w:rPr>
          <w:rFonts w:eastAsia="Times New Roman"/>
        </w:rPr>
        <w:t>Employment</w:t>
      </w:r>
    </w:p>
    <w:p w14:paraId="1F8BE744" w14:textId="7152973B" w:rsidR="001967CA" w:rsidRPr="00D03A40" w:rsidRDefault="001967CA" w:rsidP="000D1F78">
      <w:pPr>
        <w:rPr>
          <w:color w:val="000000" w:themeColor="text1"/>
        </w:rPr>
      </w:pPr>
      <w:commentRangeStart w:id="12"/>
      <w:r w:rsidRPr="00D03A40">
        <w:t>The most recent region-wide data estimates that summertime employment in the Tahoe region decreased by 6% between 2018 and 2022, from 28,604 to 26,737 jobs. The forecast projects a small increase in employment in the region as a result of increased visitation, construction of new CFA and TAUs, and population growth. In the 2026 model base year there are an estimated 28,558 workers living in the Tahoe region and 26,737 jobs (some residents hold jobs outside the region). The forecast projects continued growth of jobs in the region, with additional new jobs (Alt. 1: +843, +3.2%; Alt. 2: +1,233, +4.6%; Alt. 3: +1,113, +4.2%) in the region by 2050. The number of external workers (those commuting into the region for work) is not expected to grow because more workers are expected to find housing locally as a result of the regional housing initiatives.</w:t>
      </w:r>
      <w:r w:rsidRPr="00D03A40">
        <w:rPr>
          <w:color w:val="000000" w:themeColor="text1"/>
        </w:rPr>
      </w:r>
      <w:r w:rsidR="002F5F29">
        <w:rPr>
          <w:color w:val="000000" w:themeColor="text1"/>
        </w:rPr>
      </w:r>
      <w:commentRangeEnd w:id="12"/>
      <w:r w:rsidR="001815D6" w:rsidRPr="00D03A40">
        <w:rPr>
          <w:rStyle w:val="CommentReference"/>
          <w:color w:val="000000" w:themeColor="text1"/>
          <w:sz w:val="22"/>
          <w:szCs w:val="22"/>
        </w:rPr>
      </w:r>
    </w:p>
    <w:p>
      <w:pPr/>
      <w:r>
        <w:t>The following table summarizes employment forecasts for all three alternatives. Alternative 2 and Alternative 3 include additional employment in town centers generated by new occupied housing units, using TAZ-level town center job multipliers.</w:t>
      </w:r>
    </w:p>
    <w:tbl>
      <w:tblPr>
        <w:tblStyle w:val="TableGrid"/>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val="clear" w:color="auto" w:fill="1F3864"/>
          </w:tcPr>
          <w:p>
            <w:r>
              <w:rPr>
                <w:b/>
                <w:color w:val="FFFFFF"/>
                <w:sz w:val="18"/>
              </w:rPr>
              <w:t>Category</w:t>
            </w:r>
          </w:p>
        </w:tc>
        <w:tc>
          <w:tcPr>
            <w:tcW w:type="dxa" w:w="1170"/>
            <w:shd w:val="clear" w:color="auto" w:fill="1F3864"/>
          </w:tcPr>
          <w:p>
            <w:r>
              <w:rPr>
                <w:b/>
                <w:color w:val="FFFFFF"/>
                <w:sz w:val="18"/>
              </w:rPr>
              <w:t>Base Year</w:t>
              <w:br/>
              <w:t>(2026)</w:t>
            </w:r>
          </w:p>
        </w:tc>
        <w:tc>
          <w:tcPr>
            <w:tcW w:type="dxa" w:w="1170"/>
            <w:shd w:val="clear" w:color="auto" w:fill="1F3864"/>
          </w:tcPr>
          <w:p>
            <w:r>
              <w:rPr>
                <w:b/>
                <w:color w:val="FFFFFF"/>
                <w:sz w:val="18"/>
              </w:rPr>
              <w:t>Alt 1</w:t>
              <w:br/>
              <w:t>2035</w:t>
            </w:r>
          </w:p>
        </w:tc>
        <w:tc>
          <w:tcPr>
            <w:tcW w:type="dxa" w:w="1170"/>
            <w:shd w:val="clear" w:color="auto" w:fill="1F3864"/>
          </w:tcPr>
          <w:p>
            <w:r>
              <w:rPr>
                <w:b/>
                <w:color w:val="FFFFFF"/>
                <w:sz w:val="18"/>
              </w:rPr>
              <w:t>Alt 1</w:t>
              <w:br/>
              <w:t>2050</w:t>
            </w:r>
          </w:p>
        </w:tc>
        <w:tc>
          <w:tcPr>
            <w:tcW w:type="dxa" w:w="1170"/>
            <w:shd w:val="clear" w:color="auto" w:fill="1F3864"/>
          </w:tcPr>
          <w:p>
            <w:r>
              <w:rPr>
                <w:b/>
                <w:color w:val="FFFFFF"/>
                <w:sz w:val="18"/>
              </w:rPr>
              <w:t>Alt 2</w:t>
              <w:br/>
              <w:t>2035</w:t>
            </w:r>
          </w:p>
        </w:tc>
        <w:tc>
          <w:tcPr>
            <w:tcW w:type="dxa" w:w="1170"/>
            <w:shd w:val="clear" w:color="auto" w:fill="1F3864"/>
          </w:tcPr>
          <w:p>
            <w:r>
              <w:rPr>
                <w:b/>
                <w:color w:val="FFFFFF"/>
                <w:sz w:val="18"/>
              </w:rPr>
              <w:t>Alt 2</w:t>
              <w:br/>
              <w:t>2050</w:t>
            </w:r>
          </w:p>
        </w:tc>
        <w:tc>
          <w:tcPr>
            <w:tcW w:type="dxa" w:w="1170"/>
            <w:shd w:val="clear" w:color="auto" w:fill="1F3864"/>
          </w:tcPr>
          <w:p>
            <w:r>
              <w:rPr>
                <w:b/>
                <w:color w:val="FFFFFF"/>
                <w:sz w:val="18"/>
              </w:rPr>
              <w:t>Alt 3</w:t>
              <w:br/>
              <w:t>2035</w:t>
            </w:r>
          </w:p>
        </w:tc>
        <w:tc>
          <w:tcPr>
            <w:tcW w:type="dxa" w:w="1170"/>
            <w:shd w:val="clear" w:color="auto" w:fill="1F3864"/>
          </w:tcPr>
          <w:p>
            <w:r>
              <w:rPr>
                <w:b/>
                <w:color w:val="FFFFFF"/>
                <w:sz w:val="18"/>
              </w:rPr>
              <w:t>Alt 3</w:t>
              <w:br/>
              <w:t>2050</w:t>
            </w:r>
          </w:p>
        </w:tc>
      </w:tr>
      <w:tr>
        <w:tc>
          <w:tcPr>
            <w:tcW w:type="dxa" w:w="1170"/>
          </w:tcPr>
          <w:p>
            <w:r>
              <w:rPr>
                <w:sz w:val="18"/>
              </w:rPr>
              <w:t>Retail</w:t>
            </w:r>
          </w:p>
        </w:tc>
        <w:tc>
          <w:tcPr>
            <w:tcW w:type="dxa" w:w="1170"/>
          </w:tcPr>
          <w:p>
            <w:r>
              <w:rPr>
                <w:sz w:val="18"/>
              </w:rPr>
              <w:t>3,711</w:t>
            </w:r>
          </w:p>
        </w:tc>
        <w:tc>
          <w:tcPr>
            <w:tcW w:type="dxa" w:w="1170"/>
          </w:tcPr>
          <w:p>
            <w:r>
              <w:rPr>
                <w:sz w:val="18"/>
              </w:rPr>
              <w:t>3,778</w:t>
            </w:r>
          </w:p>
        </w:tc>
        <w:tc>
          <w:tcPr>
            <w:tcW w:type="dxa" w:w="1170"/>
          </w:tcPr>
          <w:p>
            <w:r>
              <w:rPr>
                <w:sz w:val="18"/>
              </w:rPr>
              <w:t>3,855</w:t>
            </w:r>
          </w:p>
        </w:tc>
        <w:tc>
          <w:tcPr>
            <w:tcW w:type="dxa" w:w="1170"/>
          </w:tcPr>
          <w:p>
            <w:r>
              <w:rPr>
                <w:sz w:val="18"/>
              </w:rPr>
              <w:t>3,778</w:t>
            </w:r>
          </w:p>
        </w:tc>
        <w:tc>
          <w:tcPr>
            <w:tcW w:type="dxa" w:w="1170"/>
          </w:tcPr>
          <w:p>
            <w:r>
              <w:rPr>
                <w:sz w:val="18"/>
              </w:rPr>
              <w:t>3,855</w:t>
            </w:r>
          </w:p>
        </w:tc>
        <w:tc>
          <w:tcPr>
            <w:tcW w:type="dxa" w:w="1170"/>
          </w:tcPr>
          <w:p>
            <w:r>
              <w:rPr>
                <w:sz w:val="18"/>
              </w:rPr>
              <w:t>3,778</w:t>
            </w:r>
          </w:p>
        </w:tc>
        <w:tc>
          <w:tcPr>
            <w:tcW w:type="dxa" w:w="1170"/>
          </w:tcPr>
          <w:p>
            <w:r>
              <w:rPr>
                <w:sz w:val="18"/>
              </w:rPr>
              <w:t>3,855</w:t>
            </w:r>
          </w:p>
        </w:tc>
      </w:tr>
      <w:tr>
        <w:tc>
          <w:tcPr>
            <w:tcW w:type="dxa" w:w="1170"/>
          </w:tcPr>
          <w:p>
            <w:r>
              <w:rPr>
                <w:sz w:val="18"/>
              </w:rPr>
              <w:t>Service</w:t>
            </w:r>
          </w:p>
        </w:tc>
        <w:tc>
          <w:tcPr>
            <w:tcW w:type="dxa" w:w="1170"/>
          </w:tcPr>
          <w:p>
            <w:r>
              <w:rPr>
                <w:sz w:val="18"/>
              </w:rPr>
              <w:t>7,503</w:t>
            </w:r>
          </w:p>
        </w:tc>
        <w:tc>
          <w:tcPr>
            <w:tcW w:type="dxa" w:w="1170"/>
          </w:tcPr>
          <w:p>
            <w:r>
              <w:rPr>
                <w:sz w:val="18"/>
              </w:rPr>
              <w:t>7,632</w:t>
            </w:r>
          </w:p>
        </w:tc>
        <w:tc>
          <w:tcPr>
            <w:tcW w:type="dxa" w:w="1170"/>
          </w:tcPr>
          <w:p>
            <w:r>
              <w:rPr>
                <w:sz w:val="18"/>
              </w:rPr>
              <w:t>7,777</w:t>
            </w:r>
          </w:p>
        </w:tc>
        <w:tc>
          <w:tcPr>
            <w:tcW w:type="dxa" w:w="1170"/>
          </w:tcPr>
          <w:p>
            <w:r>
              <w:rPr>
                <w:sz w:val="18"/>
              </w:rPr>
              <w:t>7,632</w:t>
            </w:r>
          </w:p>
        </w:tc>
        <w:tc>
          <w:tcPr>
            <w:tcW w:type="dxa" w:w="1170"/>
          </w:tcPr>
          <w:p>
            <w:r>
              <w:rPr>
                <w:sz w:val="18"/>
              </w:rPr>
              <w:t>7,777</w:t>
            </w:r>
          </w:p>
        </w:tc>
        <w:tc>
          <w:tcPr>
            <w:tcW w:type="dxa" w:w="1170"/>
          </w:tcPr>
          <w:p>
            <w:r>
              <w:rPr>
                <w:sz w:val="18"/>
              </w:rPr>
              <w:t>7,632</w:t>
            </w:r>
          </w:p>
        </w:tc>
        <w:tc>
          <w:tcPr>
            <w:tcW w:type="dxa" w:w="1170"/>
          </w:tcPr>
          <w:p>
            <w:r>
              <w:rPr>
                <w:sz w:val="18"/>
              </w:rPr>
              <w:t>7,777</w:t>
            </w:r>
          </w:p>
        </w:tc>
      </w:tr>
      <w:tr>
        <w:tc>
          <w:tcPr>
            <w:tcW w:type="dxa" w:w="1170"/>
          </w:tcPr>
          <w:p>
            <w:r>
              <w:rPr>
                <w:sz w:val="18"/>
              </w:rPr>
              <w:t>Recreation</w:t>
            </w:r>
          </w:p>
        </w:tc>
        <w:tc>
          <w:tcPr>
            <w:tcW w:type="dxa" w:w="1170"/>
          </w:tcPr>
          <w:p>
            <w:r>
              <w:rPr>
                <w:sz w:val="18"/>
              </w:rPr>
              <w:t>2,248</w:t>
            </w:r>
          </w:p>
        </w:tc>
        <w:tc>
          <w:tcPr>
            <w:tcW w:type="dxa" w:w="1170"/>
          </w:tcPr>
          <w:p>
            <w:r>
              <w:rPr>
                <w:sz w:val="18"/>
              </w:rPr>
              <w:t>2,286</w:t>
            </w:r>
          </w:p>
        </w:tc>
        <w:tc>
          <w:tcPr>
            <w:tcW w:type="dxa" w:w="1170"/>
          </w:tcPr>
          <w:p>
            <w:r>
              <w:rPr>
                <w:sz w:val="18"/>
              </w:rPr>
              <w:t>2,318</w:t>
            </w:r>
          </w:p>
        </w:tc>
        <w:tc>
          <w:tcPr>
            <w:tcW w:type="dxa" w:w="1170"/>
          </w:tcPr>
          <w:p>
            <w:r>
              <w:rPr>
                <w:sz w:val="18"/>
              </w:rPr>
              <w:t>2,286</w:t>
            </w:r>
          </w:p>
        </w:tc>
        <w:tc>
          <w:tcPr>
            <w:tcW w:type="dxa" w:w="1170"/>
          </w:tcPr>
          <w:p>
            <w:r>
              <w:rPr>
                <w:sz w:val="18"/>
              </w:rPr>
              <w:t>2,318</w:t>
            </w:r>
          </w:p>
        </w:tc>
        <w:tc>
          <w:tcPr>
            <w:tcW w:type="dxa" w:w="1170"/>
          </w:tcPr>
          <w:p>
            <w:r>
              <w:rPr>
                <w:sz w:val="18"/>
              </w:rPr>
              <w:t>2,286</w:t>
            </w:r>
          </w:p>
        </w:tc>
        <w:tc>
          <w:tcPr>
            <w:tcW w:type="dxa" w:w="1170"/>
          </w:tcPr>
          <w:p>
            <w:r>
              <w:rPr>
                <w:sz w:val="18"/>
              </w:rPr>
              <w:t>2,318</w:t>
            </w:r>
          </w:p>
        </w:tc>
      </w:tr>
      <w:tr>
        <w:tc>
          <w:tcPr>
            <w:tcW w:type="dxa" w:w="1170"/>
          </w:tcPr>
          <w:p>
            <w:r>
              <w:rPr>
                <w:sz w:val="18"/>
              </w:rPr>
              <w:t>Gaming</w:t>
            </w:r>
          </w:p>
        </w:tc>
        <w:tc>
          <w:tcPr>
            <w:tcW w:type="dxa" w:w="1170"/>
          </w:tcPr>
          <w:p>
            <w:r>
              <w:rPr>
                <w:sz w:val="18"/>
              </w:rPr>
              <w:t>2,564</w:t>
            </w:r>
          </w:p>
        </w:tc>
        <w:tc>
          <w:tcPr>
            <w:tcW w:type="dxa" w:w="1170"/>
          </w:tcPr>
          <w:p>
            <w:r>
              <w:rPr>
                <w:sz w:val="18"/>
              </w:rPr>
              <w:t>2,580</w:t>
            </w:r>
          </w:p>
        </w:tc>
        <w:tc>
          <w:tcPr>
            <w:tcW w:type="dxa" w:w="1170"/>
          </w:tcPr>
          <w:p>
            <w:r>
              <w:rPr>
                <w:sz w:val="18"/>
              </w:rPr>
              <w:t>2,598</w:t>
            </w:r>
          </w:p>
        </w:tc>
        <w:tc>
          <w:tcPr>
            <w:tcW w:type="dxa" w:w="1170"/>
          </w:tcPr>
          <w:p>
            <w:r>
              <w:rPr>
                <w:sz w:val="18"/>
              </w:rPr>
              <w:t>2,580</w:t>
            </w:r>
          </w:p>
        </w:tc>
        <w:tc>
          <w:tcPr>
            <w:tcW w:type="dxa" w:w="1170"/>
          </w:tcPr>
          <w:p>
            <w:r>
              <w:rPr>
                <w:sz w:val="18"/>
              </w:rPr>
              <w:t>2,598</w:t>
            </w:r>
          </w:p>
        </w:tc>
        <w:tc>
          <w:tcPr>
            <w:tcW w:type="dxa" w:w="1170"/>
          </w:tcPr>
          <w:p>
            <w:r>
              <w:rPr>
                <w:sz w:val="18"/>
              </w:rPr>
              <w:t>2,580</w:t>
            </w:r>
          </w:p>
        </w:tc>
        <w:tc>
          <w:tcPr>
            <w:tcW w:type="dxa" w:w="1170"/>
          </w:tcPr>
          <w:p>
            <w:r>
              <w:rPr>
                <w:sz w:val="18"/>
              </w:rPr>
              <w:t>2,598</w:t>
            </w:r>
          </w:p>
        </w:tc>
      </w:tr>
      <w:tr>
        <w:tc>
          <w:tcPr>
            <w:tcW w:type="dxa" w:w="1170"/>
          </w:tcPr>
          <w:p>
            <w:r>
              <w:rPr>
                <w:sz w:val="18"/>
              </w:rPr>
              <w:t>Other</w:t>
            </w:r>
          </w:p>
        </w:tc>
        <w:tc>
          <w:tcPr>
            <w:tcW w:type="dxa" w:w="1170"/>
          </w:tcPr>
          <w:p>
            <w:r>
              <w:rPr>
                <w:sz w:val="18"/>
              </w:rPr>
              <w:t>10,711</w:t>
            </w:r>
          </w:p>
        </w:tc>
        <w:tc>
          <w:tcPr>
            <w:tcW w:type="dxa" w:w="1170"/>
          </w:tcPr>
          <w:p>
            <w:r>
              <w:rPr>
                <w:sz w:val="18"/>
              </w:rPr>
              <w:t>10,874</w:t>
            </w:r>
          </w:p>
        </w:tc>
        <w:tc>
          <w:tcPr>
            <w:tcW w:type="dxa" w:w="1170"/>
          </w:tcPr>
          <w:p>
            <w:r>
              <w:rPr>
                <w:sz w:val="18"/>
              </w:rPr>
              <w:t>11,032</w:t>
            </w:r>
          </w:p>
        </w:tc>
        <w:tc>
          <w:tcPr>
            <w:tcW w:type="dxa" w:w="1170"/>
          </w:tcPr>
          <w:p>
            <w:r>
              <w:rPr>
                <w:sz w:val="18"/>
              </w:rPr>
              <w:t>11,018</w:t>
            </w:r>
          </w:p>
        </w:tc>
        <w:tc>
          <w:tcPr>
            <w:tcW w:type="dxa" w:w="1170"/>
          </w:tcPr>
          <w:p>
            <w:r>
              <w:rPr>
                <w:sz w:val="18"/>
              </w:rPr>
              <w:t>11,422</w:t>
            </w:r>
          </w:p>
        </w:tc>
        <w:tc>
          <w:tcPr>
            <w:tcW w:type="dxa" w:w="1170"/>
          </w:tcPr>
          <w:p>
            <w:r>
              <w:rPr>
                <w:sz w:val="18"/>
              </w:rPr>
              <w:t>10,973</w:t>
            </w:r>
          </w:p>
        </w:tc>
        <w:tc>
          <w:tcPr>
            <w:tcW w:type="dxa" w:w="1170"/>
          </w:tcPr>
          <w:p>
            <w:r>
              <w:rPr>
                <w:sz w:val="18"/>
              </w:rPr>
              <w:t>11,302</w:t>
            </w:r>
          </w:p>
        </w:tc>
      </w:tr>
      <w:tr>
        <w:tc>
          <w:tcPr>
            <w:tcW w:type="dxa" w:w="1170"/>
          </w:tcPr>
          <w:p>
            <w:r>
              <w:rPr>
                <w:sz w:val="18"/>
              </w:rPr>
              <w:t>Total</w:t>
            </w:r>
          </w:p>
        </w:tc>
        <w:tc>
          <w:tcPr>
            <w:tcW w:type="dxa" w:w="1170"/>
          </w:tcPr>
          <w:p>
            <w:r>
              <w:rPr>
                <w:sz w:val="18"/>
              </w:rPr>
              <w:t>26,737</w:t>
            </w:r>
          </w:p>
        </w:tc>
        <w:tc>
          <w:tcPr>
            <w:tcW w:type="dxa" w:w="1170"/>
          </w:tcPr>
          <w:p>
            <w:r>
              <w:rPr>
                <w:sz w:val="18"/>
              </w:rPr>
              <w:t>27,150</w:t>
            </w:r>
          </w:p>
        </w:tc>
        <w:tc>
          <w:tcPr>
            <w:tcW w:type="dxa" w:w="1170"/>
          </w:tcPr>
          <w:p>
            <w:r>
              <w:rPr>
                <w:sz w:val="18"/>
              </w:rPr>
              <w:t>27,580</w:t>
            </w:r>
          </w:p>
        </w:tc>
        <w:tc>
          <w:tcPr>
            <w:tcW w:type="dxa" w:w="1170"/>
          </w:tcPr>
          <w:p>
            <w:r>
              <w:rPr>
                <w:sz w:val="18"/>
              </w:rPr>
              <w:t>27,294</w:t>
            </w:r>
          </w:p>
        </w:tc>
        <w:tc>
          <w:tcPr>
            <w:tcW w:type="dxa" w:w="1170"/>
          </w:tcPr>
          <w:p>
            <w:r>
              <w:rPr>
                <w:sz w:val="18"/>
              </w:rPr>
              <w:t>27,970</w:t>
            </w:r>
          </w:p>
        </w:tc>
        <w:tc>
          <w:tcPr>
            <w:tcW w:type="dxa" w:w="1170"/>
          </w:tcPr>
          <w:p>
            <w:r>
              <w:rPr>
                <w:sz w:val="18"/>
              </w:rPr>
              <w:t>27,249</w:t>
            </w:r>
          </w:p>
        </w:tc>
        <w:tc>
          <w:tcPr>
            <w:tcW w:type="dxa" w:w="1170"/>
          </w:tcPr>
          <w:p>
            <w:r>
              <w:rPr>
                <w:sz w:val="18"/>
              </w:rPr>
              <w:t>27,850</w:t>
            </w:r>
          </w:p>
        </w:tc>
      </w:tr>
      <w:tr>
        <w:tc>
          <w:tcPr>
            <w:tcW w:type="dxa" w:w="1170"/>
          </w:tcPr>
          <w:p>
            <w:r>
              <w:rPr>
                <w:sz w:val="18"/>
              </w:rPr>
              <w:t>Change from Base</w:t>
            </w:r>
          </w:p>
        </w:tc>
        <w:tc>
          <w:tcPr>
            <w:tcW w:type="dxa" w:w="1170"/>
          </w:tcPr>
          <w:p>
            <w:r>
              <w:rPr>
                <w:sz w:val="18"/>
              </w:rPr>
              <w:t>—</w:t>
            </w:r>
          </w:p>
        </w:tc>
        <w:tc>
          <w:tcPr>
            <w:tcW w:type="dxa" w:w="1170"/>
          </w:tcPr>
          <w:p>
            <w:r>
              <w:rPr>
                <w:sz w:val="18"/>
              </w:rPr>
              <w:t>+413</w:t>
            </w:r>
          </w:p>
        </w:tc>
        <w:tc>
          <w:tcPr>
            <w:tcW w:type="dxa" w:w="1170"/>
          </w:tcPr>
          <w:p>
            <w:r>
              <w:rPr>
                <w:sz w:val="18"/>
              </w:rPr>
              <w:t>+843</w:t>
            </w:r>
          </w:p>
        </w:tc>
        <w:tc>
          <w:tcPr>
            <w:tcW w:type="dxa" w:w="1170"/>
          </w:tcPr>
          <w:p>
            <w:r>
              <w:rPr>
                <w:sz w:val="18"/>
              </w:rPr>
              <w:t>+557</w:t>
            </w:r>
          </w:p>
        </w:tc>
        <w:tc>
          <w:tcPr>
            <w:tcW w:type="dxa" w:w="1170"/>
          </w:tcPr>
          <w:p>
            <w:r>
              <w:rPr>
                <w:sz w:val="18"/>
              </w:rPr>
              <w:t>+1,233</w:t>
            </w:r>
          </w:p>
        </w:tc>
        <w:tc>
          <w:tcPr>
            <w:tcW w:type="dxa" w:w="1170"/>
          </w:tcPr>
          <w:p>
            <w:r>
              <w:rPr>
                <w:sz w:val="18"/>
              </w:rPr>
              <w:t>+512</w:t>
            </w:r>
          </w:p>
        </w:tc>
        <w:tc>
          <w:tcPr>
            <w:tcW w:type="dxa" w:w="1170"/>
          </w:tcPr>
          <w:p>
            <w:r>
              <w:rPr>
                <w:sz w:val="18"/>
              </w:rPr>
              <w:t>+1,113</w:t>
            </w:r>
          </w:p>
        </w:tc>
      </w:tr>
    </w:tbl>
    <w:p>
      <w:pPr>
        <w:pStyle w:val="Caption"/>
      </w:pPr>
      <w:r>
        <w:t>Table: Employment Forecast by Alternative</w:t>
      </w:r>
    </w:p>
    <w:p w14:paraId="3E9925BB" w14:textId="0F8432A0" w:rsidR="0054657A" w:rsidRPr="00D03A40" w:rsidRDefault="0054657A" w:rsidP="0054657A">
      <w:pPr>
        <w:spacing w:after="0" w:line="360" w:lineRule="auto"/>
        <w:rPr>
          <w:rFonts w:eastAsia="Times New Roman"/>
        </w:rPr>
      </w:pPr>
    </w:p>
    <w:p w14:paraId="49E873BF" w14:textId="1942BBD5" w:rsidR="00E16133" w:rsidRPr="00D03A40" w:rsidRDefault="00E16133" w:rsidP="000D1F78">
      <w:pPr>
        <w:pStyle w:val="Heading3"/>
        <w:rPr>
          <w:rFonts w:eastAsia="Times New Roman"/>
        </w:rPr>
      </w:pPr>
      <w:r w:rsidRPr="00D03A40">
        <w:rPr>
          <w:rFonts w:eastAsia="Times New Roman"/>
        </w:rPr>
        <w:lastRenderedPageBreak/>
        <w:t xml:space="preserve">Visitation </w:t>
      </w:r>
    </w:p>
    <w:p w14:paraId="1A0499D6" w14:textId="0D3F1B2D" w:rsidR="00D65215" w:rsidRPr="00D03A40" w:rsidRDefault="000D1F78" w:rsidP="000D1F78">
      <w:pPr>
        <w:rPr>
          <w:rFonts w:cstheme="minorHAnsi"/>
        </w:rPr>
      </w:pPr>
      <w:r>
        <w:rPr>
          <w:noProof/>
        </w:rPr>
        <mc:AlternateContent>
          <mc:Choice Requires="wps">
            <w:drawing>
              <wp:anchor distT="0" distB="0" distL="114300" distR="114300" simplePos="0" relativeHeight="251658242" behindDoc="1" locked="0" layoutInCell="1" allowOverlap="1" wp14:anchorId="3A299650" wp14:editId="1A26EFCD">
                <wp:simplePos x="0" y="0"/>
                <wp:positionH relativeFrom="column">
                  <wp:posOffset>3171825</wp:posOffset>
                </wp:positionH>
                <wp:positionV relativeFrom="paragraph">
                  <wp:posOffset>3473450</wp:posOffset>
                </wp:positionV>
                <wp:extent cx="3012440" cy="635"/>
                <wp:effectExtent l="0" t="0" r="0" b="0"/>
                <wp:wrapTight wrapText="bothSides">
                  <wp:wrapPolygon edited="0">
                    <wp:start x="0" y="0"/>
                    <wp:lineTo x="0" y="19716"/>
                    <wp:lineTo x="21445" y="19716"/>
                    <wp:lineTo x="21445" y="0"/>
                    <wp:lineTo x="0" y="0"/>
                  </wp:wrapPolygon>
                </wp:wrapTight>
                <wp:docPr id="1050260465" name="Text Box 846891181"/>
                <wp:cNvGraphicFramePr/>
                <a:graphic xmlns:a="http://schemas.openxmlformats.org/drawingml/2006/main">
                  <a:graphicData uri="http://schemas.microsoft.com/office/word/2010/wordprocessingShape">
                    <wps:wsp>
                      <wps:cNvSpPr txBox="1"/>
                      <wps:spPr>
                        <a:xfrm>
                          <a:off x="0" y="0"/>
                          <a:ext cx="3012440" cy="635"/>
                        </a:xfrm>
                        <a:prstGeom prst="rect">
                          <a:avLst/>
                        </a:prstGeom>
                        <a:solidFill>
                          <a:prstClr val="white"/>
                        </a:solidFill>
                        <a:ln>
                          <a:noFill/>
                        </a:ln>
                      </wps:spPr>
                      <wps:txbx>
                        <w:txbxContent>
                          <w:p w14:paraId="5EA7686A" w14:textId="77777777" w:rsidR="000D1F78" w:rsidRPr="0013139F" w:rsidRDefault="000D1F78" w:rsidP="000D1F78">
                            <w:pPr>
                              <w:pStyle w:val="Caption"/>
                              <w:jc w:val="right"/>
                              <w:rPr>
                                <w:rFonts w:eastAsia="Times New Roman"/>
                                <w:b/>
                                <w:bCs/>
                                <w:i w:val="0"/>
                                <w:iCs w:val="0"/>
                                <w:noProof/>
                                <w:color w:val="000000" w:themeColor="text1"/>
                                <w:sz w:val="22"/>
                                <w:szCs w:val="22"/>
                              </w:rPr>
                            </w:pPr>
                            <w:r w:rsidRPr="0013139F">
                              <w:rPr>
                                <w:b/>
                                <w:bCs/>
                                <w:i w:val="0"/>
                                <w:iCs w:val="0"/>
                                <w:color w:val="000000" w:themeColor="text1"/>
                                <w:sz w:val="22"/>
                                <w:szCs w:val="22"/>
                              </w:rPr>
                              <w:t>Figure 6: Tahoe Mega-Region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0</wp14:pctHeight>
                </wp14:sizeRelV>
              </wp:anchor>
            </w:drawing>
          </mc:Choice>
          <mc:Fallback>
            <w:pict>
              <v:shapetype w14:anchorId="3A299650" id="_x0000_t202" coordsize="21600,21600" o:spt="202" path="m,l,21600r21600,l21600,xe">
                <v:stroke joinstyle="miter"/>
                <v:path gradientshapeok="t" o:connecttype="rect"/>
              </v:shapetype>
              <v:shape id="Text Box 846891181" o:spid="_x0000_s1026" type="#_x0000_t202" style="position:absolute;margin-left:249.75pt;margin-top:273.5pt;width:237.2pt;height:.05pt;z-index:-25165823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" stroked="f">
                <v:textbox style="mso-fit-shape-to-text:t" inset="0,0,0,0">
                  <w:txbxContent>
                    <w:p w14:paraId="5EA7686A" w14:textId="77777777" w:rsidR="000D1F78" w:rsidRPr="0013139F" w:rsidRDefault="000D1F78" w:rsidP="000D1F78">
                      <w:pPr>
                        <w:pStyle w:val="Caption"/>
                        <w:jc w:val="right"/>
                        <w:rPr>
                          <w:rFonts w:eastAsia="Times New Roman"/>
                          <w:b/>
                          <w:bCs/>
                          <w:i w:val="0"/>
                          <w:iCs w:val="0"/>
                          <w:noProof/>
                          <w:color w:val="000000" w:themeColor="text1"/>
                          <w:sz w:val="22"/>
                          <w:szCs w:val="22"/>
                        </w:rPr>
                      </w:pPr>
                      <w:r w:rsidRPr="0013139F">
                        <w:rPr>
                          <w:b/>
                          <w:bCs/>
                          <w:i w:val="0"/>
                          <w:iCs w:val="0"/>
                          <w:color w:val="000000" w:themeColor="text1"/>
                          <w:sz w:val="22"/>
                          <w:szCs w:val="22"/>
                        </w:rPr>
                        <w:t>Figure 6: Tahoe Mega-Region</w:t>
                      </w:r>
                    </w:p>
                  </w:txbxContent>
                </v:textbox>
                <w10:wrap type="tight"/>
              </v:shape>
            </w:pict>
          </mc:Fallback>
        </mc:AlternateContent>
      </w:r>
      <w:r w:rsidR="00D65215">
        <w:rPr>
          <w:noProof/>
        </w:rPr>
        <w:drawing>
          <wp:anchor distT="0" distB="0" distL="114300" distR="114300" simplePos="0" relativeHeight="251658240" behindDoc="1" locked="0" layoutInCell="1" allowOverlap="1" wp14:anchorId="4D801AB6" wp14:editId="4198BADF">
            <wp:simplePos x="0" y="0"/>
            <wp:positionH relativeFrom="page">
              <wp:posOffset>4371975</wp:posOffset>
            </wp:positionH>
            <wp:positionV relativeFrom="paragraph">
              <wp:posOffset>555625</wp:posOffset>
            </wp:positionV>
            <wp:extent cx="2559050" cy="2920433"/>
            <wp:effectExtent l="0" t="0" r="0" b="0"/>
            <wp:wrapSquare wrapText="bothSides"/>
            <wp:docPr id="934431882" name="Picture 312730067" descr="A map of a cit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2730067"/>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559050" cy="2920433"/>
                    </a:xfrm>
                    <a:prstGeom prst="rect">
                      <a:avLst/>
                    </a:prstGeom>
                  </pic:spPr>
                </pic:pic>
              </a:graphicData>
            </a:graphic>
            <wp14:sizeRelH relativeFrom="page">
              <wp14:pctWidth>0</wp14:pctWidth>
            </wp14:sizeRelH>
            <wp14:sizeRelV relativeFrom="page">
              <wp14:pctHeight>0</wp14:pctHeight>
            </wp14:sizeRelV>
          </wp:anchor>
        </w:drawing>
      </w:r>
      <w:r w:rsidR="00D65215" w:rsidRPr="0614FEAD">
        <w:rPr>
          <w:color w:val="000000" w:themeColor="text1"/>
        </w:rPr>
        <w:t xml:space="preserve">The forecast includes an increase in visitation which is influenced by several factors. </w:t>
      </w:r>
      <w:r w:rsidR="00D65215" w:rsidRPr="0614FEAD">
        <w:t xml:space="preserve">The Tahoe </w:t>
      </w:r>
      <w:r w:rsidR="00D26CA4">
        <w:t>R</w:t>
      </w:r>
      <w:r w:rsidR="00D65215" w:rsidRPr="0614FEAD">
        <w:t xml:space="preserve">egion is located near and draws visitors from several regions that are projected to experience between 20% and 30% growth in the coming decades (Figure </w:t>
      </w:r>
      <w:r w:rsidR="0076506C">
        <w:t>5</w:t>
      </w:r>
      <w:r w:rsidR="00D65215" w:rsidRPr="0614FEAD">
        <w:t xml:space="preserve">, Table 5). The Sacramento Council of Governments (SACOG), predicts that population in the greater Sacramento </w:t>
      </w:r>
      <w:r w:rsidR="00D26CA4">
        <w:t>R</w:t>
      </w:r>
      <w:r w:rsidR="00D65215" w:rsidRPr="0614FEAD">
        <w:t>egion</w:t>
      </w:r>
      <w:r w:rsidR="00D65215" w:rsidRPr="00D03A40">
        <w:rPr>
          <w:rStyle w:val="FootnoteReference"/>
          <w:rFonts w:eastAsia="Times New Roman" w:cstheme="minorHAnsi"/>
        </w:rPr>
        <w:footnoteReference w:id="4"/>
      </w:r>
      <w:r w:rsidR="00D65215" w:rsidRPr="0614FEAD">
        <w:t xml:space="preserve"> will grow 26% by 2050</w:t>
      </w:r>
      <w:r w:rsidR="001F6CE9" w:rsidRPr="0614FEAD">
        <w:t xml:space="preserve"> </w:t>
      </w:r>
      <w:sdt>
        <w:sdtPr>
          <w:id w:val="-809250488"/>
          <w:citation/>
        </w:sdtPr>
        <w:sdtContent>
          <w:r w:rsidR="001F6CE9" w:rsidRPr="0614FEAD">
            <w:fldChar w:fldCharType="begin"/>
          </w:r>
          <w:r w:rsidR="001F6CE9" w:rsidRPr="0614FEAD">
            <w:instrText xml:space="preserve"> CITATION Sac22 \l 1033 </w:instrText>
          </w:r>
          <w:r w:rsidR="001F6CE9" w:rsidRPr="0614FEAD">
            <w:fldChar w:fldCharType="separate"/>
          </w:r>
          <w:r w:rsidR="001F6CE9" w:rsidRPr="20A6508D">
            <w:t>(Sacramento Area Council of Governments, 2022)</w:t>
          </w:r>
          <w:r w:rsidR="001F6CE9" w:rsidRPr="0614FEAD">
            <w:fldChar w:fldCharType="end"/>
          </w:r>
        </w:sdtContent>
      </w:sdt>
      <w:r w:rsidR="00D65215" w:rsidRPr="0614FEAD">
        <w:t xml:space="preserve">. </w:t>
      </w:r>
      <w:r w:rsidR="00D65215" w:rsidRPr="0614FEAD">
        <w:fldChar w:fldCharType="begin"/>
      </w:r>
      <w:r w:rsidR="00D65215" w:rsidRPr="0614FEAD">
        <w:instrText xml:space="preserve"> ADDIN ZOTERO_ITEM CSL_CITATION {"citationID":"tLU2c2tG","properties":{"formattedCitation":"(SACOG 2019)","plainCitation":"(SACOG 2019)","noteIndex":0},"citationItems":[{"id":3804,"uris":["http://zotero.org/users/2786121/items/P7BFBQEG"],"uri":["http://zotero.org/users/2786121/items/P7BFBQEG"],"itemData":{"id":3804,"type":"report","publisher":"Sacramento Area Council of Governments","title":"2020 Metropolitan Transportation Plan/Sustainable Communities Strategy","URL":"https://www.sacog.org/post/adopted-2020-mtpscs","author":[{"literal":"SACOG"}],"issued":{"date-parts":[["2019"]]}}}],"schema":"https://github.com/citation-style-language/schema/raw/master/csl-citation.json"} </w:instrText>
      </w:r>
      <w:r w:rsidR="00D65215" w:rsidRPr="0614FEAD">
        <w:fldChar w:fldCharType="separate"/>
      </w:r>
      <w:r w:rsidR="00D65215" w:rsidRPr="0614FEAD">
        <w:fldChar w:fldCharType="end"/>
      </w:r>
      <w:r w:rsidR="00D65215" w:rsidRPr="0614FEAD">
        <w:t>Farther west, but still within the Tahoe Mega-Region, the Association of Bay Area Governments (ABAG)</w:t>
      </w:r>
      <w:r w:rsidR="00D65215" w:rsidRPr="00D03A40">
        <w:rPr>
          <w:rStyle w:val="FootnoteReference"/>
          <w:rFonts w:eastAsia="Times New Roman" w:cstheme="minorHAnsi"/>
        </w:rPr>
        <w:footnoteReference w:id="5"/>
      </w:r>
      <w:r w:rsidR="00D65215" w:rsidRPr="0614FEAD">
        <w:t xml:space="preserve"> forecasts 30% population increase by 2050 </w:t>
      </w:r>
      <w:sdt>
        <w:sdtPr>
          <w:id w:val="814142403"/>
          <w:citation/>
        </w:sdtPr>
        <w:sdtContent>
          <w:r w:rsidR="00F27BB7" w:rsidRPr="0614FEAD">
            <w:fldChar w:fldCharType="begin"/>
          </w:r>
          <w:r w:rsidR="00F27BB7" w:rsidRPr="0614FEAD">
            <w:instrText xml:space="preserve"> CITATION Ass21 \l 1033 </w:instrText>
          </w:r>
          <w:r w:rsidR="00F27BB7" w:rsidRPr="0614FEAD">
            <w:fldChar w:fldCharType="separate"/>
          </w:r>
          <w:r w:rsidR="00F27BB7" w:rsidRPr="20A6508D">
            <w:t>(Association of Bay Area Governments, 2021)</w:t>
          </w:r>
          <w:r w:rsidR="00F27BB7" w:rsidRPr="0614FEAD">
            <w:fldChar w:fldCharType="end"/>
          </w:r>
        </w:sdtContent>
      </w:sdt>
      <w:r w:rsidR="00F27BB7" w:rsidRPr="0614FEAD">
        <w:t>.</w:t>
      </w:r>
      <w:r w:rsidR="00D65215" w:rsidRPr="0614FEAD">
        <w:t xml:space="preserve"> To the north and east of Tahoe, RTC-Washoe predicts a 28% growth in population in the Reno/Sparks Metropolitan area</w:t>
      </w:r>
      <w:r w:rsidR="00D65215" w:rsidRPr="00D03A40">
        <w:rPr>
          <w:rStyle w:val="FootnoteReference"/>
          <w:rFonts w:eastAsia="Times New Roman" w:cstheme="minorHAnsi"/>
        </w:rPr>
        <w:footnoteReference w:id="6"/>
      </w:r>
      <w:r w:rsidR="00D65215" w:rsidRPr="0614FEAD">
        <w:t xml:space="preserve"> by 2050</w:t>
      </w:r>
      <w:r w:rsidR="00FF63D5" w:rsidRPr="0614FEAD">
        <w:t xml:space="preserve"> </w:t>
      </w:r>
      <w:sdt>
        <w:sdtPr>
          <w:id w:val="-1756277473"/>
          <w:citation/>
        </w:sdtPr>
        <w:sdtContent>
          <w:r w:rsidR="00FF63D5" w:rsidRPr="0614FEAD">
            <w:fldChar w:fldCharType="begin"/>
          </w:r>
          <w:r w:rsidR="00FF63D5" w:rsidRPr="0614FEAD">
            <w:instrText xml:space="preserve"> CITATION Reg24 \l 1033 </w:instrText>
          </w:r>
          <w:r w:rsidR="00FF63D5" w:rsidRPr="0614FEAD">
            <w:fldChar w:fldCharType="separate"/>
          </w:r>
          <w:r w:rsidR="00FF63D5" w:rsidRPr="20A6508D">
            <w:t>(Regional Transportation Commission of Washoe County, 2024)</w:t>
          </w:r>
          <w:r w:rsidR="00FF63D5" w:rsidRPr="0614FEAD">
            <w:fldChar w:fldCharType="end"/>
          </w:r>
        </w:sdtContent>
      </w:sdt>
      <w:r w:rsidR="00D65215" w:rsidRPr="0614FEAD">
        <w:t xml:space="preserve"> and the Carson Area MPO</w:t>
      </w:r>
      <w:r w:rsidR="00D65215" w:rsidRPr="00D03A40">
        <w:rPr>
          <w:rStyle w:val="FootnoteReference"/>
          <w:rFonts w:eastAsia="Times New Roman" w:cstheme="minorHAnsi"/>
        </w:rPr>
        <w:footnoteReference w:id="7"/>
      </w:r>
      <w:r w:rsidR="00D65215" w:rsidRPr="0614FEAD">
        <w:t xml:space="preserve"> predicts a 23.5% growth in population</w:t>
      </w:r>
      <w:r w:rsidR="00FF63D5" w:rsidRPr="0614FEAD">
        <w:t xml:space="preserve"> </w:t>
      </w:r>
      <w:sdt>
        <w:sdtPr>
          <w:id w:val="-300774823"/>
          <w:citation/>
        </w:sdtPr>
        <w:sdtContent>
          <w:r w:rsidR="00FF63D5" w:rsidRPr="0614FEAD">
            <w:fldChar w:fldCharType="begin"/>
          </w:r>
          <w:r w:rsidR="00FF63D5" w:rsidRPr="0614FEAD">
            <w:instrText xml:space="preserve"> CITATION Car24 \l 1033 </w:instrText>
          </w:r>
          <w:r w:rsidR="00FF63D5" w:rsidRPr="0614FEAD">
            <w:fldChar w:fldCharType="separate"/>
          </w:r>
          <w:r w:rsidR="00FF63D5" w:rsidRPr="20A6508D">
            <w:t>(Carson Area Metropolitan Planning Organization, 2024)</w:t>
          </w:r>
          <w:r w:rsidR="00FF63D5" w:rsidRPr="0614FEAD">
            <w:fldChar w:fldCharType="end"/>
          </w:r>
        </w:sdtContent>
      </w:sdt>
      <w:r w:rsidR="00FF63D5" w:rsidRPr="0614FEAD">
        <w:t xml:space="preserve">. </w:t>
      </w:r>
      <w:r w:rsidR="00D65215" w:rsidRPr="0614FEAD">
        <w:rPr>
          <w:color w:val="000000" w:themeColor="text1"/>
        </w:rPr>
        <w:t>Population growth in the mega-region is likely to create increased demand for recreation opportunities and the unique experience that Tahoe provides.</w:t>
      </w:r>
      <w:r w:rsidRPr="000D1F78">
        <w:rPr>
          <w:noProof/>
        </w:rPr>
        <w:t xml:space="preserve"> </w:t>
      </w:r>
    </w:p>
    <w:p w14:paraId="3D8E6AA1" w14:textId="77777777" w:rsidR="00D65215" w:rsidRPr="0013139F" w:rsidRDefault="00D65215" w:rsidP="00D65215">
      <w:pPr>
        <w:spacing w:after="0" w:line="360" w:lineRule="auto"/>
        <w:rPr>
          <w:rFonts w:eastAsia="Times New Roman" w:cstheme="minorHAnsi"/>
          <w:b/>
          <w:bCs/>
        </w:rPr>
      </w:pPr>
      <w:r w:rsidRPr="0013139F">
        <w:rPr>
          <w:rFonts w:eastAsia="Times New Roman" w:cstheme="minorHAnsi"/>
          <w:b/>
          <w:bCs/>
        </w:rPr>
        <w:t>Table 5: Mega-Region Growth Forecasts</w:t>
      </w:r>
    </w:p>
    <w:tbl>
      <w:tblPr>
        <w:tblStyle w:val="TableGrid"/>
        <w:tblpPr w:leftFromText="180" w:rightFromText="180" w:vertAnchor="text" w:horzAnchor="margin" w:tblpY="173"/>
        <w:tblW w:w="9355" w:type="dxa"/>
        <w:tblLook w:val="04A0" w:firstRow="1" w:lastRow="0" w:firstColumn="1" w:lastColumn="0" w:noHBand="0" w:noVBand="1"/>
      </w:tblPr>
      <w:tblGrid>
        <w:gridCol w:w="2155"/>
        <w:gridCol w:w="1890"/>
        <w:gridCol w:w="1440"/>
        <w:gridCol w:w="1440"/>
        <w:gridCol w:w="2430"/>
      </w:tblGrid>
      <w:tr w:rsidR="00D65215" w:rsidRPr="00D03A40" w14:paraId="2398F5CE" w14:textId="77777777" w:rsidTr="002A0360">
        <w:trPr>
          <w:trHeight w:val="300"/>
        </w:trPr>
        <w:tc>
          <w:tcPr>
            <w:tcW w:w="2155" w:type="dxa"/>
            <w:shd w:val="clear" w:color="auto" w:fill="1F3864" w:themeFill="accent1" w:themeFillShade="80"/>
          </w:tcPr>
          <w:p w14:paraId="1B9D6BB2" w14:textId="77777777" w:rsidR="00D65215" w:rsidRPr="00D03A40" w:rsidRDefault="00D65215" w:rsidP="00A33AD3">
            <w:pPr>
              <w:spacing w:line="360" w:lineRule="auto"/>
              <w:rPr>
                <w:rFonts w:eastAsia="Times New Roman" w:cstheme="minorHAnsi"/>
              </w:rPr>
            </w:pPr>
            <w:r w:rsidRPr="00D03A40">
              <w:rPr>
                <w:rFonts w:eastAsia="Times New Roman" w:cstheme="minorHAnsi"/>
              </w:rPr>
              <w:t>Location</w:t>
            </w:r>
          </w:p>
        </w:tc>
        <w:tc>
          <w:tcPr>
            <w:tcW w:w="1890" w:type="dxa"/>
            <w:shd w:val="clear" w:color="auto" w:fill="1F3864" w:themeFill="accent1" w:themeFillShade="80"/>
          </w:tcPr>
          <w:p w14:paraId="013950E7" w14:textId="77777777" w:rsidR="00D65215" w:rsidRPr="00D03A40" w:rsidRDefault="00D65215" w:rsidP="00A33AD3">
            <w:pPr>
              <w:spacing w:line="360" w:lineRule="auto"/>
              <w:rPr>
                <w:rFonts w:eastAsia="Times New Roman" w:cstheme="minorHAnsi"/>
              </w:rPr>
            </w:pPr>
            <w:r w:rsidRPr="00D03A40">
              <w:rPr>
                <w:rFonts w:eastAsia="Times New Roman" w:cstheme="minorHAnsi"/>
              </w:rPr>
              <w:t>Metric</w:t>
            </w:r>
          </w:p>
        </w:tc>
        <w:tc>
          <w:tcPr>
            <w:tcW w:w="1440" w:type="dxa"/>
            <w:shd w:val="clear" w:color="auto" w:fill="1F3864" w:themeFill="accent1" w:themeFillShade="80"/>
          </w:tcPr>
          <w:p w14:paraId="0EE15B1A" w14:textId="77777777" w:rsidR="00D65215" w:rsidRPr="00D03A40" w:rsidRDefault="00D65215" w:rsidP="00A33AD3">
            <w:pPr>
              <w:spacing w:line="360" w:lineRule="auto"/>
              <w:jc w:val="center"/>
              <w:rPr>
                <w:rFonts w:eastAsia="Times New Roman" w:cstheme="minorHAnsi"/>
              </w:rPr>
            </w:pPr>
            <w:r w:rsidRPr="00D03A40">
              <w:rPr>
                <w:rFonts w:eastAsia="Times New Roman" w:cstheme="minorHAnsi"/>
              </w:rPr>
              <w:t>Growth</w:t>
            </w:r>
          </w:p>
        </w:tc>
        <w:tc>
          <w:tcPr>
            <w:tcW w:w="1440" w:type="dxa"/>
            <w:shd w:val="clear" w:color="auto" w:fill="1F3864" w:themeFill="accent1" w:themeFillShade="80"/>
          </w:tcPr>
          <w:p w14:paraId="7670BC3A" w14:textId="77777777" w:rsidR="00D65215" w:rsidRPr="00D03A40" w:rsidRDefault="00D65215" w:rsidP="00A33AD3">
            <w:pPr>
              <w:spacing w:line="360" w:lineRule="auto"/>
              <w:jc w:val="center"/>
              <w:rPr>
                <w:rFonts w:eastAsia="Times New Roman" w:cstheme="minorHAnsi"/>
              </w:rPr>
            </w:pPr>
            <w:r w:rsidRPr="00D03A40">
              <w:rPr>
                <w:rFonts w:eastAsia="Times New Roman" w:cstheme="minorHAnsi"/>
              </w:rPr>
              <w:t>Forecast Year</w:t>
            </w:r>
          </w:p>
        </w:tc>
        <w:tc>
          <w:tcPr>
            <w:tcW w:w="2430" w:type="dxa"/>
            <w:shd w:val="clear" w:color="auto" w:fill="1F3864" w:themeFill="accent1" w:themeFillShade="80"/>
          </w:tcPr>
          <w:p w14:paraId="5DF1E2DC" w14:textId="77777777" w:rsidR="00D65215" w:rsidRPr="00D03A40" w:rsidRDefault="00D65215" w:rsidP="00A33AD3">
            <w:pPr>
              <w:spacing w:line="360" w:lineRule="auto"/>
              <w:rPr>
                <w:rFonts w:eastAsia="Times New Roman" w:cstheme="minorHAnsi"/>
              </w:rPr>
            </w:pPr>
            <w:r w:rsidRPr="00D03A40">
              <w:rPr>
                <w:rFonts w:eastAsia="Times New Roman" w:cstheme="minorHAnsi"/>
              </w:rPr>
              <w:t>Source</w:t>
            </w:r>
          </w:p>
        </w:tc>
      </w:tr>
      <w:tr w:rsidR="00D65215" w:rsidRPr="00D03A40" w14:paraId="327C12FD" w14:textId="77777777" w:rsidTr="002A0360">
        <w:trPr>
          <w:trHeight w:val="300"/>
        </w:trPr>
        <w:tc>
          <w:tcPr>
            <w:tcW w:w="2155" w:type="dxa"/>
          </w:tcPr>
          <w:p w14:paraId="3E1A982F" w14:textId="77777777" w:rsidR="00D65215" w:rsidRPr="00D03A40" w:rsidRDefault="00D65215" w:rsidP="00A33AD3">
            <w:pPr>
              <w:spacing w:line="360" w:lineRule="auto"/>
              <w:rPr>
                <w:rFonts w:eastAsia="Times New Roman" w:cstheme="minorHAnsi"/>
                <w:sz w:val="18"/>
                <w:szCs w:val="18"/>
              </w:rPr>
            </w:pPr>
            <w:r w:rsidRPr="00D03A40">
              <w:rPr>
                <w:rFonts w:eastAsia="Times New Roman" w:cstheme="minorHAnsi"/>
                <w:sz w:val="18"/>
                <w:szCs w:val="18"/>
              </w:rPr>
              <w:t>Sacramento Region</w:t>
            </w:r>
          </w:p>
        </w:tc>
        <w:tc>
          <w:tcPr>
            <w:tcW w:w="1890" w:type="dxa"/>
          </w:tcPr>
          <w:p w14:paraId="1D4D0D55" w14:textId="77777777" w:rsidR="00D65215" w:rsidRPr="00D03A40" w:rsidRDefault="00D65215" w:rsidP="00A33AD3">
            <w:pPr>
              <w:spacing w:line="360" w:lineRule="auto"/>
              <w:rPr>
                <w:rFonts w:eastAsia="Times New Roman" w:cstheme="minorHAnsi"/>
                <w:sz w:val="18"/>
                <w:szCs w:val="18"/>
              </w:rPr>
            </w:pPr>
            <w:r w:rsidRPr="00D03A40">
              <w:rPr>
                <w:rFonts w:eastAsia="Times New Roman" w:cstheme="minorHAnsi"/>
                <w:sz w:val="18"/>
                <w:szCs w:val="18"/>
              </w:rPr>
              <w:t>Population</w:t>
            </w:r>
          </w:p>
        </w:tc>
        <w:tc>
          <w:tcPr>
            <w:tcW w:w="1440" w:type="dxa"/>
          </w:tcPr>
          <w:p w14:paraId="30052995" w14:textId="77777777" w:rsidR="00D65215" w:rsidRPr="00D03A40" w:rsidRDefault="00D65215" w:rsidP="00A33AD3">
            <w:pPr>
              <w:spacing w:line="360" w:lineRule="auto"/>
              <w:jc w:val="center"/>
              <w:rPr>
                <w:rFonts w:eastAsia="Times New Roman" w:cstheme="minorHAnsi"/>
                <w:sz w:val="18"/>
                <w:szCs w:val="18"/>
              </w:rPr>
            </w:pPr>
            <w:r w:rsidRPr="00D03A40">
              <w:rPr>
                <w:rFonts w:eastAsia="Times New Roman" w:cstheme="minorHAnsi"/>
                <w:sz w:val="18"/>
                <w:szCs w:val="18"/>
              </w:rPr>
              <w:t>+23%</w:t>
            </w:r>
          </w:p>
        </w:tc>
        <w:tc>
          <w:tcPr>
            <w:tcW w:w="1440" w:type="dxa"/>
          </w:tcPr>
          <w:p w14:paraId="5118F957" w14:textId="77777777" w:rsidR="00D65215" w:rsidRPr="00567E6C" w:rsidRDefault="00D65215" w:rsidP="00A33AD3">
            <w:pPr>
              <w:spacing w:line="360" w:lineRule="auto"/>
              <w:jc w:val="center"/>
              <w:rPr>
                <w:rFonts w:eastAsia="Calibri" w:cstheme="minorHAnsi"/>
                <w:sz w:val="18"/>
                <w:szCs w:val="18"/>
              </w:rPr>
            </w:pPr>
            <w:r w:rsidRPr="00D03A40">
              <w:rPr>
                <w:rFonts w:eastAsia="Times New Roman" w:cstheme="minorHAnsi"/>
                <w:sz w:val="18"/>
                <w:szCs w:val="18"/>
              </w:rPr>
              <w:t>2050</w:t>
            </w:r>
          </w:p>
        </w:tc>
        <w:tc>
          <w:tcPr>
            <w:tcW w:w="2430" w:type="dxa"/>
          </w:tcPr>
          <w:p w14:paraId="462271FF" w14:textId="77777777" w:rsidR="00D65215" w:rsidRPr="00D03A40" w:rsidRDefault="00D65215" w:rsidP="00A33AD3">
            <w:pPr>
              <w:spacing w:line="360" w:lineRule="auto"/>
              <w:rPr>
                <w:rFonts w:eastAsia="Times New Roman" w:cstheme="minorHAnsi"/>
                <w:sz w:val="18"/>
                <w:szCs w:val="18"/>
              </w:rPr>
            </w:pPr>
            <w:r w:rsidRPr="00D03A40">
              <w:rPr>
                <w:rFonts w:eastAsia="Times New Roman" w:cstheme="minorHAnsi"/>
                <w:sz w:val="18"/>
                <w:szCs w:val="18"/>
              </w:rPr>
              <w:t xml:space="preserve">SACOG </w:t>
            </w:r>
            <w:r w:rsidRPr="00D03A40">
              <w:rPr>
                <w:rFonts w:cstheme="minorHAnsi"/>
                <w:sz w:val="18"/>
                <w:szCs w:val="18"/>
              </w:rPr>
              <w:t>2025 MTP/SCS</w:t>
            </w:r>
          </w:p>
        </w:tc>
      </w:tr>
      <w:tr w:rsidR="00D65215" w:rsidRPr="00D03A40" w14:paraId="2AF0D368" w14:textId="77777777" w:rsidTr="002A0360">
        <w:trPr>
          <w:trHeight w:val="300"/>
        </w:trPr>
        <w:tc>
          <w:tcPr>
            <w:tcW w:w="2155" w:type="dxa"/>
          </w:tcPr>
          <w:p w14:paraId="5CF13519" w14:textId="77777777" w:rsidR="00D65215" w:rsidRPr="00D03A40" w:rsidRDefault="00D65215" w:rsidP="00A33AD3">
            <w:pPr>
              <w:spacing w:line="360" w:lineRule="auto"/>
              <w:rPr>
                <w:rFonts w:eastAsia="Times New Roman" w:cstheme="minorHAnsi"/>
                <w:sz w:val="18"/>
                <w:szCs w:val="18"/>
              </w:rPr>
            </w:pPr>
            <w:r w:rsidRPr="00D03A40">
              <w:rPr>
                <w:rFonts w:eastAsia="Times New Roman" w:cstheme="minorHAnsi"/>
                <w:sz w:val="18"/>
                <w:szCs w:val="18"/>
              </w:rPr>
              <w:t>Sacramento Region</w:t>
            </w:r>
          </w:p>
        </w:tc>
        <w:tc>
          <w:tcPr>
            <w:tcW w:w="1890" w:type="dxa"/>
          </w:tcPr>
          <w:p w14:paraId="2C8EDAF9" w14:textId="77777777" w:rsidR="00D65215" w:rsidRPr="00D03A40" w:rsidRDefault="00D65215" w:rsidP="00A33AD3">
            <w:pPr>
              <w:spacing w:line="360" w:lineRule="auto"/>
              <w:rPr>
                <w:rFonts w:eastAsia="Times New Roman" w:cstheme="minorHAnsi"/>
                <w:sz w:val="18"/>
                <w:szCs w:val="18"/>
              </w:rPr>
            </w:pPr>
            <w:r w:rsidRPr="00D03A40">
              <w:rPr>
                <w:rFonts w:eastAsia="Times New Roman" w:cstheme="minorHAnsi"/>
                <w:sz w:val="18"/>
                <w:szCs w:val="18"/>
              </w:rPr>
              <w:t>Employment</w:t>
            </w:r>
          </w:p>
        </w:tc>
        <w:tc>
          <w:tcPr>
            <w:tcW w:w="1440" w:type="dxa"/>
          </w:tcPr>
          <w:p w14:paraId="7F734298" w14:textId="77777777" w:rsidR="00D65215" w:rsidRPr="00D03A40" w:rsidRDefault="00D65215" w:rsidP="00A33AD3">
            <w:pPr>
              <w:spacing w:line="360" w:lineRule="auto"/>
              <w:jc w:val="center"/>
              <w:rPr>
                <w:rFonts w:eastAsia="Times New Roman" w:cstheme="minorHAnsi"/>
                <w:sz w:val="18"/>
                <w:szCs w:val="18"/>
              </w:rPr>
            </w:pPr>
            <w:r w:rsidRPr="00D03A40">
              <w:rPr>
                <w:rFonts w:eastAsia="Times New Roman" w:cstheme="minorHAnsi"/>
                <w:sz w:val="18"/>
                <w:szCs w:val="18"/>
              </w:rPr>
              <w:t>+23%</w:t>
            </w:r>
          </w:p>
        </w:tc>
        <w:tc>
          <w:tcPr>
            <w:tcW w:w="1440" w:type="dxa"/>
          </w:tcPr>
          <w:p w14:paraId="03CEADA5" w14:textId="77777777" w:rsidR="00D65215" w:rsidRPr="00D03A40" w:rsidRDefault="00D65215" w:rsidP="00A33AD3">
            <w:pPr>
              <w:spacing w:line="360" w:lineRule="auto"/>
              <w:jc w:val="center"/>
              <w:rPr>
                <w:rFonts w:eastAsia="Times New Roman" w:cstheme="minorHAnsi"/>
                <w:sz w:val="18"/>
                <w:szCs w:val="18"/>
              </w:rPr>
            </w:pPr>
            <w:r w:rsidRPr="00D03A40">
              <w:rPr>
                <w:rFonts w:eastAsia="Times New Roman" w:cstheme="minorHAnsi"/>
                <w:sz w:val="18"/>
                <w:szCs w:val="18"/>
              </w:rPr>
              <w:t>2050</w:t>
            </w:r>
          </w:p>
        </w:tc>
        <w:tc>
          <w:tcPr>
            <w:tcW w:w="2430" w:type="dxa"/>
          </w:tcPr>
          <w:p w14:paraId="2AE84020" w14:textId="77777777" w:rsidR="00D65215" w:rsidRPr="00D03A40" w:rsidRDefault="00D65215" w:rsidP="00A33AD3">
            <w:pPr>
              <w:spacing w:line="360" w:lineRule="auto"/>
              <w:rPr>
                <w:rFonts w:eastAsia="Times New Roman" w:cstheme="minorHAnsi"/>
                <w:sz w:val="18"/>
                <w:szCs w:val="18"/>
              </w:rPr>
            </w:pPr>
            <w:r w:rsidRPr="00D03A40">
              <w:rPr>
                <w:rFonts w:eastAsia="Times New Roman" w:cstheme="minorHAnsi"/>
                <w:sz w:val="18"/>
                <w:szCs w:val="18"/>
              </w:rPr>
              <w:t xml:space="preserve">SACOG </w:t>
            </w:r>
            <w:r w:rsidRPr="00D03A40">
              <w:rPr>
                <w:rFonts w:cstheme="minorHAnsi"/>
                <w:sz w:val="18"/>
                <w:szCs w:val="18"/>
              </w:rPr>
              <w:t>2025 MTP/SCS</w:t>
            </w:r>
          </w:p>
        </w:tc>
      </w:tr>
      <w:tr w:rsidR="00D65215" w:rsidRPr="00D03A40" w14:paraId="4419FB75" w14:textId="77777777" w:rsidTr="002A0360">
        <w:trPr>
          <w:trHeight w:val="300"/>
        </w:trPr>
        <w:tc>
          <w:tcPr>
            <w:tcW w:w="2155" w:type="dxa"/>
          </w:tcPr>
          <w:p w14:paraId="73EB1711" w14:textId="77777777" w:rsidR="00D65215" w:rsidRPr="00D03A40" w:rsidRDefault="00D65215" w:rsidP="00A33AD3">
            <w:pPr>
              <w:spacing w:line="360" w:lineRule="auto"/>
              <w:rPr>
                <w:rFonts w:eastAsia="Times New Roman" w:cstheme="minorHAnsi"/>
                <w:sz w:val="18"/>
                <w:szCs w:val="18"/>
              </w:rPr>
            </w:pPr>
            <w:r w:rsidRPr="00D03A40">
              <w:rPr>
                <w:rFonts w:eastAsia="Times New Roman" w:cstheme="minorHAnsi"/>
                <w:sz w:val="18"/>
                <w:szCs w:val="18"/>
              </w:rPr>
              <w:t xml:space="preserve">Reno/Sparks Metro </w:t>
            </w:r>
          </w:p>
        </w:tc>
        <w:tc>
          <w:tcPr>
            <w:tcW w:w="1890" w:type="dxa"/>
          </w:tcPr>
          <w:p w14:paraId="1CE0E2A9" w14:textId="77777777" w:rsidR="00D65215" w:rsidRPr="00D03A40" w:rsidRDefault="00D65215" w:rsidP="00A33AD3">
            <w:pPr>
              <w:spacing w:line="360" w:lineRule="auto"/>
              <w:rPr>
                <w:rFonts w:eastAsia="Times New Roman" w:cstheme="minorHAnsi"/>
                <w:sz w:val="18"/>
                <w:szCs w:val="18"/>
              </w:rPr>
            </w:pPr>
            <w:r w:rsidRPr="00D03A40">
              <w:rPr>
                <w:rFonts w:eastAsia="Times New Roman" w:cstheme="minorHAnsi"/>
                <w:sz w:val="18"/>
                <w:szCs w:val="18"/>
              </w:rPr>
              <w:t>Population</w:t>
            </w:r>
          </w:p>
        </w:tc>
        <w:tc>
          <w:tcPr>
            <w:tcW w:w="1440" w:type="dxa"/>
          </w:tcPr>
          <w:p w14:paraId="7A642E0E" w14:textId="77777777" w:rsidR="00D65215" w:rsidRPr="00D03A40" w:rsidRDefault="00D65215" w:rsidP="00A33AD3">
            <w:pPr>
              <w:spacing w:line="360" w:lineRule="auto"/>
              <w:jc w:val="center"/>
              <w:rPr>
                <w:rFonts w:eastAsia="Times New Roman" w:cstheme="minorHAnsi"/>
                <w:sz w:val="18"/>
                <w:szCs w:val="18"/>
              </w:rPr>
            </w:pPr>
            <w:r w:rsidRPr="00D03A40">
              <w:rPr>
                <w:rFonts w:eastAsia="Times New Roman" w:cstheme="minorHAnsi"/>
                <w:sz w:val="18"/>
                <w:szCs w:val="18"/>
              </w:rPr>
              <w:t>+28%</w:t>
            </w:r>
          </w:p>
        </w:tc>
        <w:tc>
          <w:tcPr>
            <w:tcW w:w="1440" w:type="dxa"/>
          </w:tcPr>
          <w:p w14:paraId="7047C5EB" w14:textId="77777777" w:rsidR="00D65215" w:rsidRPr="00D03A40" w:rsidRDefault="00D65215" w:rsidP="00A33AD3">
            <w:pPr>
              <w:spacing w:line="360" w:lineRule="auto"/>
              <w:jc w:val="center"/>
              <w:rPr>
                <w:rFonts w:eastAsia="Times New Roman" w:cstheme="minorHAnsi"/>
                <w:sz w:val="18"/>
                <w:szCs w:val="18"/>
              </w:rPr>
            </w:pPr>
            <w:r w:rsidRPr="00D03A40">
              <w:rPr>
                <w:rFonts w:eastAsia="Times New Roman" w:cstheme="minorHAnsi"/>
                <w:sz w:val="18"/>
                <w:szCs w:val="18"/>
              </w:rPr>
              <w:t>2050</w:t>
            </w:r>
          </w:p>
        </w:tc>
        <w:tc>
          <w:tcPr>
            <w:tcW w:w="2430" w:type="dxa"/>
          </w:tcPr>
          <w:p w14:paraId="0C80CBE0" w14:textId="77777777" w:rsidR="00D65215" w:rsidRPr="00D03A40" w:rsidRDefault="00D65215" w:rsidP="00A33AD3">
            <w:pPr>
              <w:spacing w:line="360" w:lineRule="auto"/>
              <w:rPr>
                <w:rFonts w:eastAsia="Times New Roman" w:cstheme="minorHAnsi"/>
                <w:sz w:val="18"/>
                <w:szCs w:val="18"/>
              </w:rPr>
            </w:pPr>
            <w:r w:rsidRPr="00D03A40">
              <w:rPr>
                <w:rFonts w:eastAsia="Times New Roman" w:cstheme="minorHAnsi"/>
                <w:sz w:val="18"/>
                <w:szCs w:val="18"/>
              </w:rPr>
              <w:t>RTC-Washoe 2050 RTP, 2018</w:t>
            </w:r>
          </w:p>
        </w:tc>
      </w:tr>
      <w:tr w:rsidR="00D65215" w:rsidRPr="00D03A40" w14:paraId="54AF571B" w14:textId="77777777" w:rsidTr="002A0360">
        <w:trPr>
          <w:trHeight w:val="300"/>
        </w:trPr>
        <w:tc>
          <w:tcPr>
            <w:tcW w:w="2155" w:type="dxa"/>
          </w:tcPr>
          <w:p w14:paraId="33D0A25A" w14:textId="77777777" w:rsidR="00D65215" w:rsidRPr="00D03A40" w:rsidRDefault="00D65215" w:rsidP="00A33AD3">
            <w:pPr>
              <w:spacing w:line="360" w:lineRule="auto"/>
              <w:rPr>
                <w:rFonts w:eastAsia="Times New Roman" w:cstheme="minorHAnsi"/>
                <w:sz w:val="18"/>
                <w:szCs w:val="18"/>
              </w:rPr>
            </w:pPr>
            <w:r w:rsidRPr="00D03A40">
              <w:rPr>
                <w:rFonts w:eastAsia="Times New Roman" w:cstheme="minorHAnsi"/>
                <w:sz w:val="18"/>
                <w:szCs w:val="18"/>
              </w:rPr>
              <w:t xml:space="preserve">Reno/Sparks Metro </w:t>
            </w:r>
          </w:p>
        </w:tc>
        <w:tc>
          <w:tcPr>
            <w:tcW w:w="1890" w:type="dxa"/>
          </w:tcPr>
          <w:p w14:paraId="65F13148" w14:textId="77777777" w:rsidR="00D65215" w:rsidRPr="00D03A40" w:rsidRDefault="00D65215" w:rsidP="00A33AD3">
            <w:pPr>
              <w:spacing w:line="360" w:lineRule="auto"/>
              <w:rPr>
                <w:rFonts w:eastAsia="Times New Roman" w:cstheme="minorHAnsi"/>
                <w:sz w:val="18"/>
                <w:szCs w:val="18"/>
              </w:rPr>
            </w:pPr>
            <w:r w:rsidRPr="00D03A40">
              <w:rPr>
                <w:rFonts w:eastAsia="Times New Roman" w:cstheme="minorHAnsi"/>
                <w:sz w:val="18"/>
                <w:szCs w:val="18"/>
              </w:rPr>
              <w:t>Employment</w:t>
            </w:r>
          </w:p>
        </w:tc>
        <w:tc>
          <w:tcPr>
            <w:tcW w:w="1440" w:type="dxa"/>
          </w:tcPr>
          <w:p w14:paraId="70FC8825" w14:textId="77777777" w:rsidR="00D65215" w:rsidRPr="00D03A40" w:rsidRDefault="00D65215" w:rsidP="00A33AD3">
            <w:pPr>
              <w:spacing w:line="360" w:lineRule="auto"/>
              <w:jc w:val="center"/>
              <w:rPr>
                <w:rFonts w:eastAsia="Times New Roman" w:cstheme="minorHAnsi"/>
                <w:sz w:val="18"/>
                <w:szCs w:val="18"/>
              </w:rPr>
            </w:pPr>
            <w:r w:rsidRPr="00D03A40">
              <w:rPr>
                <w:rFonts w:eastAsia="Times New Roman" w:cstheme="minorHAnsi"/>
                <w:sz w:val="18"/>
                <w:szCs w:val="18"/>
              </w:rPr>
              <w:t>+34%</w:t>
            </w:r>
          </w:p>
        </w:tc>
        <w:tc>
          <w:tcPr>
            <w:tcW w:w="1440" w:type="dxa"/>
          </w:tcPr>
          <w:p w14:paraId="22FFF059" w14:textId="77777777" w:rsidR="00D65215" w:rsidRPr="00D03A40" w:rsidRDefault="00D65215" w:rsidP="00A33AD3">
            <w:pPr>
              <w:spacing w:line="360" w:lineRule="auto"/>
              <w:jc w:val="center"/>
              <w:rPr>
                <w:rFonts w:eastAsia="Times New Roman" w:cstheme="minorHAnsi"/>
                <w:sz w:val="18"/>
                <w:szCs w:val="18"/>
              </w:rPr>
            </w:pPr>
            <w:r w:rsidRPr="00D03A40">
              <w:rPr>
                <w:rFonts w:eastAsia="Times New Roman" w:cstheme="minorHAnsi"/>
                <w:sz w:val="18"/>
                <w:szCs w:val="18"/>
              </w:rPr>
              <w:t>2050</w:t>
            </w:r>
          </w:p>
        </w:tc>
        <w:tc>
          <w:tcPr>
            <w:tcW w:w="2430" w:type="dxa"/>
          </w:tcPr>
          <w:p w14:paraId="4FB45861" w14:textId="77777777" w:rsidR="00D65215" w:rsidRPr="00D03A40" w:rsidRDefault="00D65215" w:rsidP="00A33AD3">
            <w:pPr>
              <w:spacing w:line="360" w:lineRule="auto"/>
              <w:rPr>
                <w:rFonts w:eastAsia="Times New Roman" w:cstheme="minorHAnsi"/>
                <w:sz w:val="18"/>
                <w:szCs w:val="18"/>
              </w:rPr>
            </w:pPr>
            <w:r w:rsidRPr="00D03A40">
              <w:rPr>
                <w:rFonts w:eastAsia="Times New Roman" w:cstheme="minorHAnsi"/>
                <w:sz w:val="18"/>
                <w:szCs w:val="18"/>
              </w:rPr>
              <w:t>RTC-Washoe 2040 RTP, 2018</w:t>
            </w:r>
          </w:p>
        </w:tc>
      </w:tr>
      <w:tr w:rsidR="00D65215" w:rsidRPr="00D03A40" w14:paraId="310B6504" w14:textId="77777777" w:rsidTr="002A0360">
        <w:trPr>
          <w:trHeight w:val="300"/>
        </w:trPr>
        <w:tc>
          <w:tcPr>
            <w:tcW w:w="2155" w:type="dxa"/>
          </w:tcPr>
          <w:p w14:paraId="65AD86CA" w14:textId="77777777" w:rsidR="00D65215" w:rsidRPr="00D03A40" w:rsidRDefault="00D65215" w:rsidP="00A33AD3">
            <w:pPr>
              <w:spacing w:line="360" w:lineRule="auto"/>
              <w:rPr>
                <w:rFonts w:eastAsia="Times New Roman" w:cstheme="minorHAnsi"/>
                <w:sz w:val="18"/>
                <w:szCs w:val="18"/>
              </w:rPr>
            </w:pPr>
            <w:r w:rsidRPr="00D03A40">
              <w:rPr>
                <w:rFonts w:eastAsia="Times New Roman" w:cstheme="minorHAnsi"/>
                <w:sz w:val="18"/>
                <w:szCs w:val="18"/>
              </w:rPr>
              <w:t>Carson City Region</w:t>
            </w:r>
          </w:p>
        </w:tc>
        <w:tc>
          <w:tcPr>
            <w:tcW w:w="1890" w:type="dxa"/>
          </w:tcPr>
          <w:p w14:paraId="4D18E75F" w14:textId="77777777" w:rsidR="00D65215" w:rsidRPr="00D03A40" w:rsidRDefault="00D65215" w:rsidP="00A33AD3">
            <w:pPr>
              <w:spacing w:line="360" w:lineRule="auto"/>
              <w:rPr>
                <w:rFonts w:eastAsia="Times New Roman" w:cstheme="minorHAnsi"/>
                <w:sz w:val="18"/>
                <w:szCs w:val="18"/>
              </w:rPr>
            </w:pPr>
            <w:r w:rsidRPr="00D03A40">
              <w:rPr>
                <w:rFonts w:eastAsia="Times New Roman" w:cstheme="minorHAnsi"/>
                <w:sz w:val="18"/>
                <w:szCs w:val="18"/>
              </w:rPr>
              <w:t>Population</w:t>
            </w:r>
          </w:p>
        </w:tc>
        <w:tc>
          <w:tcPr>
            <w:tcW w:w="1440" w:type="dxa"/>
          </w:tcPr>
          <w:p w14:paraId="4F71083E" w14:textId="77777777" w:rsidR="00D65215" w:rsidRPr="00D03A40" w:rsidRDefault="00D65215" w:rsidP="00A33AD3">
            <w:pPr>
              <w:spacing w:line="360" w:lineRule="auto"/>
              <w:jc w:val="center"/>
              <w:rPr>
                <w:rFonts w:eastAsia="Times New Roman" w:cstheme="minorHAnsi"/>
                <w:sz w:val="18"/>
                <w:szCs w:val="18"/>
              </w:rPr>
            </w:pPr>
            <w:r w:rsidRPr="00D03A40">
              <w:rPr>
                <w:rFonts w:eastAsia="Times New Roman" w:cstheme="minorHAnsi"/>
                <w:sz w:val="18"/>
                <w:szCs w:val="18"/>
              </w:rPr>
              <w:t>+23.5%</w:t>
            </w:r>
          </w:p>
        </w:tc>
        <w:tc>
          <w:tcPr>
            <w:tcW w:w="1440" w:type="dxa"/>
          </w:tcPr>
          <w:p w14:paraId="3E561F78" w14:textId="77777777" w:rsidR="00D65215" w:rsidRPr="00D03A40" w:rsidRDefault="00D65215" w:rsidP="00A33AD3">
            <w:pPr>
              <w:spacing w:line="360" w:lineRule="auto"/>
              <w:jc w:val="center"/>
              <w:rPr>
                <w:rFonts w:eastAsia="Times New Roman" w:cstheme="minorHAnsi"/>
                <w:sz w:val="18"/>
                <w:szCs w:val="18"/>
              </w:rPr>
            </w:pPr>
            <w:r w:rsidRPr="00D03A40">
              <w:rPr>
                <w:rFonts w:eastAsia="Times New Roman" w:cstheme="minorHAnsi"/>
                <w:sz w:val="18"/>
                <w:szCs w:val="18"/>
              </w:rPr>
              <w:t>2050</w:t>
            </w:r>
          </w:p>
        </w:tc>
        <w:tc>
          <w:tcPr>
            <w:tcW w:w="2430" w:type="dxa"/>
          </w:tcPr>
          <w:p w14:paraId="09021C7C" w14:textId="77777777" w:rsidR="00D65215" w:rsidRPr="00D03A40" w:rsidRDefault="00D65215" w:rsidP="00A33AD3">
            <w:pPr>
              <w:spacing w:line="360" w:lineRule="auto"/>
              <w:rPr>
                <w:rFonts w:eastAsia="Times New Roman" w:cstheme="minorHAnsi"/>
                <w:sz w:val="18"/>
                <w:szCs w:val="18"/>
              </w:rPr>
            </w:pPr>
            <w:r w:rsidRPr="00D03A40">
              <w:rPr>
                <w:rFonts w:eastAsia="Times New Roman" w:cstheme="minorHAnsi"/>
                <w:sz w:val="18"/>
                <w:szCs w:val="18"/>
              </w:rPr>
              <w:t>CAMPO 2040 RTP, 2018</w:t>
            </w:r>
          </w:p>
        </w:tc>
      </w:tr>
      <w:tr w:rsidR="00D65215" w:rsidRPr="00D03A40" w14:paraId="1074E95D" w14:textId="77777777" w:rsidTr="002A0360">
        <w:trPr>
          <w:trHeight w:val="300"/>
        </w:trPr>
        <w:tc>
          <w:tcPr>
            <w:tcW w:w="2155" w:type="dxa"/>
          </w:tcPr>
          <w:p w14:paraId="1D2F0520" w14:textId="77777777" w:rsidR="00D65215" w:rsidRPr="00D03A40" w:rsidRDefault="00D65215" w:rsidP="00A33AD3">
            <w:pPr>
              <w:spacing w:line="360" w:lineRule="auto"/>
              <w:rPr>
                <w:rFonts w:eastAsia="Times New Roman" w:cstheme="minorHAnsi"/>
                <w:sz w:val="18"/>
                <w:szCs w:val="18"/>
              </w:rPr>
            </w:pPr>
            <w:r w:rsidRPr="00D03A40">
              <w:rPr>
                <w:rFonts w:eastAsia="Times New Roman" w:cstheme="minorHAnsi"/>
                <w:sz w:val="18"/>
                <w:szCs w:val="18"/>
              </w:rPr>
              <w:t xml:space="preserve">San Francisco Region </w:t>
            </w:r>
          </w:p>
        </w:tc>
        <w:tc>
          <w:tcPr>
            <w:tcW w:w="1890" w:type="dxa"/>
          </w:tcPr>
          <w:p w14:paraId="2FE458B8" w14:textId="77777777" w:rsidR="00D65215" w:rsidRPr="00D03A40" w:rsidRDefault="00D65215" w:rsidP="00A33AD3">
            <w:pPr>
              <w:spacing w:line="360" w:lineRule="auto"/>
              <w:rPr>
                <w:rFonts w:eastAsia="Times New Roman" w:cstheme="minorHAnsi"/>
                <w:sz w:val="18"/>
                <w:szCs w:val="18"/>
              </w:rPr>
            </w:pPr>
            <w:r w:rsidRPr="00D03A40">
              <w:rPr>
                <w:rFonts w:eastAsia="Times New Roman" w:cstheme="minorHAnsi"/>
                <w:sz w:val="18"/>
                <w:szCs w:val="18"/>
              </w:rPr>
              <w:t xml:space="preserve">Population </w:t>
            </w:r>
          </w:p>
        </w:tc>
        <w:tc>
          <w:tcPr>
            <w:tcW w:w="1440" w:type="dxa"/>
          </w:tcPr>
          <w:p w14:paraId="662C583E" w14:textId="77777777" w:rsidR="00D65215" w:rsidRPr="00D03A40" w:rsidRDefault="00D65215" w:rsidP="00A33AD3">
            <w:pPr>
              <w:spacing w:line="360" w:lineRule="auto"/>
              <w:jc w:val="center"/>
              <w:rPr>
                <w:rFonts w:eastAsia="Times New Roman" w:cstheme="minorHAnsi"/>
                <w:sz w:val="18"/>
                <w:szCs w:val="18"/>
              </w:rPr>
            </w:pPr>
            <w:r w:rsidRPr="00D03A40">
              <w:rPr>
                <w:rFonts w:eastAsia="Times New Roman" w:cstheme="minorHAnsi"/>
                <w:sz w:val="18"/>
                <w:szCs w:val="18"/>
              </w:rPr>
              <w:t>+30%</w:t>
            </w:r>
          </w:p>
        </w:tc>
        <w:tc>
          <w:tcPr>
            <w:tcW w:w="1440" w:type="dxa"/>
          </w:tcPr>
          <w:p w14:paraId="4E4234B7" w14:textId="77777777" w:rsidR="00D65215" w:rsidRPr="00D03A40" w:rsidRDefault="00D65215" w:rsidP="00A33AD3">
            <w:pPr>
              <w:spacing w:line="360" w:lineRule="auto"/>
              <w:jc w:val="center"/>
              <w:rPr>
                <w:rFonts w:eastAsia="Times New Roman" w:cstheme="minorHAnsi"/>
                <w:sz w:val="18"/>
                <w:szCs w:val="18"/>
              </w:rPr>
            </w:pPr>
            <w:r w:rsidRPr="00D03A40">
              <w:rPr>
                <w:rFonts w:eastAsia="Times New Roman" w:cstheme="minorHAnsi"/>
                <w:sz w:val="18"/>
                <w:szCs w:val="18"/>
              </w:rPr>
              <w:t>2050</w:t>
            </w:r>
          </w:p>
        </w:tc>
        <w:tc>
          <w:tcPr>
            <w:tcW w:w="2430" w:type="dxa"/>
          </w:tcPr>
          <w:p w14:paraId="5CED236D" w14:textId="77777777" w:rsidR="00D65215" w:rsidRPr="00D03A40" w:rsidRDefault="00D65215" w:rsidP="00A33AD3">
            <w:pPr>
              <w:spacing w:line="360" w:lineRule="auto"/>
              <w:rPr>
                <w:rFonts w:eastAsia="Times New Roman" w:cstheme="minorHAnsi"/>
                <w:sz w:val="18"/>
                <w:szCs w:val="18"/>
              </w:rPr>
            </w:pPr>
            <w:r w:rsidRPr="00D03A40">
              <w:rPr>
                <w:rFonts w:eastAsia="Times New Roman" w:cstheme="minorHAnsi"/>
                <w:sz w:val="18"/>
                <w:szCs w:val="18"/>
              </w:rPr>
              <w:t>ABAG 2050 RTP</w:t>
            </w:r>
          </w:p>
        </w:tc>
      </w:tr>
    </w:tbl>
    <w:p w14:paraId="70294350" w14:textId="77777777" w:rsidR="00D65215" w:rsidRPr="00D03A40" w:rsidRDefault="00D65215" w:rsidP="00D65215">
      <w:pPr>
        <w:spacing w:after="0" w:line="360" w:lineRule="auto"/>
        <w:rPr>
          <w:rFonts w:eastAsia="Times New Roman" w:cstheme="minorHAnsi"/>
        </w:rPr>
      </w:pPr>
    </w:p>
    <w:p w14:paraId="2B6D73B2" w14:textId="79DDEC76" w:rsidR="00D65215" w:rsidRPr="00D03A40" w:rsidRDefault="00D65215" w:rsidP="000D1F78">
      <w:r w:rsidRPr="00D03A40">
        <w:t xml:space="preserve">Population growth outside the </w:t>
      </w:r>
      <w:r w:rsidR="00AC1C93">
        <w:t>r</w:t>
      </w:r>
      <w:r w:rsidRPr="00D03A40">
        <w:t xml:space="preserve">egion over the last 20 years has not translated to a linear increase in visitation into the region. Therefore, the forecast does not project increases in visitation in proportion to </w:t>
      </w:r>
      <w:r w:rsidRPr="00D03A40">
        <w:lastRenderedPageBreak/>
        <w:t xml:space="preserve">the projected growth in the mega-region. It is uncertain why past population growth has not translated in a linear fashion to increased visitation, but working theories include the decline in popularity of the local casinos as the gaming experience has become more widely available, limited tourist accommodation capacity, the limited roadway capacity into the region and associated willingness to travel to the region given the longer travel times. </w:t>
      </w:r>
    </w:p>
    <w:p w14:paraId="0A869BEB" w14:textId="57160C15" w:rsidR="00D65215" w:rsidRPr="00D03A40" w:rsidRDefault="00D65215" w:rsidP="000D1F78">
      <w:r w:rsidRPr="00D03A40">
        <w:t xml:space="preserve">The visitation forecast is comprised of related but independent projections regarding the expected characteristics of both the number and occupancy of overnight lodging accommodations types, and day visitation. The visitation forecast can be broken down into overnight visitors (staying in Hotels/Motels/Casinos/STRs/Private homes) and day visitors. The number of occupied overnight visitor units is forecast to grow slightly by 2050, with hotel/motel TAU units increasing from 4,906 to 5,213 (6.3%) as new units are constructed. </w:t>
      </w:r>
      <w:r w:rsidRPr="00D03A40">
        <w:rPr>
          <w:i/>
        </w:rPr>
      </w:r>
      <w:r w:rsidRPr="00D03A40"/>
    </w:p>
    <w:p w14:paraId="61534CCC" w14:textId="04665573" w:rsidR="00D65215" w:rsidRPr="00D03A40" w:rsidRDefault="00D65215" w:rsidP="000D1F78">
      <w:r w:rsidRPr="00D03A40">
        <w:rPr>
          <w:i/>
        </w:rPr>
        <w:t xml:space="preserve">Overnight Visitors in Hotels/Motels/Casinos – In the 2026 model base year, 4,906 of the region’s 11,805 TAUs are occupied (48%) during the modeled day. The forecast includes the construction of an additional 683 TAUs by 2050, a 5.8% increase in tourist accommodation units. TRPA is assuming added TAUs are occupied at the same rate as current units, keeping the occupancy rate the same in the future. As a result of additional unit availability from new TAU construction, the actual number of occupied Hotel/Motel/Casino units increases by 5.8% in 2050. </w:t>
      </w:r>
      <w:r w:rsidRPr="00D03A40"/>
      <w:r w:rsidRPr="20A6508D"/>
      <w:r w:rsidRPr="00D03A40"/>
      <w:r w:rsidRPr="00D03A40"/>
      <w:r w:rsidRPr="00D03A40"/>
      <w:r w:rsidRPr="00D03A40"/>
      <w:r w:rsidRPr="00D03A40"/>
    </w:p>
    <w:p w14:paraId="09B7C2D0" w14:textId="6E96CB91" w:rsidR="00D65215" w:rsidRPr="00D03A40" w:rsidRDefault="00D65215" w:rsidP="000D1F78">
      <w:r w:rsidRPr="00D03A40">
        <w:rPr>
          <w:i/>
        </w:rPr>
        <w:t>Overnight Visitors in STRs</w:t>
      </w:r>
      <w:r w:rsidRPr="00D03A40">
        <w:t xml:space="preserve"> – In 2</w:t>
      </w:r>
      <w:r w:rsidRPr="00D03A40">
        <w:rPr>
          <w:i/>
        </w:rPr>
        <w:t>022</w:t>
      </w:r>
      <w:r w:rsidRPr="00D03A40">
        <w:t xml:space="preserve">, TRPA estimated that there were </w:t>
      </w:r>
      <w:r w:rsidRPr="00D03A40">
        <w:rPr>
          <w:i/>
        </w:rPr>
        <w:t>4,313</w:t>
      </w:r>
      <w:r w:rsidRPr="00D03A40">
        <w:t xml:space="preserve"> permitted STRs in the Tahoe Region, which comprised approximately 13% of all existing residential units and 23% of the vacant housing units. On the model day, 45% of the units, or 1,941 properties are occupied. The forecast projects </w:t>
      </w:r>
      <w:r>
        <w:t>that</w:t>
      </w:r>
      <w:r w:rsidR="00A079FB">
        <w:t xml:space="preserve"> </w:t>
      </w:r>
      <w:r>
        <w:t>the</w:t>
      </w:r>
      <w:r w:rsidRPr="00D03A40">
        <w:t xml:space="preserve"> number </w:t>
      </w:r>
      <w:r w:rsidR="003B4EBC">
        <w:t>of occupied</w:t>
      </w:r>
      <w:r w:rsidRPr="00D03A40">
        <w:t xml:space="preserve"> STRs </w:t>
      </w:r>
      <w:r w:rsidR="003B4EBC">
        <w:t>is</w:t>
      </w:r>
      <w:r w:rsidRPr="00D03A40">
        <w:t xml:space="preserve"> relatively flat in the forecast years, with an assumption that the number of Douglas County and Placer County units increases to the legal cap.</w:t>
      </w:r>
      <w:r w:rsidR="008746F6">
        <w:t xml:space="preserve"> Future year STR occupancy rates were decreased slightly from 2022 numbers to account for </w:t>
      </w:r>
      <w:r w:rsidR="00531ABA">
        <w:t>recent data indicating that California side</w:t>
      </w:r>
      <w:r w:rsidR="007D69BE">
        <w:t xml:space="preserve"> summer</w:t>
      </w:r>
      <w:r w:rsidR="00531ABA">
        <w:t xml:space="preserve"> weekday visitors have decreased</w:t>
      </w:r>
      <w:r w:rsidR="007D69BE">
        <w:t xml:space="preserve"> since 2022, as well</w:t>
      </w:r>
      <w:r w:rsidRPr="00D03A40">
        <w:t xml:space="preserve"> </w:t>
      </w:r>
      <w:r w:rsidR="007D69BE">
        <w:t xml:space="preserve">as statements by Placer County indicating that </w:t>
      </w:r>
      <w:r w:rsidR="00D0008C">
        <w:t xml:space="preserve">there are plans to reduce the county STR cap when more </w:t>
      </w:r>
      <w:r w:rsidR="007072BF">
        <w:t>hotel units become operational.</w:t>
      </w:r>
    </w:p>
    <w:p w14:paraId="09C441D7" w14:textId="23BCFCD5" w:rsidR="00D65215" w:rsidRPr="00D03A40" w:rsidRDefault="00D65215" w:rsidP="000D1F78">
      <w:r w:rsidRPr="00D03A40">
        <w:rPr>
          <w:i/>
        </w:rPr>
        <w:t xml:space="preserve">Overnight Visitors in Seasonal Units </w:t>
      </w:r>
      <w:r w:rsidRPr="00D03A40">
        <w:t>– Seasonal units are residences within the model that are not claimed as the primary residence for the owner. Within the model they could be occupied by the owner, friends of the owner, time-shares, informally rented, but are not accounted for included in the total of STRs. These units comprise approximately 36% of the total housing market in the region, of which 37% were estimated to be occupied on</w:t>
      </w:r>
      <w:r w:rsidR="00D444FB">
        <w:t xml:space="preserve"> the</w:t>
      </w:r>
      <w:r w:rsidRPr="00D03A40">
        <w:t xml:space="preserve"> modeled day in the 2018 base year</w:t>
      </w:r>
      <w:r w:rsidR="002C12B8" w:rsidRPr="00D03A40">
        <w:t xml:space="preserve">. </w:t>
      </w:r>
      <w:r w:rsidRPr="00D03A40">
        <w:t xml:space="preserve">During Covid, the occupancy rate for seasonal units increased significantly to 45% as seasonal homes were used more frequently. The forecast assumes a return to pre-Covid occupancy rates for seasonal homes. Recent data suggests that workers are returning (or being required to return) to their offices more frequently, so </w:t>
      </w:r>
      <w:r w:rsidR="00123055">
        <w:t>the current model</w:t>
      </w:r>
      <w:r w:rsidRPr="00D03A40">
        <w:t xml:space="preserve"> returned the second home occupancy rate to the 2018 levels. The proportion of seasonal units in the region has grown in the last 10 years. The proportion of seasonal units is not forecast to continue to increase, due to three factors: 1) the construction of additional workforce housing units which cannot be used for second homes, 2) initiatives focused on making the existing stocking more affordable for workers and residents, and 3) the conversion of some existing vacation rentals to resident housing. As a </w:t>
      </w:r>
      <w:r w:rsidRPr="00D03A40">
        <w:lastRenderedPageBreak/>
        <w:t xml:space="preserve">result of the increase in the total number of homes in the </w:t>
      </w:r>
      <w:r w:rsidR="00596868">
        <w:t>r</w:t>
      </w:r>
      <w:r w:rsidRPr="00D03A40">
        <w:t>egion the number of seasonal units increases by 7% in 2050.</w:t>
      </w:r>
    </w:p>
    <w:p w14:paraId="046DF780" w14:textId="29AC129E" w:rsidR="00B60894" w:rsidRPr="00D03A40" w:rsidRDefault="00D65215" w:rsidP="000D1F78">
      <w:r w:rsidRPr="00D03A40">
        <w:rPr>
          <w:i/>
        </w:rPr>
        <w:t>Day Visitors</w:t>
      </w:r>
      <w:r w:rsidRPr="00D03A40">
        <w:t xml:space="preserve"> – Day visitation is forecast to increase as a result of population growth in the mega-region, at a rate slightly faster than overnight visitation. Day visitors are one of the more challenging travel parties to forecast. The model assumes the factors that drive overnight visitation are positively correlated with factors driving day visitation. The relationship between these two types of visitors was established as part of the calibration and validation for the 2018 base year. </w:t>
      </w:r>
    </w:p>
    <w:p w14:paraId="702D34FB" w14:textId="70BA2613" w:rsidR="00B60894" w:rsidRPr="00D03A40" w:rsidRDefault="00B60894" w:rsidP="000D1F78">
      <w:r w:rsidRPr="00D03A40">
        <w:rPr>
          <w:i/>
        </w:rPr>
        <w:t>Passenger Traffic at Reno-Tahoe International Airport</w:t>
      </w:r>
      <w:r w:rsidRPr="00D03A40">
        <w:t xml:space="preserve"> – The Reno Tahoe International Airport has a significant role in visitation to the Tahoe Region, as increases in the number of passengers through the airport can affect both overnight and day visitation to the </w:t>
      </w:r>
      <w:r w:rsidR="00491268">
        <w:t xml:space="preserve">Lake </w:t>
      </w:r>
      <w:r w:rsidRPr="00D03A40">
        <w:t>Tahoe. The Reno Tahoe Airport Authority publishes monthly data on passenger volumes through the airport (Figure 18). Passenger volumes dropped precipitously during the Covid-19 pandemic, with lower volumes through 2020 and 2021. By 2022, passenger volumes through Reno had recovered and exceeded 2018 levels. Passenger volumes have continued to rise since 2022, with the full year 2023 volumes reaching the highest level since 2007, and through August 2024, ten of the last twelve months have recorded the highest monthly passenger volumes since 2018</w:t>
      </w:r>
      <w:r w:rsidR="00A32B6D" w:rsidRPr="00D03A40">
        <w:t xml:space="preserve"> </w:t>
      </w:r>
      <w:sdt>
        <w:sdtPr>
          <w:id w:val="87517707"/>
          <w:citation/>
        </w:sdtPr>
        <w:sdtContent>
          <w:r w:rsidR="00A32B6D" w:rsidRPr="00D03A40">
            <w:fldChar w:fldCharType="begin"/>
          </w:r>
          <w:r w:rsidR="00A32B6D" w:rsidRPr="00D03A40">
            <w:instrText xml:space="preserve"> CITATION Ren24 \l 1033 </w:instrText>
          </w:r>
          <w:r w:rsidR="00A32B6D" w:rsidRPr="00D03A40">
            <w:fldChar w:fldCharType="separate"/>
          </w:r>
          <w:r w:rsidR="00A32B6D" w:rsidRPr="00D03A40">
            <w:t>(Reno-Tahoe Airport Authority, 2024)</w:t>
          </w:r>
          <w:r w:rsidR="00A32B6D" w:rsidRPr="00D03A40">
            <w:fldChar w:fldCharType="end"/>
          </w:r>
        </w:sdtContent>
      </w:sdt>
      <w:r w:rsidRPr="00D03A40">
        <w:t>.</w:t>
      </w:r>
    </w:p>
    <w:p w14:paraId="0A83529A" w14:textId="26C90D2E" w:rsidR="00B60894" w:rsidRPr="000D1F78" w:rsidRDefault="0035509B" w:rsidP="000D1F78">
      <w:pPr>
        <w:spacing w:after="240" w:line="360" w:lineRule="auto"/>
        <w:rPr>
          <w:rFonts w:cstheme="minorHAnsi"/>
          <w:b/>
        </w:rPr>
      </w:pPr>
      <w:r>
        <w:rPr>
          <w:noProof/>
        </w:rPr>
        <w:drawing>
          <wp:inline distT="0" distB="0" distL="0" distR="0" wp14:anchorId="1EDF71D5" wp14:editId="1E0A7E70">
            <wp:extent cx="5943600" cy="2884170"/>
            <wp:effectExtent l="0" t="0" r="0" b="11430"/>
            <wp:docPr id="1366667226" name="Chart 1">
              <a:extLst xmlns:a="http://schemas.openxmlformats.org/drawingml/2006/main">
                <a:ext uri="{FF2B5EF4-FFF2-40B4-BE49-F238E27FC236}">
                  <a16:creationId xmlns:a16="http://schemas.microsoft.com/office/drawing/2014/main" id="{ED4E96D0-455B-4AC5-B5C0-983570A3841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inline>
        </w:drawing>
      </w:r>
      <w:r w:rsidR="006C26F4">
        <w:rPr>
          <w:rFonts w:cstheme="minorHAnsi"/>
          <w:b/>
          <w:bCs/>
        </w:rPr>
        <w:t>Figure 7</w:t>
      </w:r>
      <w:r w:rsidR="0013139F">
        <w:rPr>
          <w:rFonts w:cstheme="minorHAnsi"/>
          <w:b/>
          <w:bCs/>
        </w:rPr>
        <w:t>: Reno Tahoe International Airport: Total Passengers</w:t>
      </w:r>
    </w:p>
    <w:p w14:paraId="5B1B0F73" w14:textId="2F51F030" w:rsidR="00B60894" w:rsidRPr="00D03A40" w:rsidRDefault="007E3A8D" w:rsidP="000D1F78">
      <w:pPr>
        <w:pStyle w:val="Heading3"/>
        <w:rPr>
          <w:rFonts w:eastAsia="Times New Roman"/>
        </w:rPr>
      </w:pPr>
      <w:r w:rsidRPr="00D03A40">
        <w:rPr>
          <w:rFonts w:eastAsia="Times New Roman"/>
        </w:rPr>
        <w:t>School Enrollment</w:t>
      </w:r>
    </w:p>
    <w:p w14:paraId="382C92A8" w14:textId="75781B81" w:rsidR="00B60894" w:rsidRPr="00D03A40" w:rsidRDefault="00B60894" w:rsidP="000D1F78">
      <w:r w:rsidRPr="00D03A40">
        <w:t>Like the overall population, school enrollment in the region has decreased in the last two decades. In recent years, school enrollment has remained relatively level on the California side, with decreases continuing on the Nevada side. Between 2003 and 2022, enrollment on the California side decreased by 17% , while enrollment on the Nevada side decreased by 46% . The forecast projects that school enrollment will increase by 0.8% to 5.1% depending on the alternative as new employment (additional jobs (varying by alternative; see Table below)) and residents (additional full time residents) are added to the region. As many of Tahoe’s new residents do not have school-aged children, school enrollment is expected to increase at about one-half the rate of population growth.</w:t>
      </w:r>
      <w:r w:rsidR="00E8798B"/>
      <w:r w:rsidRPr="00D03A40"/>
      <w:r w:rsidR="0044684B"/>
      <w:sdt>
        <w:sdtPr>
          <w:id w:val="-597403386"/>
          <w:citation/>
        </w:sdtPr>
        <w:sdtContent>
          <w:r w:rsidR="0044684B">
            <w:fldChar w:fldCharType="begin"/>
          </w:r>
          <w:r w:rsidR="0044684B">
            <w:instrText xml:space="preserve"> CITATION Cal24 \l 1033 </w:instrText>
          </w:r>
          <w:r w:rsidR="0044684B">
            <w:fldChar w:fldCharType="separate"/>
          </w:r>
          <w:r w:rsidR="0044684B" w:rsidRPr="20A6508D">
            <w:t>(California Department of Education, 2024)</w:t>
          </w:r>
          <w:r w:rsidR="0044684B">
            <w:fldChar w:fldCharType="end"/>
          </w:r>
        </w:sdtContent>
      </w:sdt>
      <w:r w:rsidRPr="00D03A40"/>
      <w:r w:rsidR="0044684B"/>
      <w:sdt>
        <w:sdtPr>
          <w:id w:val="-1497793857"/>
          <w:citation/>
        </w:sdtPr>
        <w:sdtContent>
          <w:r w:rsidR="0044684B">
            <w:fldChar w:fldCharType="begin"/>
          </w:r>
          <w:r w:rsidR="0044684B">
            <w:instrText xml:space="preserve"> CITATION Nev23 \l 1033 </w:instrText>
          </w:r>
          <w:r w:rsidR="0044684B">
            <w:fldChar w:fldCharType="separate"/>
          </w:r>
          <w:r w:rsidR="0044684B" w:rsidRPr="20A6508D">
            <w:t>(Nevada Department of Education, 2023)</w:t>
          </w:r>
          <w:r w:rsidR="0044684B">
            <w:fldChar w:fldCharType="end"/>
          </w:r>
        </w:sdtContent>
      </w:sdt>
      <w:r w:rsidRPr="00D03A40"/>
      <w:r w:rsidRPr="00D03A40">
        <w:rPr>
          <w:b/>
        </w:rPr>
      </w:r>
      <w:r w:rsidRPr="00D03A40"/>
      <w:r w:rsidRPr="00D03A40"/>
      <w:r w:rsidRPr="00D03A40">
        <w:rPr>
          <w:color w:val="000000" w:themeColor="text1"/>
        </w:rPr>
      </w:r>
      <w:r w:rsidRPr="00D03A40"/>
    </w:p>
    <w:tbl>
      <w:tblPr>
        <w:tblStyle w:val="TableGrid"/>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val="clear" w:color="auto" w:fill="1F3864"/>
          </w:tcPr>
          <w:p>
            <w:r>
              <w:rPr>
                <w:b/>
                <w:color w:val="FFFFFF"/>
                <w:sz w:val="18"/>
              </w:rPr>
              <w:t>Enrollment Level</w:t>
            </w:r>
          </w:p>
        </w:tc>
        <w:tc>
          <w:tcPr>
            <w:tcW w:type="dxa" w:w="1170"/>
            <w:shd w:val="clear" w:color="auto" w:fill="1F3864"/>
          </w:tcPr>
          <w:p>
            <w:r>
              <w:rPr>
                <w:b/>
                <w:color w:val="FFFFFF"/>
                <w:sz w:val="18"/>
              </w:rPr>
              <w:t>Base Year</w:t>
              <w:br/>
              <w:t>(2026)</w:t>
            </w:r>
          </w:p>
        </w:tc>
        <w:tc>
          <w:tcPr>
            <w:tcW w:type="dxa" w:w="1170"/>
            <w:shd w:val="clear" w:color="auto" w:fill="1F3864"/>
          </w:tcPr>
          <w:p>
            <w:r>
              <w:rPr>
                <w:b/>
                <w:color w:val="FFFFFF"/>
                <w:sz w:val="18"/>
              </w:rPr>
              <w:t>Alt 1</w:t>
              <w:br/>
              <w:t>2035</w:t>
            </w:r>
          </w:p>
        </w:tc>
        <w:tc>
          <w:tcPr>
            <w:tcW w:type="dxa" w:w="1170"/>
            <w:shd w:val="clear" w:color="auto" w:fill="1F3864"/>
          </w:tcPr>
          <w:p>
            <w:r>
              <w:rPr>
                <w:b/>
                <w:color w:val="FFFFFF"/>
                <w:sz w:val="18"/>
              </w:rPr>
              <w:t>Alt 1</w:t>
              <w:br/>
              <w:t>2050</w:t>
            </w:r>
          </w:p>
        </w:tc>
        <w:tc>
          <w:tcPr>
            <w:tcW w:type="dxa" w:w="1170"/>
            <w:shd w:val="clear" w:color="auto" w:fill="1F3864"/>
          </w:tcPr>
          <w:p>
            <w:r>
              <w:rPr>
                <w:b/>
                <w:color w:val="FFFFFF"/>
                <w:sz w:val="18"/>
              </w:rPr>
              <w:t>Alt 2</w:t>
              <w:br/>
              <w:t>2035</w:t>
            </w:r>
          </w:p>
        </w:tc>
        <w:tc>
          <w:tcPr>
            <w:tcW w:type="dxa" w:w="1170"/>
            <w:shd w:val="clear" w:color="auto" w:fill="1F3864"/>
          </w:tcPr>
          <w:p>
            <w:r>
              <w:rPr>
                <w:b/>
                <w:color w:val="FFFFFF"/>
                <w:sz w:val="18"/>
              </w:rPr>
              <w:t>Alt 2</w:t>
              <w:br/>
              <w:t>2050</w:t>
            </w:r>
          </w:p>
        </w:tc>
        <w:tc>
          <w:tcPr>
            <w:tcW w:type="dxa" w:w="1170"/>
            <w:shd w:val="clear" w:color="auto" w:fill="1F3864"/>
          </w:tcPr>
          <w:p>
            <w:r>
              <w:rPr>
                <w:b/>
                <w:color w:val="FFFFFF"/>
                <w:sz w:val="18"/>
              </w:rPr>
              <w:t>Alt 3</w:t>
              <w:br/>
              <w:t>2035</w:t>
            </w:r>
          </w:p>
        </w:tc>
        <w:tc>
          <w:tcPr>
            <w:tcW w:type="dxa" w:w="1170"/>
            <w:shd w:val="clear" w:color="auto" w:fill="1F3864"/>
          </w:tcPr>
          <w:p>
            <w:r>
              <w:rPr>
                <w:b/>
                <w:color w:val="FFFFFF"/>
                <w:sz w:val="18"/>
              </w:rPr>
              <w:t>Alt 3</w:t>
              <w:br/>
              <w:t>2050</w:t>
            </w:r>
          </w:p>
        </w:tc>
      </w:tr>
      <w:tr>
        <w:tc>
          <w:tcPr>
            <w:tcW w:type="dxa" w:w="1170"/>
          </w:tcPr>
          <w:p>
            <w:r>
              <w:rPr>
                <w:sz w:val="18"/>
              </w:rPr>
              <w:t>Elementary</w:t>
            </w:r>
          </w:p>
        </w:tc>
        <w:tc>
          <w:tcPr>
            <w:tcW w:type="dxa" w:w="1170"/>
          </w:tcPr>
          <w:p>
            <w:r>
              <w:rPr>
                <w:sz w:val="18"/>
              </w:rPr>
              <w:t>2,879</w:t>
            </w:r>
          </w:p>
        </w:tc>
        <w:tc>
          <w:tcPr>
            <w:tcW w:type="dxa" w:w="1170"/>
          </w:tcPr>
          <w:p>
            <w:r>
              <w:rPr>
                <w:sz w:val="18"/>
              </w:rPr>
              <w:t>2,901</w:t>
            </w:r>
          </w:p>
        </w:tc>
        <w:tc>
          <w:tcPr>
            <w:tcW w:type="dxa" w:w="1170"/>
          </w:tcPr>
          <w:p>
            <w:r>
              <w:rPr>
                <w:sz w:val="18"/>
              </w:rPr>
              <w:t>2,956</w:t>
            </w:r>
          </w:p>
        </w:tc>
        <w:tc>
          <w:tcPr>
            <w:tcW w:type="dxa" w:w="1170"/>
          </w:tcPr>
          <w:p>
            <w:r>
              <w:rPr>
                <w:sz w:val="18"/>
              </w:rPr>
              <w:t>2,920</w:t>
            </w:r>
          </w:p>
        </w:tc>
        <w:tc>
          <w:tcPr>
            <w:tcW w:type="dxa" w:w="1170"/>
          </w:tcPr>
          <w:p>
            <w:r>
              <w:rPr>
                <w:sz w:val="18"/>
              </w:rPr>
              <w:t>3,025</w:t>
            </w:r>
          </w:p>
        </w:tc>
        <w:tc>
          <w:tcPr>
            <w:tcW w:type="dxa" w:w="1170"/>
          </w:tcPr>
          <w:p>
            <w:r>
              <w:rPr>
                <w:sz w:val="18"/>
              </w:rPr>
              <w:t>2,921</w:t>
            </w:r>
          </w:p>
        </w:tc>
        <w:tc>
          <w:tcPr>
            <w:tcW w:type="dxa" w:w="1170"/>
          </w:tcPr>
          <w:p>
            <w:r>
              <w:rPr>
                <w:sz w:val="18"/>
              </w:rPr>
              <w:t>3,005</w:t>
            </w:r>
          </w:p>
        </w:tc>
      </w:tr>
      <w:tr>
        <w:tc>
          <w:tcPr>
            <w:tcW w:type="dxa" w:w="1170"/>
          </w:tcPr>
          <w:p>
            <w:r>
              <w:rPr>
                <w:sz w:val="18"/>
              </w:rPr>
              <w:t>Middle School</w:t>
            </w:r>
          </w:p>
        </w:tc>
        <w:tc>
          <w:tcPr>
            <w:tcW w:type="dxa" w:w="1170"/>
          </w:tcPr>
          <w:p>
            <w:r>
              <w:rPr>
                <w:sz w:val="18"/>
              </w:rPr>
              <w:t>1,240</w:t>
            </w:r>
          </w:p>
        </w:tc>
        <w:tc>
          <w:tcPr>
            <w:tcW w:type="dxa" w:w="1170"/>
          </w:tcPr>
          <w:p>
            <w:r>
              <w:rPr>
                <w:sz w:val="18"/>
              </w:rPr>
              <w:t>1,250</w:t>
            </w:r>
          </w:p>
        </w:tc>
        <w:tc>
          <w:tcPr>
            <w:tcW w:type="dxa" w:w="1170"/>
          </w:tcPr>
          <w:p>
            <w:r>
              <w:rPr>
                <w:sz w:val="18"/>
              </w:rPr>
              <w:t>1,273</w:t>
            </w:r>
          </w:p>
        </w:tc>
        <w:tc>
          <w:tcPr>
            <w:tcW w:type="dxa" w:w="1170"/>
          </w:tcPr>
          <w:p>
            <w:r>
              <w:rPr>
                <w:sz w:val="18"/>
              </w:rPr>
              <w:t>1,258</w:t>
            </w:r>
          </w:p>
        </w:tc>
        <w:tc>
          <w:tcPr>
            <w:tcW w:type="dxa" w:w="1170"/>
          </w:tcPr>
          <w:p>
            <w:r>
              <w:rPr>
                <w:sz w:val="18"/>
              </w:rPr>
              <w:t>1,303</w:t>
            </w:r>
          </w:p>
        </w:tc>
        <w:tc>
          <w:tcPr>
            <w:tcW w:type="dxa" w:w="1170"/>
          </w:tcPr>
          <w:p>
            <w:r>
              <w:rPr>
                <w:sz w:val="18"/>
              </w:rPr>
              <w:t>1,259</w:t>
            </w:r>
          </w:p>
        </w:tc>
        <w:tc>
          <w:tcPr>
            <w:tcW w:type="dxa" w:w="1170"/>
          </w:tcPr>
          <w:p>
            <w:r>
              <w:rPr>
                <w:sz w:val="18"/>
              </w:rPr>
              <w:t>1,294</w:t>
            </w:r>
          </w:p>
        </w:tc>
      </w:tr>
      <w:tr>
        <w:tc>
          <w:tcPr>
            <w:tcW w:type="dxa" w:w="1170"/>
          </w:tcPr>
          <w:p>
            <w:r>
              <w:rPr>
                <w:sz w:val="18"/>
              </w:rPr>
              <w:t>High School</w:t>
            </w:r>
          </w:p>
        </w:tc>
        <w:tc>
          <w:tcPr>
            <w:tcW w:type="dxa" w:w="1170"/>
          </w:tcPr>
          <w:p>
            <w:r>
              <w:rPr>
                <w:sz w:val="18"/>
              </w:rPr>
              <w:t>2,172</w:t>
            </w:r>
          </w:p>
        </w:tc>
        <w:tc>
          <w:tcPr>
            <w:tcW w:type="dxa" w:w="1170"/>
          </w:tcPr>
          <w:p>
            <w:r>
              <w:rPr>
                <w:sz w:val="18"/>
              </w:rPr>
              <w:t>2,190</w:t>
            </w:r>
          </w:p>
        </w:tc>
        <w:tc>
          <w:tcPr>
            <w:tcW w:type="dxa" w:w="1170"/>
          </w:tcPr>
          <w:p>
            <w:r>
              <w:rPr>
                <w:sz w:val="18"/>
              </w:rPr>
              <w:t>2,231</w:t>
            </w:r>
          </w:p>
        </w:tc>
        <w:tc>
          <w:tcPr>
            <w:tcW w:type="dxa" w:w="1170"/>
          </w:tcPr>
          <w:p>
            <w:r>
              <w:rPr>
                <w:sz w:val="18"/>
              </w:rPr>
              <w:t>2,203</w:t>
            </w:r>
          </w:p>
        </w:tc>
        <w:tc>
          <w:tcPr>
            <w:tcW w:type="dxa" w:w="1170"/>
          </w:tcPr>
          <w:p>
            <w:r>
              <w:rPr>
                <w:sz w:val="18"/>
              </w:rPr>
              <w:t>2,284</w:t>
            </w:r>
          </w:p>
        </w:tc>
        <w:tc>
          <w:tcPr>
            <w:tcW w:type="dxa" w:w="1170"/>
          </w:tcPr>
          <w:p>
            <w:r>
              <w:rPr>
                <w:sz w:val="18"/>
              </w:rPr>
              <w:t>2,205</w:t>
            </w:r>
          </w:p>
        </w:tc>
        <w:tc>
          <w:tcPr>
            <w:tcW w:type="dxa" w:w="1170"/>
          </w:tcPr>
          <w:p>
            <w:r>
              <w:rPr>
                <w:sz w:val="18"/>
              </w:rPr>
              <w:t>2,267</w:t>
            </w:r>
          </w:p>
        </w:tc>
      </w:tr>
      <w:tr>
        <w:tc>
          <w:tcPr>
            <w:tcW w:type="dxa" w:w="1170"/>
          </w:tcPr>
          <w:p>
            <w:r>
              <w:rPr>
                <w:sz w:val="18"/>
              </w:rPr>
              <w:t>K-12 Subtotal</w:t>
            </w:r>
          </w:p>
        </w:tc>
        <w:tc>
          <w:tcPr>
            <w:tcW w:type="dxa" w:w="1170"/>
          </w:tcPr>
          <w:p>
            <w:r>
              <w:rPr>
                <w:sz w:val="18"/>
              </w:rPr>
              <w:t>6,291</w:t>
            </w:r>
          </w:p>
        </w:tc>
        <w:tc>
          <w:tcPr>
            <w:tcW w:type="dxa" w:w="1170"/>
          </w:tcPr>
          <w:p>
            <w:r>
              <w:rPr>
                <w:sz w:val="18"/>
              </w:rPr>
              <w:t>6,341</w:t>
            </w:r>
          </w:p>
        </w:tc>
        <w:tc>
          <w:tcPr>
            <w:tcW w:type="dxa" w:w="1170"/>
          </w:tcPr>
          <w:p>
            <w:r>
              <w:rPr>
                <w:sz w:val="18"/>
              </w:rPr>
              <w:t>6,460</w:t>
            </w:r>
          </w:p>
        </w:tc>
        <w:tc>
          <w:tcPr>
            <w:tcW w:type="dxa" w:w="1170"/>
          </w:tcPr>
          <w:p>
            <w:r>
              <w:rPr>
                <w:sz w:val="18"/>
              </w:rPr>
              <w:t>6,381</w:t>
            </w:r>
          </w:p>
        </w:tc>
        <w:tc>
          <w:tcPr>
            <w:tcW w:type="dxa" w:w="1170"/>
          </w:tcPr>
          <w:p>
            <w:r>
              <w:rPr>
                <w:sz w:val="18"/>
              </w:rPr>
              <w:t>6,612</w:t>
            </w:r>
          </w:p>
        </w:tc>
        <w:tc>
          <w:tcPr>
            <w:tcW w:type="dxa" w:w="1170"/>
          </w:tcPr>
          <w:p>
            <w:r>
              <w:rPr>
                <w:sz w:val="18"/>
              </w:rPr>
              <w:t>6,385</w:t>
            </w:r>
          </w:p>
        </w:tc>
        <w:tc>
          <w:tcPr>
            <w:tcW w:type="dxa" w:w="1170"/>
          </w:tcPr>
          <w:p>
            <w:r>
              <w:rPr>
                <w:sz w:val="18"/>
              </w:rPr>
              <w:t>6,566</w:t>
            </w:r>
          </w:p>
        </w:tc>
      </w:tr>
      <w:tr>
        <w:tc>
          <w:tcPr>
            <w:tcW w:type="dxa" w:w="1170"/>
          </w:tcPr>
          <w:p>
            <w:r>
              <w:rPr>
                <w:sz w:val="18"/>
              </w:rPr>
              <w:t>College</w:t>
            </w:r>
          </w:p>
        </w:tc>
        <w:tc>
          <w:tcPr>
            <w:tcW w:type="dxa" w:w="1170"/>
          </w:tcPr>
          <w:p>
            <w:r>
              <w:rPr>
                <w:sz w:val="18"/>
              </w:rPr>
              <w:t>3,018</w:t>
            </w:r>
          </w:p>
        </w:tc>
        <w:tc>
          <w:tcPr>
            <w:tcW w:type="dxa" w:w="1170"/>
          </w:tcPr>
          <w:p>
            <w:r>
              <w:rPr>
                <w:sz w:val="18"/>
              </w:rPr>
              <w:t>3,042</w:t>
            </w:r>
          </w:p>
        </w:tc>
        <w:tc>
          <w:tcPr>
            <w:tcW w:type="dxa" w:w="1170"/>
          </w:tcPr>
          <w:p>
            <w:r>
              <w:rPr>
                <w:sz w:val="18"/>
              </w:rPr>
              <w:t>3,098</w:t>
            </w:r>
          </w:p>
        </w:tc>
        <w:tc>
          <w:tcPr>
            <w:tcW w:type="dxa" w:w="1170"/>
          </w:tcPr>
          <w:p>
            <w:r>
              <w:rPr>
                <w:sz w:val="18"/>
              </w:rPr>
              <w:t>3,063</w:t>
            </w:r>
          </w:p>
        </w:tc>
        <w:tc>
          <w:tcPr>
            <w:tcW w:type="dxa" w:w="1170"/>
          </w:tcPr>
          <w:p>
            <w:r>
              <w:rPr>
                <w:sz w:val="18"/>
              </w:rPr>
              <w:t>3,171</w:t>
            </w:r>
          </w:p>
        </w:tc>
        <w:tc>
          <w:tcPr>
            <w:tcW w:type="dxa" w:w="1170"/>
          </w:tcPr>
          <w:p>
            <w:r>
              <w:rPr>
                <w:sz w:val="18"/>
              </w:rPr>
              <w:t>3,064</w:t>
            </w:r>
          </w:p>
        </w:tc>
        <w:tc>
          <w:tcPr>
            <w:tcW w:type="dxa" w:w="1170"/>
          </w:tcPr>
          <w:p>
            <w:r>
              <w:rPr>
                <w:sz w:val="18"/>
              </w:rPr>
              <w:t>3,149</w:t>
            </w:r>
          </w:p>
        </w:tc>
      </w:tr>
      <w:tr>
        <w:tc>
          <w:tcPr>
            <w:tcW w:type="dxa" w:w="1170"/>
          </w:tcPr>
          <w:p>
            <w:r>
              <w:rPr>
                <w:sz w:val="18"/>
              </w:rPr>
              <w:t>Total Enrollment</w:t>
            </w:r>
          </w:p>
        </w:tc>
        <w:tc>
          <w:tcPr>
            <w:tcW w:type="dxa" w:w="1170"/>
          </w:tcPr>
          <w:p>
            <w:r>
              <w:rPr>
                <w:sz w:val="18"/>
              </w:rPr>
              <w:t>9,309</w:t>
            </w:r>
          </w:p>
        </w:tc>
        <w:tc>
          <w:tcPr>
            <w:tcW w:type="dxa" w:w="1170"/>
          </w:tcPr>
          <w:p>
            <w:r>
              <w:rPr>
                <w:sz w:val="18"/>
              </w:rPr>
              <w:t>9,383</w:t>
            </w:r>
          </w:p>
        </w:tc>
        <w:tc>
          <w:tcPr>
            <w:tcW w:type="dxa" w:w="1170"/>
          </w:tcPr>
          <w:p>
            <w:r>
              <w:rPr>
                <w:sz w:val="18"/>
              </w:rPr>
              <w:t>9,558</w:t>
            </w:r>
          </w:p>
        </w:tc>
        <w:tc>
          <w:tcPr>
            <w:tcW w:type="dxa" w:w="1170"/>
          </w:tcPr>
          <w:p>
            <w:r>
              <w:rPr>
                <w:sz w:val="18"/>
              </w:rPr>
              <w:t>9,444</w:t>
            </w:r>
          </w:p>
        </w:tc>
        <w:tc>
          <w:tcPr>
            <w:tcW w:type="dxa" w:w="1170"/>
          </w:tcPr>
          <w:p>
            <w:r>
              <w:rPr>
                <w:sz w:val="18"/>
              </w:rPr>
              <w:t>9,783</w:t>
            </w:r>
          </w:p>
        </w:tc>
        <w:tc>
          <w:tcPr>
            <w:tcW w:type="dxa" w:w="1170"/>
          </w:tcPr>
          <w:p>
            <w:r>
              <w:rPr>
                <w:sz w:val="18"/>
              </w:rPr>
              <w:t>9,449</w:t>
            </w:r>
          </w:p>
        </w:tc>
        <w:tc>
          <w:tcPr>
            <w:tcW w:type="dxa" w:w="1170"/>
          </w:tcPr>
          <w:p>
            <w:r>
              <w:rPr>
                <w:sz w:val="18"/>
              </w:rPr>
              <w:t>9,715</w:t>
            </w:r>
          </w:p>
        </w:tc>
      </w:tr>
    </w:tbl>
    <w:p>
      <w:pPr>
        <w:pStyle w:val="Caption"/>
      </w:pPr>
      <w:r>
        <w:t>Table: School Enrollment Forecast by Alternative</w:t>
      </w:r>
    </w:p>
    <w:p w14:paraId="7018C729" w14:textId="745CAA16" w:rsidR="006C26F4" w:rsidRDefault="00236D93" w:rsidP="007E3A8D">
      <w:pPr>
        <w:spacing w:after="0" w:line="360" w:lineRule="auto"/>
      </w:pPr>
      <w:r>
        <w:rPr>
          <w:noProof/>
        </w:rPr>
        <w:drawing>
          <wp:inline distT="0" distB="0" distL="0" distR="0" wp14:anchorId="00C49597" wp14:editId="3B4DA88D">
            <wp:extent cx="5006340" cy="2529840"/>
            <wp:effectExtent l="0" t="0" r="3810" b="3810"/>
            <wp:docPr id="34550948" name="Chart 1">
              <a:extLst xmlns:a="http://schemas.openxmlformats.org/drawingml/2006/main">
                <a:ext uri="{FF2B5EF4-FFF2-40B4-BE49-F238E27FC236}">
                  <a16:creationId xmlns:a16="http://schemas.microsoft.com/office/drawing/2014/main" id="{ECD09315-C5D6-A0D2-F565-8B39D0A354B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inline>
        </w:drawing>
      </w:r>
    </w:p>
    <w:p w14:paraId="6083E0E4" w14:textId="75F81F9D" w:rsidR="006C26F4" w:rsidRPr="00BF7226" w:rsidRDefault="006C26F4" w:rsidP="007E3A8D">
      <w:pPr>
        <w:spacing w:after="0" w:line="360" w:lineRule="auto"/>
        <w:rPr>
          <w:b/>
        </w:rPr>
      </w:pPr>
      <w:r>
        <w:rPr>
          <w:b/>
          <w:bCs/>
        </w:rPr>
        <w:t>Figure 8</w:t>
      </w:r>
      <w:r w:rsidR="0013139F">
        <w:rPr>
          <w:b/>
          <w:bCs/>
        </w:rPr>
        <w:t>: Tahoe Nevada School Enrollment, 2003-2023</w:t>
      </w:r>
    </w:p>
    <w:p w14:paraId="6FBEDEE9" w14:textId="48812C95" w:rsidR="00D35601" w:rsidRPr="00BF7226" w:rsidRDefault="00D35601" w:rsidP="00B60894">
      <w:pPr>
        <w:spacing w:after="0" w:line="360" w:lineRule="auto"/>
      </w:pPr>
      <w:r>
        <w:rPr>
          <w:noProof/>
        </w:rPr>
        <w:drawing>
          <wp:inline distT="0" distB="0" distL="0" distR="0" wp14:anchorId="1E983788" wp14:editId="39867455">
            <wp:extent cx="4991100" cy="2743200"/>
            <wp:effectExtent l="0" t="0" r="0" b="0"/>
            <wp:docPr id="1661997343" name="Chart 1">
              <a:extLst xmlns:a="http://schemas.openxmlformats.org/drawingml/2006/main">
                <a:ext uri="{FF2B5EF4-FFF2-40B4-BE49-F238E27FC236}">
                  <a16:creationId xmlns:a16="http://schemas.microsoft.com/office/drawing/2014/main" id="{33862BB1-7515-2C69-3452-1993310318E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inline>
        </w:drawing>
      </w:r>
    </w:p>
    <w:p w14:paraId="55B87358" w14:textId="290BFDCC" w:rsidR="006C26F4" w:rsidRPr="000D1F78" w:rsidRDefault="006C26F4" w:rsidP="007E3A8D">
      <w:pPr>
        <w:spacing w:after="0" w:line="360" w:lineRule="auto"/>
        <w:rPr>
          <w:rFonts w:eastAsia="Times New Roman"/>
          <w:b/>
        </w:rPr>
      </w:pPr>
      <w:r>
        <w:rPr>
          <w:rFonts w:eastAsia="Times New Roman"/>
          <w:b/>
          <w:bCs/>
        </w:rPr>
        <w:t>Figure 9</w:t>
      </w:r>
      <w:r w:rsidR="0013139F">
        <w:rPr>
          <w:rFonts w:eastAsia="Times New Roman"/>
          <w:b/>
          <w:bCs/>
        </w:rPr>
        <w:t>: Tahoe California School Enrollment, 2003-2023</w:t>
      </w:r>
    </w:p>
    <w:p w14:paraId="2A0B395F" w14:textId="5F4C7DC7" w:rsidR="000E3D6A" w:rsidRPr="00D03A40" w:rsidRDefault="0081115F" w:rsidP="003A2F93">
      <w:pPr>
        <w:pStyle w:val="Heading3"/>
        <w:rPr>
          <w:b w:val="0"/>
        </w:rPr>
      </w:pPr>
      <w:r w:rsidRPr="00D03A40">
        <w:t xml:space="preserve">Household </w:t>
      </w:r>
      <w:r w:rsidR="0018765C" w:rsidRPr="003A2F93">
        <w:t>Income</w:t>
      </w:r>
    </w:p>
    <w:p w14:paraId="7C4C4AE7" w14:textId="4C9BD8AD" w:rsidR="00B60894" w:rsidRPr="00D03A40" w:rsidRDefault="00B60894" w:rsidP="000D1F78">
      <w:pPr>
        <w:rPr>
          <w:b/>
          <w:sz w:val="24"/>
          <w:szCs w:val="24"/>
        </w:rPr>
      </w:pPr>
      <w:r w:rsidRPr="00D03A40">
        <w:t>Household income is a key characteristic of the residential population, which influences travel behavior. Census data over the last nine years show that household income in the region is trending upwards towards higher incomes</w:t>
      </w:r>
      <w:r w:rsidR="00644C2F" w:rsidRPr="00D03A40">
        <w:t xml:space="preserve"> </w:t>
      </w:r>
      <w:sdt>
        <w:sdtPr>
          <w:id w:val="-1776003897"/>
          <w:citation/>
        </w:sdtPr>
        <w:sdtContent>
          <w:r w:rsidR="00644C2F" w:rsidRPr="00D03A40">
            <w:fldChar w:fldCharType="begin"/>
          </w:r>
          <w:r w:rsidR="00644C2F" w:rsidRPr="00D03A40">
            <w:instrText xml:space="preserve"> CITATION USD22 \l 1033 </w:instrText>
          </w:r>
          <w:r w:rsidR="00644C2F" w:rsidRPr="00D03A40">
            <w:fldChar w:fldCharType="separate"/>
          </w:r>
          <w:r w:rsidR="00644C2F" w:rsidRPr="20A6508D">
            <w:t>(U.S. Department of Commerce, 2022)</w:t>
          </w:r>
          <w:r w:rsidR="00644C2F" w:rsidRPr="00D03A40">
            <w:fldChar w:fldCharType="end"/>
          </w:r>
        </w:sdtContent>
      </w:sdt>
      <w:r w:rsidRPr="00D03A40">
        <w:t xml:space="preserve">. Median annual income for households nationally rose to $74,580 in 2022, within California it is $91,905, and in Nevada it is $71,646 </w:t>
      </w:r>
      <w:r w:rsidRPr="00D03A40">
        <w:fldChar w:fldCharType="begin"/>
      </w:r>
      <w:r w:rsidRPr="00D03A40">
        <w:instrText xml:space="preserve"> ADDIN ZOTERO_ITEM CSL_CITATION {"citationID":"Sz80Pak1","properties":{"formattedCitation":"(Guzman 2019)","plainCitation":"(Guzman 2019)","noteIndex":0},"citationItems":[{"id":3859,"uris":["http://zotero.org/users/2786121/items/9IAA57F9"],"uri":["http://zotero.org/users/2786121/items/9IAA57F9"],"itemData":{"id":3859,"type":"report","genre":"American Community Survey Briefs","publisher":"U.S. Census Bureau","title":"Household Income: 2018: American Community Survey Briefs","author":[{"family":"Guzman","given":"Gloria G."}],"issued":{"date-parts":[["2019"]]}}}],"schema":"https://github.com/citation-style-language/schema/raw/master/csl-citation.json"} </w:instrText>
      </w:r>
      <w:r w:rsidRPr="00D03A40">
        <w:fldChar w:fldCharType="separate"/>
      </w:r>
      <w:r w:rsidRPr="20A6508D">
        <w:t>(Guzman 2024)</w:t>
      </w:r>
      <w:r w:rsidRPr="00D03A40">
        <w:fldChar w:fldCharType="end"/>
      </w:r>
      <w:r w:rsidRPr="00D03A40">
        <w:t xml:space="preserve">. Median income in the Tahoe Region has continued to grow in recent years, with the regional median remaining near or slightly above the national median. Between 2010 and 2018, the proportions </w:t>
      </w:r>
      <w:r w:rsidRPr="00D03A40">
        <w:lastRenderedPageBreak/>
        <w:t xml:space="preserve">of households in each income category have remained relatively stable, but in recent years, there has been a substantial shift towards higher-income households in Tahoe. Between 2018 and 2022, the proportion of households earning less than $25,000/year fell significantly, from 19% to 12%. Between 2018 and 2022, the number of households earning over $200,000/year doubled and those earning between $100,000 and $200,000 increased from 20% to 26%. While households earning less than $100,000/year outnumber households earning more than $100,000/year, only 54% of households earn less than $100,000/year. Some have suggested the decline in lower-income households has been driven by workers leaving the region in search of more affordable housing. </w:t>
      </w:r>
      <w:r w:rsidRPr="001815D6">
        <w:rPr>
          <w:highlight w:val="yellow"/>
        </w:rPr>
        <w:t>The forecast projects that the relative distribution of household incomes will be maintained near the current level, with slight increases among those earning less than $75,000/year or above $125,000/year. Initiatives to provide workforce and affordable housing are expected to increase the regional housing availability at the lower end of income distribution.</w:t>
      </w:r>
      <w:r w:rsidRPr="00D03A40">
        <w:t xml:space="preserve"> </w:t>
      </w:r>
    </w:p>
    <w:p w14:paraId="3D9F9934" w14:textId="1149A5C4" w:rsidR="00E81BC9" w:rsidRPr="00D03A40" w:rsidRDefault="00B93B28" w:rsidP="007A3469">
      <w:pPr>
        <w:spacing w:after="0" w:line="360" w:lineRule="auto"/>
        <w:rPr>
          <w:rFonts w:eastAsia="Times New Roman"/>
        </w:rPr>
      </w:pPr>
      <w:r>
        <w:rPr>
          <w:noProof/>
        </w:rPr>
        <w:drawing>
          <wp:inline distT="0" distB="0" distL="0" distR="0" wp14:anchorId="73D86976" wp14:editId="5EA9BAE8">
            <wp:extent cx="5676900" cy="3451860"/>
            <wp:effectExtent l="0" t="0" r="0" b="15240"/>
            <wp:docPr id="1306485631" name="Chart 1">
              <a:extLst xmlns:a="http://schemas.openxmlformats.org/drawingml/2006/main">
                <a:ext uri="{FF2B5EF4-FFF2-40B4-BE49-F238E27FC236}">
                  <a16:creationId xmlns:a16="http://schemas.microsoft.com/office/drawing/2014/main" id="{1C355E49-8357-72E8-8D51-5AD88C9FBE9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inline>
        </w:drawing>
      </w:r>
      <w:bookmarkEnd w:id="0"/>
      <w:bookmarkEnd w:id="1"/>
      <w:bookmarkEnd w:id="3"/>
    </w:p>
    <w:p w14:paraId="79F4D596" w14:textId="16A9FEE7" w:rsidR="006C26F4" w:rsidRPr="0013139F" w:rsidRDefault="006C26F4" w:rsidP="007A3469">
      <w:pPr>
        <w:spacing w:after="0" w:line="360" w:lineRule="auto"/>
        <w:rPr>
          <w:rFonts w:eastAsia="Times New Roman" w:cstheme="minorHAnsi"/>
          <w:b/>
          <w:bCs/>
        </w:rPr>
      </w:pPr>
      <w:r w:rsidRPr="0013139F">
        <w:rPr>
          <w:rFonts w:eastAsia="Times New Roman" w:cstheme="minorHAnsi"/>
          <w:b/>
          <w:bCs/>
        </w:rPr>
        <w:t>Figure 10</w:t>
      </w:r>
      <w:r w:rsidR="0013139F">
        <w:rPr>
          <w:rFonts w:eastAsia="Times New Roman" w:cstheme="minorHAnsi"/>
          <w:b/>
          <w:bCs/>
        </w:rPr>
        <w:t>: Household Income Categories in Tahoe Region (% of Households, ACS 2010-2022)</w:t>
      </w:r>
    </w:p>
    <w:p w14:paraId="2B09B64E" w14:textId="694A3978" w:rsidR="00096EF3" w:rsidRPr="00D03A40" w:rsidRDefault="00096EF3" w:rsidP="007A3469">
      <w:pPr>
        <w:spacing w:after="0" w:line="360" w:lineRule="auto"/>
        <w:rPr>
          <w:rFonts w:eastAsia="Times New Roman"/>
          <w:b/>
          <w:sz w:val="24"/>
          <w:szCs w:val="24"/>
        </w:rPr>
      </w:pPr>
    </w:p>
    <w:p w14:paraId="334B78F1" w14:textId="7DB12E83" w:rsidR="00C748FF" w:rsidRPr="00D03A40" w:rsidRDefault="00C406A6" w:rsidP="00B10D48">
      <w:pPr>
        <w:spacing w:after="0" w:line="360" w:lineRule="auto"/>
        <w:rPr>
          <w:rFonts w:eastAsia="Times New Roman"/>
          <w:b/>
          <w:sz w:val="24"/>
          <w:szCs w:val="24"/>
        </w:rPr>
      </w:pPr>
      <w:r w:rsidRPr="0614FEAD">
        <w:rPr>
          <w:rFonts w:eastAsia="Times New Roman"/>
          <w:b/>
          <w:sz w:val="24"/>
          <w:szCs w:val="24"/>
        </w:rPr>
        <w:t>Addendum</w:t>
      </w:r>
    </w:p>
    <w:p w14:paraId="60061E4C" w14:textId="5FFF78E3" w:rsidR="00096EF3" w:rsidRDefault="00B10D48" w:rsidP="00096EF3">
      <w:pPr>
        <w:spacing w:after="0" w:line="360" w:lineRule="auto"/>
      </w:pPr>
      <w:r w:rsidRPr="20A6508D">
        <w:t xml:space="preserve"> </w:t>
      </w:r>
    </w:p>
    <w:p w14:paraId="4C948F37" w14:textId="77777777" w:rsidR="002D32CF" w:rsidRDefault="002D32CF" w:rsidP="00096EF3">
      <w:pPr>
        <w:spacing w:after="0" w:line="360" w:lineRule="auto"/>
      </w:pPr>
    </w:p>
    <w:p w14:paraId="12266F96" w14:textId="77777777" w:rsidR="002D32CF" w:rsidRPr="00D03A40" w:rsidDel="0044684B" w:rsidRDefault="002D32CF" w:rsidP="00096EF3">
      <w:pPr>
        <w:spacing w:after="0" w:line="360" w:lineRule="auto"/>
      </w:pPr>
    </w:p>
    <w:p w14:paraId="04DB6305" w14:textId="1FE3E798" w:rsidR="00E7363F" w:rsidRPr="002D32CF" w:rsidRDefault="00E7363F" w:rsidP="00BC2AD7">
      <w:pPr>
        <w:pStyle w:val="Heading2"/>
        <w:rPr>
          <w:rFonts w:eastAsiaTheme="majorEastAsia" w:cstheme="majorBidi"/>
        </w:rPr>
      </w:pPr>
      <w:r w:rsidRPr="00D03A40">
        <w:lastRenderedPageBreak/>
        <w:t>Transportation Projects &amp; Strategies Forecast Summary</w:t>
      </w:r>
    </w:p>
    <w:p w14:paraId="1B4D9CB6" w14:textId="075E8E08" w:rsidR="003C5747" w:rsidRPr="00D03A40" w:rsidRDefault="00E7363F" w:rsidP="002D32CF">
      <w:pPr>
        <w:pStyle w:val="Heading3"/>
      </w:pPr>
      <w:r w:rsidRPr="00D03A40">
        <w:t>Transportation Projects</w:t>
      </w:r>
    </w:p>
    <w:p w14:paraId="3FC028E4" w14:textId="3C0B68A0" w:rsidR="00520E0C" w:rsidRPr="002D32CF" w:rsidRDefault="008259D4" w:rsidP="002D32CF">
      <w:r w:rsidRPr="52470809">
        <w:t>For the 2026 Housing EIS, several changes were made to better reflect the changing economy in the Lake Tahoe region, account for methodological advances and new technologies, and ensure future development is properly represented.</w:t>
      </w:r>
      <w:r w:rsidR="00520E0C" w:rsidRPr="52470809"/>
      <w:r w:rsidR="0082498B" w:rsidRPr="52470809"/>
      <w:r w:rsidR="00992DAA" w:rsidRPr="52470809"/>
      <w:r w:rsidR="2304E646" w:rsidRPr="52470809"/>
      <w:r w:rsidR="00992DAA" w:rsidRPr="52470809"/>
      <w:r w:rsidR="00673C9F" w:rsidRPr="52470809"/>
      <w:r w:rsidR="00CD7A4F" w:rsidRPr="52470809"/>
      <w:r w:rsidR="00CC238A" w:rsidRPr="52470809"/>
      <w:r w:rsidR="007E2945" w:rsidRPr="52470809"/>
      <w:r w:rsidR="00D34BAE" w:rsidRPr="52470809"/>
    </w:p>
    <w:p w14:paraId="1C7C205C" w14:textId="2B73B789" w:rsidR="009E2103" w:rsidRPr="002D32CF" w:rsidRDefault="00405B7D" w:rsidP="002D32CF">
      <w:r w:rsidRPr="52470809">
        <w:t>The largest single update in advance of the 2026 Housing EIS was a full revision of nonmotorized mode choice, creating a dedicated network to model bicycle and pedestrian trips. In previous model runs, it was only possible to route bicycle and pedestrian trips along the roadway network, without consideration for actual infrastructure. Furthermore, all nonmotorized modes were combined into a single “nonmotorized” option in the mode choice equations in previous model runs, not accounting for differences between bicycle and pedestrian travel. The new active transportation network included all current and future shared-use paths, as well as attributes for each roadway that indicate the type of bicycle facility. The routing function for bicycle and pedestrian modes favors shared-use paths, bicycle-friendly facilities, and low-volume streets in decreasing priority, only routing along high-traffic and high-speed roads when unavoidable. The effect of this new network is the ability to incorporate projected active transportation projects into the model, greatly improving the accuracy of projected active transportation trips and ensuring that the model can properly represent recreational trips and benefits the trail network can provide to the regional economy.</w:t>
      </w:r>
      <w:r w:rsidR="002B1F44" w:rsidRPr="52470809"/>
      <w:r w:rsidR="001A5DBD" w:rsidRPr="52470809"/>
      <w:r w:rsidR="009E2103" w:rsidRPr="52470809"/>
      <w:r w:rsidR="002B1F44" w:rsidRPr="52470809"/>
      <w:r w:rsidR="008031DB" w:rsidRPr="52470809"/>
      <w:r w:rsidR="00A13F66" w:rsidRPr="52470809"/>
      <w:r w:rsidR="00416F5E" w:rsidRPr="52470809"/>
      <w:r w:rsidR="25EAC7E2" w:rsidRPr="52470809"/>
      <w:r w:rsidR="001C38C4" w:rsidRPr="52470809"/>
      <w:r w:rsidR="00BC3FE3" w:rsidRPr="52470809"/>
      <w:r w:rsidR="008171B0" w:rsidRPr="52470809"/>
      <w:r w:rsidR="00382FB1" w:rsidRPr="52470809"/>
      <w:r w:rsidR="000437D0" w:rsidRPr="52470809"/>
      <w:r w:rsidR="0032579C" w:rsidRPr="52470809"/>
      <w:r w:rsidR="00CB26A9" w:rsidRPr="52470809"/>
      <w:r w:rsidR="00AD4874" w:rsidRPr="52470809"/>
      <w:r w:rsidR="004E572D" w:rsidRPr="52470809"/>
      <w:r w:rsidR="00FE1E78" w:rsidRPr="52470809"/>
      <w:r w:rsidR="008331C1" w:rsidRPr="52470809"/>
      <w:r w:rsidR="00F0176D" w:rsidRPr="52470809"/>
      <w:r w:rsidR="008331C1" w:rsidRPr="52470809"/>
      <w:r w:rsidR="00F551E7" w:rsidRPr="52470809"/>
      <w:r w:rsidR="00EE55AB" w:rsidRPr="52470809"/>
      <w:r w:rsidR="008B23EB" w:rsidRPr="52470809"/>
      <w:r w:rsidR="182B8590" w:rsidRPr="52470809"/>
      <w:r w:rsidR="008B23EB" w:rsidRPr="52470809"/>
    </w:p>
    <w:p w14:paraId="7E3CFE8E" w14:textId="4714D3BB" w:rsidR="00625A53" w:rsidRPr="002D32CF" w:rsidRDefault="0092253B" w:rsidP="002D32CF">
      <w:r w:rsidRPr="52470809">
        <w:t xml:space="preserve">With both nonmotorized network improvement and </w:t>
      </w:r>
      <w:r w:rsidR="00D43C26" w:rsidRPr="52470809">
        <w:t xml:space="preserve">improvements in available data, TRPA and its contractors modified </w:t>
      </w:r>
      <w:r w:rsidR="009E62C0" w:rsidRPr="52470809">
        <w:t>mode share to best reflect current behavior</w:t>
      </w:r>
      <w:r w:rsidR="001878F5" w:rsidRPr="52470809">
        <w:t xml:space="preserve"> as shown by TRPA’s monitoring program, big data, and surveys from around the United States</w:t>
      </w:r>
      <w:r w:rsidR="009E62C0" w:rsidRPr="52470809">
        <w:t>.</w:t>
      </w:r>
      <w:r w:rsidR="0065034B" w:rsidRPr="52470809">
        <w:t xml:space="preserve"> Walk trips are capped at 3 miles in the model</w:t>
      </w:r>
      <w:r w:rsidR="00EB58FE" w:rsidRPr="52470809">
        <w:t>, with increasing cost for longer trips</w:t>
      </w:r>
      <w:r w:rsidR="0065034B" w:rsidRPr="52470809">
        <w:t xml:space="preserve">, while bicycle trips </w:t>
      </w:r>
      <w:r w:rsidR="00EB58FE" w:rsidRPr="52470809">
        <w:t>have no limit</w:t>
      </w:r>
      <w:r w:rsidR="00E92679" w:rsidRPr="52470809">
        <w:t>, though mode share d</w:t>
      </w:r>
      <w:r w:rsidR="00D7292A" w:rsidRPr="52470809">
        <w:t xml:space="preserve">ecreases with distance and </w:t>
      </w:r>
      <w:r w:rsidR="00FF5FAB" w:rsidRPr="52470809">
        <w:t>mode share for trips over 8 miles in length is less than 0.5%.</w:t>
      </w:r>
      <w:r w:rsidR="00BE182C" w:rsidRPr="52470809">
        <w:t xml:space="preserve"> </w:t>
      </w:r>
      <w:r w:rsidR="00153336" w:rsidRPr="52470809">
        <w:t>T</w:t>
      </w:r>
      <w:r w:rsidR="00916FCE" w:rsidRPr="52470809">
        <w:t>h</w:t>
      </w:r>
      <w:r w:rsidR="00B21511" w:rsidRPr="52470809">
        <w:t>e changes</w:t>
      </w:r>
      <w:r w:rsidR="00916FCE" w:rsidRPr="52470809">
        <w:t xml:space="preserve"> resulted in increased nonmotorized</w:t>
      </w:r>
      <w:r w:rsidR="55F2395B" w:rsidRPr="52470809">
        <w:t xml:space="preserve"> model</w:t>
      </w:r>
      <w:r w:rsidR="00916FCE" w:rsidRPr="52470809">
        <w:t xml:space="preserve"> mode share, particularly for overnight visitors and seasonal residents</w:t>
      </w:r>
      <w:r w:rsidR="004173DB" w:rsidRPr="52470809">
        <w:t xml:space="preserve">, with </w:t>
      </w:r>
      <w:r w:rsidR="008B79CF" w:rsidRPr="52470809">
        <w:t>approximately</w:t>
      </w:r>
      <w:r w:rsidR="004173DB" w:rsidRPr="52470809">
        <w:t xml:space="preserve"> one-third </w:t>
      </w:r>
      <w:r w:rsidR="008B79CF" w:rsidRPr="52470809">
        <w:t xml:space="preserve">of overnight visitor and seasonal resident trips occurring by </w:t>
      </w:r>
      <w:r w:rsidR="00153336" w:rsidRPr="52470809">
        <w:t>nonmotorized</w:t>
      </w:r>
      <w:r w:rsidR="008B79CF" w:rsidRPr="52470809">
        <w:t xml:space="preserve"> modes</w:t>
      </w:r>
      <w:r w:rsidR="00916FCE" w:rsidRPr="52470809">
        <w:t>.</w:t>
      </w:r>
      <w:r w:rsidR="00153336" w:rsidRPr="52470809">
        <w:t xml:space="preserve"> Over half of trips shorter than one-half mile </w:t>
      </w:r>
      <w:r w:rsidR="00ED5A16" w:rsidRPr="52470809">
        <w:t xml:space="preserve">and over 40% of trips shorter than one mile </w:t>
      </w:r>
      <w:r w:rsidR="00153336" w:rsidRPr="52470809">
        <w:t>use nonmotorized modes, a large increase from previous assumptions.</w:t>
      </w:r>
      <w:r w:rsidR="00916FCE" w:rsidRPr="52470809">
        <w:t xml:space="preserve"> </w:t>
      </w:r>
      <w:r w:rsidR="0065034B" w:rsidRPr="52470809">
        <w:t xml:space="preserve">The new calibration targets provided by </w:t>
      </w:r>
      <w:r w:rsidR="00B21511" w:rsidRPr="52470809">
        <w:t xml:space="preserve">TRPA’s consultants </w:t>
      </w:r>
      <w:r w:rsidR="00D55E8C" w:rsidRPr="52470809">
        <w:t>also include some</w:t>
      </w:r>
      <w:r w:rsidR="004173DB" w:rsidRPr="52470809">
        <w:t xml:space="preserve"> initial</w:t>
      </w:r>
      <w:r w:rsidR="00D55E8C" w:rsidRPr="52470809">
        <w:t xml:space="preserve"> E-bike</w:t>
      </w:r>
      <w:r w:rsidR="004173DB" w:rsidRPr="52470809">
        <w:t xml:space="preserve"> use</w:t>
      </w:r>
      <w:r w:rsidR="0094001D" w:rsidRPr="52470809">
        <w:t>, reducing reliance on TRPA’s off-model tools to evaluate the projected effect of E-bikes.</w:t>
      </w:r>
    </w:p>
    <w:p w14:paraId="26C3FE83" w14:textId="285F2033" w:rsidR="00E85E0C" w:rsidRDefault="00353135" w:rsidP="002D32CF">
      <w:pPr>
        <w:rPr>
          <w:b/>
          <w:bCs/>
          <w:color w:val="FF0000"/>
        </w:rPr>
      </w:pPr>
      <w:r>
        <w:t xml:space="preserve">Yet another significant change to the TRPA model involved a recalibration of origin-destination trip pairs to better reflect modern travel patterns. </w:t>
      </w:r>
      <w:r w:rsidR="00F15174">
        <w:t>Over the past two decades, there has been a large shift away from casino visitation to recreation trips, and TRPA expects this</w:t>
      </w:r>
      <w:r w:rsidR="00765CD0">
        <w:t xml:space="preserve"> shift to be permanent. Therefore, it was important to</w:t>
      </w:r>
      <w:r w:rsidR="00ED1386">
        <w:t xml:space="preserve"> recalibrate </w:t>
      </w:r>
      <w:r w:rsidR="00CE123D">
        <w:t xml:space="preserve">to ensure that the impacts of proposed recreation and hotel projects are properly accounted for. </w:t>
      </w:r>
      <w:r w:rsidR="00CC238A">
        <w:t xml:space="preserve">This recalibration used StreetLight data to </w:t>
      </w:r>
      <w:r w:rsidR="0020669D">
        <w:t xml:space="preserve">examine the </w:t>
      </w:r>
      <w:r w:rsidR="00226472">
        <w:t xml:space="preserve">start and end points of </w:t>
      </w:r>
      <w:r w:rsidR="00584B28">
        <w:t>trips and</w:t>
      </w:r>
      <w:r w:rsidR="00AB0E89">
        <w:t xml:space="preserve"> use that information to make modifications to the model. </w:t>
      </w:r>
      <w:r w:rsidR="00584B28">
        <w:t>The analysis performed by TRPA’s contractors indicated that the prior model was overestimating trips to and from the south shore casino core while underestimating trips to recreation sites across the region</w:t>
      </w:r>
      <w:r w:rsidR="00E85E0C">
        <w:t>. Using the results of this analysis, trip patterns were recalibrated to ensure that recreation and gaming travel was properly represented.</w:t>
      </w:r>
    </w:p>
    <w:p w14:paraId="2F629A3F" w14:textId="4970222A" w:rsidR="612A1BE4" w:rsidRDefault="612A1BE4" w:rsidP="612A1BE4">
      <w:pPr>
        <w:spacing w:after="0" w:line="360" w:lineRule="auto"/>
        <w:rPr>
          <w:rFonts w:eastAsia="Times New Roman"/>
          <w:b/>
          <w:bCs/>
          <w:color w:val="000000" w:themeColor="text1"/>
        </w:rPr>
      </w:pPr>
    </w:p>
    <w:p w14:paraId="37C1017D" w14:textId="35B87589" w:rsidR="00E7363F" w:rsidRPr="00D03A40" w:rsidRDefault="00E7363F" w:rsidP="00BC2AD7">
      <w:pPr>
        <w:pStyle w:val="Heading2"/>
      </w:pPr>
      <w:r w:rsidRPr="00D03A40">
        <w:t>Transportation Strategies</w:t>
      </w:r>
    </w:p>
    <w:p w14:paraId="1F7949DF" w14:textId="04DD07FD" w:rsidR="00054F09" w:rsidRPr="00D03A40" w:rsidRDefault="00BF5B1F" w:rsidP="00096EF3">
      <w:pPr>
        <w:spacing w:after="0" w:line="360" w:lineRule="auto"/>
        <w:rPr>
          <w:rFonts w:eastAsia="Times New Roman" w:cstheme="minorHAnsi"/>
          <w:b/>
          <w:bCs/>
          <w:color w:val="FF0000"/>
        </w:rPr>
      </w:pPr>
      <w:r>
        <w:rPr>
          <w:rFonts w:eastAsia="Times New Roman" w:cstheme="minorHAnsi"/>
          <w:b/>
          <w:bCs/>
          <w:color w:val="FF0000"/>
        </w:rPr>
        <w:t xml:space="preserve"> See attachment at end of document</w:t>
      </w:r>
    </w:p>
    <w:p w14:paraId="5B505FB1" w14:textId="7ECF3CCF" w:rsidR="00096EF3" w:rsidRPr="00D03A40" w:rsidRDefault="00096EF3" w:rsidP="00BC2AD7">
      <w:pPr>
        <w:pStyle w:val="Heading2"/>
      </w:pPr>
      <w:r w:rsidRPr="00D03A40">
        <w:t>References</w:t>
      </w:r>
    </w:p>
    <w:sdt>
      <w:sdtPr>
        <w:rPr>
          <w:rFonts w:eastAsiaTheme="minorEastAsia" w:cstheme="minorBidi"/>
          <w:b w:val="0"/>
          <w:color w:val="auto"/>
          <w:sz w:val="22"/>
          <w:szCs w:val="22"/>
        </w:rPr>
        <w:id w:val="2095744802"/>
        <w:docPartObj>
          <w:docPartGallery w:val="Bibliographies"/>
          <w:docPartUnique/>
        </w:docPartObj>
      </w:sdtPr>
      <w:sdtContent>
        <w:p w14:paraId="4D6D627F" w14:textId="16D5F514" w:rsidR="00D03A40" w:rsidRPr="00567E6C" w:rsidRDefault="00D03A40">
          <w:pPr>
            <w:pStyle w:val="Heading1"/>
            <w:rPr>
              <w:rFonts w:cstheme="minorHAnsi"/>
            </w:rPr>
          </w:pPr>
        </w:p>
        <w:sdt>
          <w:sdtPr>
            <w:rPr>
              <w:rFonts w:asciiTheme="minorHAnsi" w:eastAsiaTheme="minorHAnsi" w:hAnsiTheme="minorHAnsi" w:cstheme="minorHAnsi"/>
            </w:rPr>
            <w:id w:val="-573587230"/>
            <w:bibliography/>
          </w:sdtPr>
          <w:sdtEndPr>
            <w:rPr>
              <w:rFonts w:ascii="Calibri" w:hAnsi="Calibri"/>
            </w:rPr>
          </w:sdtEndPr>
          <w:sdtContent>
            <w:p w14:paraId="366A186E" w14:textId="77777777" w:rsidR="00D03A40" w:rsidRPr="00567E6C" w:rsidRDefault="00D03A40" w:rsidP="002D32CF">
              <w:pPr>
                <w:pStyle w:val="Bibliography"/>
                <w:ind w:left="0" w:firstLine="0"/>
                <w:rPr>
                  <w:rFonts w:asciiTheme="minorHAnsi" w:hAnsiTheme="minorHAnsi" w:cstheme="minorHAnsi"/>
                  <w:noProof/>
                  <w:sz w:val="24"/>
                  <w:szCs w:val="24"/>
                </w:rPr>
              </w:pPr>
              <w:r w:rsidRPr="0614FEAD">
                <w:rPr>
                  <w:rFonts w:asciiTheme="minorHAnsi" w:hAnsiTheme="minorHAnsi" w:cstheme="minorBidi"/>
                </w:rPr>
                <w:fldChar w:fldCharType="begin"/>
              </w:r>
              <w:r w:rsidRPr="20A6508D">
                <w:rPr>
                  <w:rFonts w:asciiTheme="minorHAnsi" w:hAnsiTheme="minorHAnsi" w:cstheme="minorBidi"/>
                </w:rPr>
                <w:instrText xml:space="preserve"> BIBLIOGRAPHY </w:instrText>
              </w:r>
              <w:r w:rsidRPr="0614FEAD">
                <w:rPr>
                  <w:rFonts w:asciiTheme="minorHAnsi" w:hAnsiTheme="minorHAnsi" w:cstheme="minorBidi"/>
                </w:rPr>
                <w:fldChar w:fldCharType="separate"/>
              </w:r>
              <w:r w:rsidRPr="20A6508D">
                <w:rPr>
                  <w:rFonts w:asciiTheme="minorHAnsi" w:hAnsiTheme="minorHAnsi" w:cstheme="minorBidi"/>
                </w:rPr>
                <w:t xml:space="preserve">Association of Bay Area Governments. (2021). </w:t>
              </w:r>
              <w:r w:rsidRPr="20A6508D">
                <w:rPr>
                  <w:rFonts w:asciiTheme="minorHAnsi" w:hAnsiTheme="minorHAnsi" w:cstheme="minorBidi"/>
                  <w:i/>
                </w:rPr>
                <w:t>Plan Bay Area 2050 Forecasting and Modeling Report.</w:t>
              </w:r>
              <w:r w:rsidRPr="20A6508D">
                <w:rPr>
                  <w:rFonts w:asciiTheme="minorHAnsi" w:hAnsiTheme="minorHAnsi" w:cstheme="minorBidi"/>
                </w:rPr>
                <w:t xml:space="preserve"> San Francisco.</w:t>
              </w:r>
            </w:p>
            <w:p w14:paraId="1F37FDEB" w14:textId="77777777" w:rsidR="00D03A40" w:rsidRPr="00567E6C" w:rsidRDefault="00D03A40" w:rsidP="00D03A40">
              <w:pPr>
                <w:pStyle w:val="Bibliography"/>
                <w:rPr>
                  <w:rFonts w:asciiTheme="minorHAnsi" w:hAnsiTheme="minorHAnsi" w:cstheme="minorHAnsi"/>
                  <w:noProof/>
                </w:rPr>
              </w:pPr>
              <w:r w:rsidRPr="20A6508D">
                <w:rPr>
                  <w:rFonts w:asciiTheme="minorHAnsi" w:hAnsiTheme="minorHAnsi" w:cstheme="minorBidi"/>
                </w:rPr>
                <w:t xml:space="preserve">Carson Area Metropolitan Planning Organization. (2024). </w:t>
              </w:r>
              <w:r w:rsidRPr="20A6508D">
                <w:rPr>
                  <w:rFonts w:asciiTheme="minorHAnsi" w:hAnsiTheme="minorHAnsi" w:cstheme="minorBidi"/>
                  <w:i/>
                </w:rPr>
                <w:t>2050 Regional Transportation Plan.</w:t>
              </w:r>
              <w:r w:rsidRPr="20A6508D">
                <w:rPr>
                  <w:rFonts w:asciiTheme="minorHAnsi" w:hAnsiTheme="minorHAnsi" w:cstheme="minorBidi"/>
                </w:rPr>
                <w:t xml:space="preserve"> Carson City, Nevada.</w:t>
              </w:r>
            </w:p>
            <w:p w14:paraId="4214EA07" w14:textId="77777777" w:rsidR="00D03A40" w:rsidRPr="00567E6C" w:rsidRDefault="00D03A40" w:rsidP="00D03A40">
              <w:pPr>
                <w:pStyle w:val="Bibliography"/>
                <w:rPr>
                  <w:rFonts w:asciiTheme="minorHAnsi" w:hAnsiTheme="minorHAnsi" w:cstheme="minorHAnsi"/>
                  <w:noProof/>
                </w:rPr>
              </w:pPr>
              <w:r w:rsidRPr="20A6508D">
                <w:rPr>
                  <w:rFonts w:asciiTheme="minorHAnsi" w:hAnsiTheme="minorHAnsi" w:cstheme="minorBidi"/>
                </w:rPr>
                <w:t xml:space="preserve">City of South Lake Tahoe. (n.d.). </w:t>
              </w:r>
              <w:r w:rsidRPr="20A6508D">
                <w:rPr>
                  <w:rFonts w:asciiTheme="minorHAnsi" w:hAnsiTheme="minorHAnsi" w:cstheme="minorBidi"/>
                  <w:i/>
                </w:rPr>
                <w:t>Measure T</w:t>
              </w:r>
              <w:r w:rsidRPr="20A6508D">
                <w:rPr>
                  <w:rFonts w:asciiTheme="minorHAnsi" w:hAnsiTheme="minorHAnsi" w:cstheme="minorBidi"/>
                </w:rPr>
                <w:t>. Retrieved from City of South Lake Tahoe: https://cityofslt.us/2418/Measure-T</w:t>
              </w:r>
            </w:p>
            <w:p w14:paraId="3762D739" w14:textId="77777777" w:rsidR="00D03A40" w:rsidRPr="00567E6C" w:rsidRDefault="00D03A40" w:rsidP="00D03A40">
              <w:pPr>
                <w:pStyle w:val="Bibliography"/>
                <w:rPr>
                  <w:rFonts w:asciiTheme="minorHAnsi" w:hAnsiTheme="minorHAnsi" w:cstheme="minorHAnsi"/>
                  <w:noProof/>
                </w:rPr>
              </w:pPr>
              <w:r w:rsidRPr="20A6508D">
                <w:rPr>
                  <w:rFonts w:asciiTheme="minorHAnsi" w:hAnsiTheme="minorHAnsi" w:cstheme="minorBidi"/>
                </w:rPr>
                <w:t xml:space="preserve">Douglas County Board of County Commissioners. (2024, March 21). Chapter 20.622: Lake Tahoe Vacation Home Rentals. </w:t>
              </w:r>
              <w:r w:rsidRPr="20A6508D">
                <w:rPr>
                  <w:rFonts w:asciiTheme="minorHAnsi" w:hAnsiTheme="minorHAnsi" w:cstheme="minorBidi"/>
                  <w:i/>
                </w:rPr>
                <w:t>Douglas County Code</w:t>
              </w:r>
              <w:r w:rsidRPr="20A6508D">
                <w:rPr>
                  <w:rFonts w:asciiTheme="minorHAnsi" w:hAnsiTheme="minorHAnsi" w:cstheme="minorBidi"/>
                </w:rPr>
                <w:t>. Minden, Nevada: Douglas County. Retrieved from https://www.douglascountynv.gov/common/pages/DownloadFileByUrl.aspx?key=Saa9swlNqveUYCQRdoh9q6nHI4aw3oLFXiatih5MFm5SIGRV3cTmKuWcX%2f%2bel8qQwh2ceV0q8iKNsz52mT9Oz5X8MpJMUaxgXopGsO0fimm9EiFcmvaC6Utgv9XvNa2ZYC%2buVUaaZBRBn570fSbtJmfBpgnLWZjbkuVsmolx%2bxoMv64</w:t>
              </w:r>
            </w:p>
            <w:p w14:paraId="65E786E3" w14:textId="77777777" w:rsidR="00D03A40" w:rsidRPr="00567E6C" w:rsidRDefault="00D03A40" w:rsidP="00D03A40">
              <w:pPr>
                <w:pStyle w:val="Bibliography"/>
                <w:rPr>
                  <w:rFonts w:asciiTheme="minorHAnsi" w:hAnsiTheme="minorHAnsi" w:cstheme="minorHAnsi"/>
                  <w:noProof/>
                </w:rPr>
              </w:pPr>
              <w:r w:rsidRPr="20A6508D">
                <w:rPr>
                  <w:rFonts w:asciiTheme="minorHAnsi" w:hAnsiTheme="minorHAnsi" w:cstheme="minorBidi"/>
                </w:rPr>
                <w:t xml:space="preserve">El Dorado County. (n.d.). </w:t>
              </w:r>
              <w:r w:rsidRPr="20A6508D">
                <w:rPr>
                  <w:rFonts w:asciiTheme="minorHAnsi" w:hAnsiTheme="minorHAnsi" w:cstheme="minorBidi"/>
                  <w:i/>
                </w:rPr>
                <w:t>VHR Ordinance Information</w:t>
              </w:r>
              <w:r w:rsidRPr="20A6508D">
                <w:rPr>
                  <w:rFonts w:asciiTheme="minorHAnsi" w:hAnsiTheme="minorHAnsi" w:cstheme="minorBidi"/>
                </w:rPr>
                <w:t>. Retrieved from El Dorado County: https://www.eldoradocounty.ca.gov/Services/My-Property/Vacation-Home-Rentals-Division/VHR-Ordinance-Information</w:t>
              </w:r>
            </w:p>
            <w:p w14:paraId="7E2EA2DB" w14:textId="77777777" w:rsidR="00D03A40" w:rsidRPr="00567E6C" w:rsidRDefault="00D03A40" w:rsidP="00D03A40">
              <w:pPr>
                <w:pStyle w:val="Bibliography"/>
                <w:rPr>
                  <w:rFonts w:asciiTheme="minorHAnsi" w:hAnsiTheme="minorHAnsi" w:cstheme="minorHAnsi"/>
                  <w:noProof/>
                </w:rPr>
              </w:pPr>
              <w:r w:rsidRPr="20A6508D">
                <w:rPr>
                  <w:rFonts w:asciiTheme="minorHAnsi" w:hAnsiTheme="minorHAnsi" w:cstheme="minorBidi"/>
                </w:rPr>
                <w:t xml:space="preserve">Placer County Code Enforcement Services. (2024). </w:t>
              </w:r>
              <w:r w:rsidRPr="20A6508D">
                <w:rPr>
                  <w:rFonts w:asciiTheme="minorHAnsi" w:hAnsiTheme="minorHAnsi" w:cstheme="minorBidi"/>
                  <w:i/>
                </w:rPr>
                <w:t>Short-Term Vacation Rental Program</w:t>
              </w:r>
              <w:r w:rsidRPr="20A6508D">
                <w:rPr>
                  <w:rFonts w:asciiTheme="minorHAnsi" w:hAnsiTheme="minorHAnsi" w:cstheme="minorBidi"/>
                </w:rPr>
                <w:t>. Retrieved from Placer County Community Development Resource Agence: https://www.placer.ca.gov/6109/Short-Term-Rental-Program</w:t>
              </w:r>
            </w:p>
            <w:p w14:paraId="5E2A9714" w14:textId="77777777" w:rsidR="00D03A40" w:rsidRPr="00567E6C" w:rsidRDefault="00D03A40" w:rsidP="00D03A40">
              <w:pPr>
                <w:pStyle w:val="Bibliography"/>
                <w:rPr>
                  <w:rFonts w:asciiTheme="minorHAnsi" w:hAnsiTheme="minorHAnsi" w:cstheme="minorHAnsi"/>
                  <w:noProof/>
                </w:rPr>
              </w:pPr>
              <w:r w:rsidRPr="20A6508D">
                <w:rPr>
                  <w:rFonts w:asciiTheme="minorHAnsi" w:hAnsiTheme="minorHAnsi" w:cstheme="minorBidi"/>
                </w:rPr>
                <w:t xml:space="preserve">Regional Transportation Commission of Washoe County. (2024). </w:t>
              </w:r>
              <w:r w:rsidRPr="20A6508D">
                <w:rPr>
                  <w:rFonts w:asciiTheme="minorHAnsi" w:hAnsiTheme="minorHAnsi" w:cstheme="minorBidi"/>
                  <w:i/>
                </w:rPr>
                <w:t>2050 Regional Transportation Plan.</w:t>
              </w:r>
              <w:r w:rsidRPr="20A6508D">
                <w:rPr>
                  <w:rFonts w:asciiTheme="minorHAnsi" w:hAnsiTheme="minorHAnsi" w:cstheme="minorBidi"/>
                </w:rPr>
                <w:t xml:space="preserve"> Reno, Nevada.</w:t>
              </w:r>
            </w:p>
            <w:p w14:paraId="22F2CD48" w14:textId="77777777" w:rsidR="00D03A40" w:rsidRPr="00567E6C" w:rsidRDefault="00D03A40" w:rsidP="00D03A40">
              <w:pPr>
                <w:pStyle w:val="Bibliography"/>
                <w:rPr>
                  <w:rFonts w:asciiTheme="minorHAnsi" w:hAnsiTheme="minorHAnsi" w:cstheme="minorHAnsi"/>
                  <w:noProof/>
                </w:rPr>
              </w:pPr>
              <w:r w:rsidRPr="20A6508D">
                <w:rPr>
                  <w:rFonts w:asciiTheme="minorHAnsi" w:hAnsiTheme="minorHAnsi" w:cstheme="minorBidi"/>
                </w:rPr>
                <w:t xml:space="preserve">Reno-Tahoe Airport Authority. (2024, October). </w:t>
              </w:r>
              <w:r w:rsidRPr="20A6508D">
                <w:rPr>
                  <w:rFonts w:asciiTheme="minorHAnsi" w:hAnsiTheme="minorHAnsi" w:cstheme="minorBidi"/>
                  <w:i/>
                </w:rPr>
                <w:t>About the Reno-Tahoe Airport Authority</w:t>
              </w:r>
              <w:r w:rsidRPr="20A6508D">
                <w:rPr>
                  <w:rFonts w:asciiTheme="minorHAnsi" w:hAnsiTheme="minorHAnsi" w:cstheme="minorBidi"/>
                </w:rPr>
                <w:t>. Retrieved from Reno-Tahoe International Airport: https://www.renoairport.com/airport-authority/about/</w:t>
              </w:r>
            </w:p>
            <w:p w14:paraId="57BA1607" w14:textId="77777777" w:rsidR="00D03A40" w:rsidRPr="00567E6C" w:rsidRDefault="00D03A40" w:rsidP="00D03A40">
              <w:pPr>
                <w:pStyle w:val="Bibliography"/>
                <w:rPr>
                  <w:rFonts w:asciiTheme="minorHAnsi" w:hAnsiTheme="minorHAnsi" w:cstheme="minorHAnsi"/>
                  <w:noProof/>
                </w:rPr>
              </w:pPr>
              <w:r w:rsidRPr="20A6508D">
                <w:rPr>
                  <w:rFonts w:asciiTheme="minorHAnsi" w:hAnsiTheme="minorHAnsi" w:cstheme="minorBidi"/>
                </w:rPr>
                <w:t xml:space="preserve">Sacramento Area Council of Governments. (2022). </w:t>
              </w:r>
              <w:r w:rsidRPr="20A6508D">
                <w:rPr>
                  <w:rFonts w:asciiTheme="minorHAnsi" w:hAnsiTheme="minorHAnsi" w:cstheme="minorBidi"/>
                  <w:i/>
                </w:rPr>
                <w:t>Sacramento Region Draft Growth Projections.</w:t>
              </w:r>
              <w:r w:rsidRPr="20A6508D">
                <w:rPr>
                  <w:rFonts w:asciiTheme="minorHAnsi" w:hAnsiTheme="minorHAnsi" w:cstheme="minorBidi"/>
                </w:rPr>
                <w:t xml:space="preserve"> Sacramento, California.</w:t>
              </w:r>
            </w:p>
            <w:p w14:paraId="18EBE057" w14:textId="77777777" w:rsidR="00D03A40" w:rsidRPr="00567E6C" w:rsidRDefault="00D03A40" w:rsidP="00D03A40">
              <w:pPr>
                <w:pStyle w:val="Bibliography"/>
                <w:rPr>
                  <w:rFonts w:asciiTheme="minorHAnsi" w:hAnsiTheme="minorHAnsi" w:cstheme="minorHAnsi"/>
                  <w:noProof/>
                </w:rPr>
              </w:pPr>
              <w:r w:rsidRPr="20A6508D">
                <w:rPr>
                  <w:rFonts w:asciiTheme="minorHAnsi" w:hAnsiTheme="minorHAnsi" w:cstheme="minorBidi"/>
                </w:rPr>
                <w:t xml:space="preserve">U.S. Department of Commerce. (2022). </w:t>
              </w:r>
              <w:r w:rsidRPr="20A6508D">
                <w:rPr>
                  <w:rFonts w:asciiTheme="minorHAnsi" w:hAnsiTheme="minorHAnsi" w:cstheme="minorBidi"/>
                  <w:i/>
                </w:rPr>
                <w:t>American Community Survey.</w:t>
              </w:r>
              <w:r w:rsidRPr="20A6508D">
                <w:rPr>
                  <w:rFonts w:asciiTheme="minorHAnsi" w:hAnsiTheme="minorHAnsi" w:cstheme="minorBidi"/>
                </w:rPr>
                <w:t xml:space="preserve"> Washington, DC.</w:t>
              </w:r>
            </w:p>
            <w:p w14:paraId="2C0A1C42" w14:textId="77777777" w:rsidR="00D03A40" w:rsidRPr="00567E6C" w:rsidRDefault="00D03A40" w:rsidP="00D03A40">
              <w:pPr>
                <w:pStyle w:val="Bibliography"/>
                <w:rPr>
                  <w:rFonts w:asciiTheme="minorHAnsi" w:hAnsiTheme="minorHAnsi" w:cstheme="minorHAnsi"/>
                  <w:noProof/>
                </w:rPr>
              </w:pPr>
              <w:r w:rsidRPr="20A6508D">
                <w:rPr>
                  <w:rFonts w:asciiTheme="minorHAnsi" w:hAnsiTheme="minorHAnsi" w:cstheme="minorBidi"/>
                </w:rPr>
                <w:t xml:space="preserve">U.S. Department of Commerce. (2023). </w:t>
              </w:r>
              <w:r w:rsidRPr="20A6508D">
                <w:rPr>
                  <w:rFonts w:asciiTheme="minorHAnsi" w:hAnsiTheme="minorHAnsi" w:cstheme="minorBidi"/>
                  <w:i/>
                </w:rPr>
                <w:t>H14: Occupied Housing Units.</w:t>
              </w:r>
              <w:r w:rsidRPr="20A6508D">
                <w:rPr>
                  <w:rFonts w:asciiTheme="minorHAnsi" w:hAnsiTheme="minorHAnsi" w:cstheme="minorBidi"/>
                </w:rPr>
                <w:t xml:space="preserve"> Washington, DC.</w:t>
              </w:r>
            </w:p>
            <w:p w14:paraId="1AEAE1BA" w14:textId="77777777" w:rsidR="00D03A40" w:rsidRPr="00567E6C" w:rsidRDefault="00D03A40" w:rsidP="00D03A40">
              <w:pPr>
                <w:pStyle w:val="Bibliography"/>
                <w:rPr>
                  <w:rFonts w:asciiTheme="minorHAnsi" w:hAnsiTheme="minorHAnsi" w:cstheme="minorHAnsi"/>
                  <w:noProof/>
                </w:rPr>
              </w:pPr>
              <w:r w:rsidRPr="20A6508D">
                <w:rPr>
                  <w:rFonts w:asciiTheme="minorHAnsi" w:hAnsiTheme="minorHAnsi" w:cstheme="minorBidi"/>
                </w:rPr>
                <w:t xml:space="preserve">Washoe County Community Services Department. (2024, July 1). </w:t>
              </w:r>
              <w:r w:rsidRPr="20A6508D">
                <w:rPr>
                  <w:rFonts w:asciiTheme="minorHAnsi" w:hAnsiTheme="minorHAnsi" w:cstheme="minorBidi"/>
                  <w:i/>
                </w:rPr>
                <w:t>Short Term Rentals</w:t>
              </w:r>
              <w:r w:rsidRPr="20A6508D">
                <w:rPr>
                  <w:rFonts w:asciiTheme="minorHAnsi" w:hAnsiTheme="minorHAnsi" w:cstheme="minorBidi"/>
                </w:rPr>
                <w:t>. Retrieved from Washoe County, Nevada: https://www.washoecounty.gov/csd/planning_and_development/short_term_rentals/index.php</w:t>
              </w:r>
            </w:p>
            <w:p w14:paraId="5186E3E7" w14:textId="77777777" w:rsidR="002D32CF" w:rsidRDefault="00D03A40" w:rsidP="002D32CF">
              <w:pPr>
                <w:rPr>
                  <w:rFonts w:eastAsiaTheme="minorEastAsia"/>
                </w:rPr>
              </w:pPr>
              <w:r w:rsidRPr="0614FEAD">
                <w:rPr>
                  <w:b/>
                </w:rPr>
                <w:fldChar w:fldCharType="end"/>
              </w:r>
            </w:p>
          </w:sdtContent>
        </w:sdt>
      </w:sdtContent>
    </w:sdt>
    <w:p w14:paraId="35F61201" w14:textId="0260AAD8" w:rsidR="00BF5B1F" w:rsidRDefault="00096EF3" w:rsidP="002D32CF">
      <w:r>
        <w:br w:type="page"/>
      </w:r>
    </w:p>
    <w:sectPr w:rsidR="00BF5B1F" w:rsidSect="006236BE">
      <w:pgSz w:w="12240" w:h="15840"/>
      <w:pgMar w:top="1440" w:right="1440" w:bottom="1440" w:left="1440" w:header="720" w:footer="720" w:gutter="0"/>
      <w:pgNumType w:start="1"/>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5" w:author="Andrew McClary" w:date="2026-05-29T15:31:00Z" w:initials="AM">
    <w:p w14:paraId="5A6432C8" w14:textId="77777777" w:rsidR="001815D6" w:rsidRDefault="001815D6" w:rsidP="001815D6">
      <w:pPr>
        <w:pStyle w:val="CommentText"/>
      </w:pPr>
      <w:r>
        <w:rPr>
          <w:rStyle w:val="CommentReference"/>
        </w:rPr>
        <w:annotationRef/>
      </w:r>
      <w:r>
        <w:t>Common assumption across scenarios</w:t>
      </w:r>
    </w:p>
  </w:comment>
  <w:comment w:id="6" w:author="Andrew McClary" w:date="2026-05-29T15:31:00Z" w:initials="AM">
    <w:p w14:paraId="4E894221" w14:textId="77777777" w:rsidR="001815D6" w:rsidRDefault="001815D6" w:rsidP="001815D6">
      <w:pPr>
        <w:pStyle w:val="CommentText"/>
      </w:pPr>
      <w:r>
        <w:rPr>
          <w:rStyle w:val="CommentReference"/>
        </w:rPr>
        <w:annotationRef/>
      </w:r>
      <w:r>
        <w:t>Need to update this</w:t>
      </w:r>
    </w:p>
  </w:comment>
  <w:comment w:id="7" w:author="Andrew McClary" w:date="2026-05-29T15:32:00Z" w:initials="AM">
    <w:p w14:paraId="1AD62F8C" w14:textId="77777777" w:rsidR="001815D6" w:rsidRDefault="001815D6" w:rsidP="001815D6">
      <w:pPr>
        <w:pStyle w:val="CommentText"/>
      </w:pPr>
      <w:r>
        <w:rPr>
          <w:rStyle w:val="CommentReference"/>
        </w:rPr>
        <w:annotationRef/>
      </w:r>
      <w:r>
        <w:t>Good call</w:t>
      </w:r>
    </w:p>
  </w:comment>
  <w:comment w:id="8" w:author="Andrew McClary" w:date="2026-05-29T15:32:00Z" w:initials="AM">
    <w:p w14:paraId="0C83BEF8" w14:textId="77777777" w:rsidR="001815D6" w:rsidRDefault="001815D6" w:rsidP="001815D6">
      <w:pPr>
        <w:pStyle w:val="CommentText"/>
      </w:pPr>
      <w:r>
        <w:rPr>
          <w:rStyle w:val="CommentReference"/>
        </w:rPr>
        <w:annotationRef/>
      </w:r>
      <w:r>
        <w:t>Update</w:t>
      </w:r>
    </w:p>
  </w:comment>
  <w:comment w:id="9" w:author="Andrew McClary" w:date="2026-05-29T15:33:00Z" w:initials="AM">
    <w:p w14:paraId="25251C61" w14:textId="77777777" w:rsidR="001815D6" w:rsidRDefault="001815D6" w:rsidP="001815D6">
      <w:pPr>
        <w:pStyle w:val="CommentText"/>
      </w:pPr>
      <w:r>
        <w:rPr>
          <w:rStyle w:val="CommentReference"/>
        </w:rPr>
        <w:annotationRef/>
      </w:r>
      <w:r>
        <w:t>Update</w:t>
      </w:r>
    </w:p>
  </w:comment>
  <w:comment w:id="10" w:author="Andrew McClary" w:date="2026-05-29T15:33:00Z" w:initials="AM">
    <w:p w14:paraId="76146805" w14:textId="77777777" w:rsidR="001815D6" w:rsidRDefault="001815D6" w:rsidP="001815D6">
      <w:pPr>
        <w:pStyle w:val="CommentText"/>
      </w:pPr>
      <w:r>
        <w:rPr>
          <w:rStyle w:val="CommentReference"/>
        </w:rPr>
        <w:annotationRef/>
      </w:r>
      <w:r>
        <w:t>Update</w:t>
      </w:r>
    </w:p>
  </w:comment>
  <w:comment w:id="11" w:author="Andrew McClary" w:date="2026-05-29T15:33:00Z" w:initials="AM">
    <w:p w14:paraId="07153565" w14:textId="77777777" w:rsidR="001815D6" w:rsidRDefault="001815D6" w:rsidP="001815D6">
      <w:pPr>
        <w:pStyle w:val="CommentText"/>
      </w:pPr>
      <w:r>
        <w:rPr>
          <w:rStyle w:val="CommentReference"/>
        </w:rPr>
        <w:annotationRef/>
      </w:r>
      <w:r>
        <w:t>Add language about this for Alt 3</w:t>
      </w:r>
    </w:p>
  </w:comment>
  <w:comment w:id="12" w:author="Andrew McClary" w:date="2026-05-29T15:37:00Z" w:initials="AM">
    <w:p w14:paraId="3338F838" w14:textId="77777777" w:rsidR="001815D6" w:rsidRDefault="001815D6" w:rsidP="001815D6">
      <w:pPr>
        <w:pStyle w:val="CommentText"/>
      </w:pPr>
      <w:r>
        <w:rPr>
          <w:rStyle w:val="CommentReference"/>
        </w:rPr>
        <w:annotationRef/>
      </w:r>
      <w:r>
        <w:t>Need to update to talk about the increase in jobs that we included in scenario 2 and 3</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A6432C8" w15:done="0"/>
  <w15:commentEx w15:paraId="4E894221" w15:done="0"/>
  <w15:commentEx w15:paraId="1AD62F8C" w15:done="0"/>
  <w15:commentEx w15:paraId="0C83BEF8" w15:done="0"/>
  <w15:commentEx w15:paraId="25251C61" w15:done="0"/>
  <w15:commentEx w15:paraId="76146805" w15:done="0"/>
  <w15:commentEx w15:paraId="07153565" w15:done="0"/>
  <w15:commentEx w15:paraId="3338F83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F2AC5B7" w16cex:dateUtc="2026-05-29T22:31:00Z"/>
  <w16cex:commentExtensible w16cex:durableId="1A6179C8" w16cex:dateUtc="2026-05-29T22:31:00Z"/>
  <w16cex:commentExtensible w16cex:durableId="66B47BC6" w16cex:dateUtc="2026-05-29T22:32:00Z"/>
  <w16cex:commentExtensible w16cex:durableId="5FED2C3E" w16cex:dateUtc="2026-05-29T22:32:00Z"/>
  <w16cex:commentExtensible w16cex:durableId="3F068D8F" w16cex:dateUtc="2026-05-29T22:33:00Z"/>
  <w16cex:commentExtensible w16cex:durableId="7AA11707" w16cex:dateUtc="2026-05-29T22:33:00Z"/>
  <w16cex:commentExtensible w16cex:durableId="4E8FF716" w16cex:dateUtc="2026-05-29T22:33:00Z"/>
  <w16cex:commentExtensible w16cex:durableId="4F4ACF45" w16cex:dateUtc="2026-05-29T22:3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A6432C8" w16cid:durableId="4F2AC5B7"/>
  <w16cid:commentId w16cid:paraId="4E894221" w16cid:durableId="1A6179C8"/>
  <w16cid:commentId w16cid:paraId="1AD62F8C" w16cid:durableId="66B47BC6"/>
  <w16cid:commentId w16cid:paraId="0C83BEF8" w16cid:durableId="5FED2C3E"/>
  <w16cid:commentId w16cid:paraId="25251C61" w16cid:durableId="3F068D8F"/>
  <w16cid:commentId w16cid:paraId="76146805" w16cid:durableId="7AA11707"/>
  <w16cid:commentId w16cid:paraId="07153565" w16cid:durableId="4E8FF716"/>
  <w16cid:commentId w16cid:paraId="3338F838" w16cid:durableId="4F4ACF4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EDE1CC" w14:textId="77777777" w:rsidR="008217D9" w:rsidRDefault="008217D9" w:rsidP="0037772A">
      <w:pPr>
        <w:spacing w:after="0" w:line="240" w:lineRule="auto"/>
      </w:pPr>
      <w:r>
        <w:separator/>
      </w:r>
    </w:p>
  </w:endnote>
  <w:endnote w:type="continuationSeparator" w:id="0">
    <w:p w14:paraId="568831C9" w14:textId="77777777" w:rsidR="008217D9" w:rsidRDefault="008217D9" w:rsidP="0037772A">
      <w:pPr>
        <w:spacing w:after="0" w:line="240" w:lineRule="auto"/>
      </w:pPr>
      <w:r>
        <w:continuationSeparator/>
      </w:r>
    </w:p>
  </w:endnote>
  <w:endnote w:type="continuationNotice" w:id="1">
    <w:p w14:paraId="697B5AA6" w14:textId="77777777" w:rsidR="008217D9" w:rsidRDefault="008217D9">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3">
    <w:panose1 w:val="050401020108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539C4E" w14:textId="77777777" w:rsidR="008217D9" w:rsidRDefault="008217D9" w:rsidP="0037772A">
      <w:pPr>
        <w:spacing w:after="0" w:line="240" w:lineRule="auto"/>
      </w:pPr>
      <w:r>
        <w:separator/>
      </w:r>
    </w:p>
  </w:footnote>
  <w:footnote w:type="continuationSeparator" w:id="0">
    <w:p w14:paraId="23747145" w14:textId="77777777" w:rsidR="008217D9" w:rsidRDefault="008217D9" w:rsidP="0037772A">
      <w:pPr>
        <w:spacing w:after="0" w:line="240" w:lineRule="auto"/>
      </w:pPr>
      <w:r>
        <w:continuationSeparator/>
      </w:r>
    </w:p>
  </w:footnote>
  <w:footnote w:type="continuationNotice" w:id="1">
    <w:p w14:paraId="7FBB48C7" w14:textId="77777777" w:rsidR="008217D9" w:rsidRDefault="008217D9">
      <w:pPr>
        <w:spacing w:after="0" w:line="240" w:lineRule="auto"/>
      </w:pPr>
    </w:p>
  </w:footnote>
  <w:footnote w:id="2">
    <w:p w14:paraId="3048BF7E" w14:textId="77777777" w:rsidR="00173E66" w:rsidRPr="000A0870" w:rsidRDefault="00173E66" w:rsidP="00173E66">
      <w:pPr>
        <w:pStyle w:val="FootnoteText"/>
        <w:rPr>
          <w:rFonts w:asciiTheme="majorHAnsi" w:hAnsiTheme="majorHAnsi" w:cstheme="majorBidi"/>
        </w:rPr>
      </w:pPr>
      <w:r w:rsidRPr="000A0870">
        <w:rPr>
          <w:rStyle w:val="FootnoteReference"/>
          <w:rFonts w:asciiTheme="majorHAnsi" w:hAnsiTheme="majorHAnsi" w:cstheme="majorHAnsi"/>
        </w:rPr>
        <w:footnoteRef/>
      </w:r>
      <w:r w:rsidRPr="0614FEAD">
        <w:rPr>
          <w:rFonts w:asciiTheme="majorHAnsi" w:hAnsiTheme="majorHAnsi" w:cstheme="majorBidi"/>
        </w:rPr>
        <w:t xml:space="preserve"> See </w:t>
      </w:r>
      <w:hyperlink r:id="rId1" w:history="1">
        <w:r w:rsidRPr="0614FEAD">
          <w:rPr>
            <w:rStyle w:val="Hyperlink"/>
            <w:rFonts w:asciiTheme="majorHAnsi" w:hAnsiTheme="majorHAnsi" w:cstheme="majorBidi"/>
          </w:rPr>
          <w:t>https://tahoe.ca.gov/programs/tahoe-livable-communities/asset-land-sales/</w:t>
        </w:r>
      </w:hyperlink>
      <w:r w:rsidRPr="0614FEAD">
        <w:rPr>
          <w:rFonts w:asciiTheme="majorHAnsi" w:hAnsiTheme="majorHAnsi" w:cstheme="majorBidi"/>
        </w:rPr>
        <w:t xml:space="preserve"> for more details about potential housing development opportunities that have been identified by the California Tahoe Conservancy.</w:t>
      </w:r>
    </w:p>
  </w:footnote>
  <w:footnote w:id="3">
    <w:p w14:paraId="71E71E3C" w14:textId="30395440" w:rsidR="00173E66" w:rsidRPr="008C54FC" w:rsidRDefault="00173E66" w:rsidP="00173E66">
      <w:pPr>
        <w:pStyle w:val="FootnoteText"/>
        <w:rPr>
          <w:rFonts w:asciiTheme="majorHAnsi" w:hAnsiTheme="majorHAnsi" w:cstheme="majorBidi"/>
        </w:rPr>
      </w:pPr>
      <w:r w:rsidRPr="008C54FC">
        <w:rPr>
          <w:rStyle w:val="FootnoteReference"/>
          <w:rFonts w:asciiTheme="majorHAnsi" w:hAnsiTheme="majorHAnsi" w:cstheme="majorHAnsi"/>
        </w:rPr>
        <w:footnoteRef/>
      </w:r>
      <w:r w:rsidRPr="0614FEAD">
        <w:rPr>
          <w:rFonts w:asciiTheme="majorHAnsi" w:hAnsiTheme="majorHAnsi" w:cstheme="majorBidi"/>
        </w:rPr>
        <w:t xml:space="preserve"> See </w:t>
      </w:r>
      <w:hyperlink r:id="rId2" w:history="1">
        <w:r w:rsidRPr="0614FEAD">
          <w:rPr>
            <w:rStyle w:val="Hyperlink"/>
            <w:rFonts w:asciiTheme="majorHAnsi" w:hAnsiTheme="majorHAnsi" w:cstheme="majorBidi"/>
          </w:rPr>
          <w:t>https://www.placer.ca.gov/3396/Housing</w:t>
        </w:r>
      </w:hyperlink>
      <w:r w:rsidRPr="0614FEAD">
        <w:rPr>
          <w:rFonts w:asciiTheme="majorHAnsi" w:hAnsiTheme="majorHAnsi" w:cstheme="majorBidi"/>
        </w:rPr>
        <w:t xml:space="preserve"> for information about potential housing development project opportunities in Placer County</w:t>
      </w:r>
      <w:r w:rsidR="002C12B8" w:rsidRPr="0614FEAD">
        <w:rPr>
          <w:rFonts w:asciiTheme="majorHAnsi" w:hAnsiTheme="majorHAnsi" w:cstheme="majorBidi"/>
        </w:rPr>
        <w:t xml:space="preserve">. </w:t>
      </w:r>
    </w:p>
  </w:footnote>
  <w:footnote w:id="4">
    <w:p w14:paraId="0DFC81FF" w14:textId="77777777" w:rsidR="00D65215" w:rsidRPr="00BA4950" w:rsidRDefault="00D65215" w:rsidP="00D65215">
      <w:pPr>
        <w:pStyle w:val="FootnoteText"/>
        <w:rPr>
          <w:rFonts w:asciiTheme="majorHAnsi" w:hAnsiTheme="majorHAnsi" w:cstheme="majorBidi"/>
        </w:rPr>
      </w:pPr>
      <w:r w:rsidRPr="00BA4950">
        <w:rPr>
          <w:rStyle w:val="FootnoteReference"/>
          <w:rFonts w:asciiTheme="majorHAnsi" w:hAnsiTheme="majorHAnsi" w:cstheme="majorHAnsi"/>
        </w:rPr>
        <w:footnoteRef/>
      </w:r>
      <w:r w:rsidRPr="0614FEAD">
        <w:rPr>
          <w:rFonts w:asciiTheme="majorHAnsi" w:hAnsiTheme="majorHAnsi" w:cstheme="majorBidi"/>
        </w:rPr>
        <w:t xml:space="preserve"> The Sacramento Area Council of Governments (SACOG) includes the counties of El Dorado, Placer, Sacramento, Sutter, Yolo, Yuba and the 22 cities within this six-county region.</w:t>
      </w:r>
    </w:p>
  </w:footnote>
  <w:footnote w:id="5">
    <w:p w14:paraId="2B13C265" w14:textId="77777777" w:rsidR="00D65215" w:rsidRPr="00BA4950" w:rsidRDefault="00D65215" w:rsidP="00D65215">
      <w:pPr>
        <w:pStyle w:val="FootnoteText"/>
        <w:rPr>
          <w:rFonts w:asciiTheme="majorHAnsi" w:hAnsiTheme="majorHAnsi" w:cstheme="majorBidi"/>
        </w:rPr>
      </w:pPr>
      <w:r w:rsidRPr="00BA4950">
        <w:rPr>
          <w:rStyle w:val="FootnoteReference"/>
          <w:rFonts w:asciiTheme="majorHAnsi" w:hAnsiTheme="majorHAnsi" w:cstheme="majorHAnsi"/>
        </w:rPr>
        <w:footnoteRef/>
      </w:r>
      <w:r w:rsidRPr="0614FEAD">
        <w:rPr>
          <w:rFonts w:asciiTheme="majorHAnsi" w:hAnsiTheme="majorHAnsi" w:cstheme="majorBidi"/>
        </w:rPr>
        <w:t xml:space="preserve"> The Association of Bay Area Governments (ABAG) region encompasses Alameda, Contra Costa, Marin, Napa, San Francisco, San Mateo, Santa Clara, Solano and Sonoma counties.</w:t>
      </w:r>
    </w:p>
  </w:footnote>
  <w:footnote w:id="6">
    <w:p w14:paraId="30155D5B" w14:textId="77777777" w:rsidR="00D65215" w:rsidRPr="00BA4950" w:rsidRDefault="00D65215" w:rsidP="00D65215">
      <w:pPr>
        <w:pStyle w:val="FootnoteText"/>
        <w:rPr>
          <w:rFonts w:asciiTheme="majorHAnsi" w:hAnsiTheme="majorHAnsi" w:cstheme="majorBidi"/>
        </w:rPr>
      </w:pPr>
      <w:r w:rsidRPr="00BA4950">
        <w:rPr>
          <w:rStyle w:val="FootnoteReference"/>
          <w:rFonts w:asciiTheme="majorHAnsi" w:hAnsiTheme="majorHAnsi" w:cstheme="majorHAnsi"/>
        </w:rPr>
        <w:footnoteRef/>
      </w:r>
      <w:r w:rsidRPr="0614FEAD">
        <w:rPr>
          <w:rFonts w:asciiTheme="majorHAnsi" w:hAnsiTheme="majorHAnsi" w:cstheme="majorBidi"/>
        </w:rPr>
        <w:t xml:space="preserve"> Regional Transportation Commission (RTC) of Washoe County, Nevada serves the Reno and Sparks areas along with unincorporated areas of Washoe County.</w:t>
      </w:r>
    </w:p>
  </w:footnote>
  <w:footnote w:id="7">
    <w:p w14:paraId="3EAB3C88" w14:textId="77777777" w:rsidR="00D65215" w:rsidRDefault="00D65215" w:rsidP="00D65215">
      <w:pPr>
        <w:pStyle w:val="FootnoteText"/>
      </w:pPr>
      <w:r w:rsidRPr="00BA4950">
        <w:rPr>
          <w:rStyle w:val="FootnoteReference"/>
          <w:rFonts w:asciiTheme="majorHAnsi" w:hAnsiTheme="majorHAnsi" w:cstheme="majorHAnsi"/>
        </w:rPr>
        <w:footnoteRef/>
      </w:r>
      <w:r w:rsidRPr="0614FEAD">
        <w:rPr>
          <w:rFonts w:asciiTheme="majorHAnsi" w:hAnsiTheme="majorHAnsi" w:cstheme="majorBidi"/>
        </w:rPr>
        <w:t xml:space="preserve"> The Carson Area Metropolitan Planning Organization (CAMPO)</w:t>
      </w:r>
      <w:r w:rsidRPr="0614FEAD" w:rsidDel="00276220">
        <w:rPr>
          <w:rFonts w:asciiTheme="majorHAnsi" w:hAnsiTheme="majorHAnsi" w:cstheme="majorBidi"/>
        </w:rPr>
        <w:t xml:space="preserve"> </w:t>
      </w:r>
      <w:r w:rsidRPr="0614FEAD">
        <w:rPr>
          <w:rFonts w:asciiTheme="majorHAnsi" w:hAnsiTheme="majorHAnsi" w:cstheme="majorBidi"/>
        </w:rPr>
        <w:t>covers the Carson City urbanized area, which consists of Carson City, northern Douglas County, and western Lyon County.</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46FAF"/>
    <w:multiLevelType w:val="hybridMultilevel"/>
    <w:tmpl w:val="CC7AF5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4F3659D"/>
    <w:multiLevelType w:val="multilevel"/>
    <w:tmpl w:val="1D50F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A6D080A"/>
    <w:multiLevelType w:val="hybridMultilevel"/>
    <w:tmpl w:val="57FA9780"/>
    <w:lvl w:ilvl="0" w:tplc="B9DA8260">
      <w:start w:val="1"/>
      <w:numFmt w:val="decimal"/>
      <w:lvlText w:val="%1."/>
      <w:lvlJc w:val="left"/>
      <w:pPr>
        <w:ind w:left="720" w:hanging="360"/>
      </w:pPr>
      <w:rPr>
        <w:b w:val="0"/>
        <w:bCs w:val="0"/>
        <w:sz w:val="22"/>
        <w:szCs w:val="22"/>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C0C2F9E"/>
    <w:multiLevelType w:val="multilevel"/>
    <w:tmpl w:val="068A3B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D950583"/>
    <w:multiLevelType w:val="multilevel"/>
    <w:tmpl w:val="26FACE8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1295269"/>
    <w:multiLevelType w:val="multilevel"/>
    <w:tmpl w:val="96BAD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A9019FD"/>
    <w:multiLevelType w:val="hybridMultilevel"/>
    <w:tmpl w:val="795AFA3C"/>
    <w:lvl w:ilvl="0" w:tplc="3B4066F8">
      <w:start w:val="1"/>
      <w:numFmt w:val="bullet"/>
      <w:lvlText w:val=""/>
      <w:lvlJc w:val="left"/>
      <w:pPr>
        <w:ind w:left="720" w:hanging="360"/>
      </w:pPr>
      <w:rPr>
        <w:rFonts w:ascii="Symbol" w:hAnsi="Symbol" w:hint="default"/>
      </w:rPr>
    </w:lvl>
    <w:lvl w:ilvl="1" w:tplc="BC1CF212" w:tentative="1">
      <w:start w:val="1"/>
      <w:numFmt w:val="bullet"/>
      <w:lvlText w:val="o"/>
      <w:lvlJc w:val="left"/>
      <w:pPr>
        <w:ind w:left="1440" w:hanging="360"/>
      </w:pPr>
      <w:rPr>
        <w:rFonts w:ascii="Courier New" w:hAnsi="Courier New" w:hint="default"/>
      </w:rPr>
    </w:lvl>
    <w:lvl w:ilvl="2" w:tplc="589CD9A8" w:tentative="1">
      <w:start w:val="1"/>
      <w:numFmt w:val="bullet"/>
      <w:lvlText w:val=""/>
      <w:lvlJc w:val="left"/>
      <w:pPr>
        <w:ind w:left="2160" w:hanging="360"/>
      </w:pPr>
      <w:rPr>
        <w:rFonts w:ascii="Wingdings" w:hAnsi="Wingdings" w:hint="default"/>
      </w:rPr>
    </w:lvl>
    <w:lvl w:ilvl="3" w:tplc="9320D42E" w:tentative="1">
      <w:start w:val="1"/>
      <w:numFmt w:val="bullet"/>
      <w:lvlText w:val=""/>
      <w:lvlJc w:val="left"/>
      <w:pPr>
        <w:ind w:left="2880" w:hanging="360"/>
      </w:pPr>
      <w:rPr>
        <w:rFonts w:ascii="Symbol" w:hAnsi="Symbol" w:hint="default"/>
      </w:rPr>
    </w:lvl>
    <w:lvl w:ilvl="4" w:tplc="9DAC727A" w:tentative="1">
      <w:start w:val="1"/>
      <w:numFmt w:val="bullet"/>
      <w:lvlText w:val="o"/>
      <w:lvlJc w:val="left"/>
      <w:pPr>
        <w:ind w:left="3600" w:hanging="360"/>
      </w:pPr>
      <w:rPr>
        <w:rFonts w:ascii="Courier New" w:hAnsi="Courier New" w:hint="default"/>
      </w:rPr>
    </w:lvl>
    <w:lvl w:ilvl="5" w:tplc="3AFE8512" w:tentative="1">
      <w:start w:val="1"/>
      <w:numFmt w:val="bullet"/>
      <w:lvlText w:val=""/>
      <w:lvlJc w:val="left"/>
      <w:pPr>
        <w:ind w:left="4320" w:hanging="360"/>
      </w:pPr>
      <w:rPr>
        <w:rFonts w:ascii="Wingdings" w:hAnsi="Wingdings" w:hint="default"/>
      </w:rPr>
    </w:lvl>
    <w:lvl w:ilvl="6" w:tplc="8196E012" w:tentative="1">
      <w:start w:val="1"/>
      <w:numFmt w:val="bullet"/>
      <w:lvlText w:val=""/>
      <w:lvlJc w:val="left"/>
      <w:pPr>
        <w:ind w:left="5040" w:hanging="360"/>
      </w:pPr>
      <w:rPr>
        <w:rFonts w:ascii="Symbol" w:hAnsi="Symbol" w:hint="default"/>
      </w:rPr>
    </w:lvl>
    <w:lvl w:ilvl="7" w:tplc="A40C078A" w:tentative="1">
      <w:start w:val="1"/>
      <w:numFmt w:val="bullet"/>
      <w:lvlText w:val="o"/>
      <w:lvlJc w:val="left"/>
      <w:pPr>
        <w:ind w:left="5760" w:hanging="360"/>
      </w:pPr>
      <w:rPr>
        <w:rFonts w:ascii="Courier New" w:hAnsi="Courier New" w:hint="default"/>
      </w:rPr>
    </w:lvl>
    <w:lvl w:ilvl="8" w:tplc="AC84D46C" w:tentative="1">
      <w:start w:val="1"/>
      <w:numFmt w:val="bullet"/>
      <w:lvlText w:val=""/>
      <w:lvlJc w:val="left"/>
      <w:pPr>
        <w:ind w:left="6480" w:hanging="360"/>
      </w:pPr>
      <w:rPr>
        <w:rFonts w:ascii="Wingdings" w:hAnsi="Wingdings" w:hint="default"/>
      </w:rPr>
    </w:lvl>
  </w:abstractNum>
  <w:abstractNum w:abstractNumId="7" w15:restartNumberingAfterBreak="0">
    <w:nsid w:val="2AF69F33"/>
    <w:multiLevelType w:val="hybridMultilevel"/>
    <w:tmpl w:val="FFFFFFFF"/>
    <w:lvl w:ilvl="0" w:tplc="5C06A62C">
      <w:start w:val="1"/>
      <w:numFmt w:val="bullet"/>
      <w:lvlText w:val=""/>
      <w:lvlJc w:val="left"/>
      <w:pPr>
        <w:ind w:left="720" w:hanging="360"/>
      </w:pPr>
      <w:rPr>
        <w:rFonts w:ascii="Wingdings 3" w:hAnsi="Wingdings 3" w:hint="default"/>
      </w:rPr>
    </w:lvl>
    <w:lvl w:ilvl="1" w:tplc="85F0AA4A">
      <w:start w:val="1"/>
      <w:numFmt w:val="bullet"/>
      <w:lvlText w:val="o"/>
      <w:lvlJc w:val="left"/>
      <w:pPr>
        <w:ind w:left="1440" w:hanging="360"/>
      </w:pPr>
      <w:rPr>
        <w:rFonts w:ascii="Courier New" w:hAnsi="Courier New" w:hint="default"/>
      </w:rPr>
    </w:lvl>
    <w:lvl w:ilvl="2" w:tplc="4790AB3C">
      <w:start w:val="1"/>
      <w:numFmt w:val="bullet"/>
      <w:lvlText w:val=""/>
      <w:lvlJc w:val="left"/>
      <w:pPr>
        <w:ind w:left="2160" w:hanging="360"/>
      </w:pPr>
      <w:rPr>
        <w:rFonts w:ascii="Wingdings" w:hAnsi="Wingdings" w:hint="default"/>
      </w:rPr>
    </w:lvl>
    <w:lvl w:ilvl="3" w:tplc="93407E04">
      <w:start w:val="1"/>
      <w:numFmt w:val="bullet"/>
      <w:lvlText w:val=""/>
      <w:lvlJc w:val="left"/>
      <w:pPr>
        <w:ind w:left="2880" w:hanging="360"/>
      </w:pPr>
      <w:rPr>
        <w:rFonts w:ascii="Symbol" w:hAnsi="Symbol" w:hint="default"/>
      </w:rPr>
    </w:lvl>
    <w:lvl w:ilvl="4" w:tplc="E6A86E10">
      <w:start w:val="1"/>
      <w:numFmt w:val="bullet"/>
      <w:lvlText w:val="o"/>
      <w:lvlJc w:val="left"/>
      <w:pPr>
        <w:ind w:left="3600" w:hanging="360"/>
      </w:pPr>
      <w:rPr>
        <w:rFonts w:ascii="Courier New" w:hAnsi="Courier New" w:hint="default"/>
      </w:rPr>
    </w:lvl>
    <w:lvl w:ilvl="5" w:tplc="E7D695BC">
      <w:start w:val="1"/>
      <w:numFmt w:val="bullet"/>
      <w:lvlText w:val=""/>
      <w:lvlJc w:val="left"/>
      <w:pPr>
        <w:ind w:left="4320" w:hanging="360"/>
      </w:pPr>
      <w:rPr>
        <w:rFonts w:ascii="Wingdings" w:hAnsi="Wingdings" w:hint="default"/>
      </w:rPr>
    </w:lvl>
    <w:lvl w:ilvl="6" w:tplc="EE282C22">
      <w:start w:val="1"/>
      <w:numFmt w:val="bullet"/>
      <w:lvlText w:val=""/>
      <w:lvlJc w:val="left"/>
      <w:pPr>
        <w:ind w:left="5040" w:hanging="360"/>
      </w:pPr>
      <w:rPr>
        <w:rFonts w:ascii="Symbol" w:hAnsi="Symbol" w:hint="default"/>
      </w:rPr>
    </w:lvl>
    <w:lvl w:ilvl="7" w:tplc="95242C2C">
      <w:start w:val="1"/>
      <w:numFmt w:val="bullet"/>
      <w:lvlText w:val="o"/>
      <w:lvlJc w:val="left"/>
      <w:pPr>
        <w:ind w:left="5760" w:hanging="360"/>
      </w:pPr>
      <w:rPr>
        <w:rFonts w:ascii="Courier New" w:hAnsi="Courier New" w:hint="default"/>
      </w:rPr>
    </w:lvl>
    <w:lvl w:ilvl="8" w:tplc="1CCE7942">
      <w:start w:val="1"/>
      <w:numFmt w:val="bullet"/>
      <w:lvlText w:val=""/>
      <w:lvlJc w:val="left"/>
      <w:pPr>
        <w:ind w:left="6480" w:hanging="360"/>
      </w:pPr>
      <w:rPr>
        <w:rFonts w:ascii="Wingdings" w:hAnsi="Wingdings" w:hint="default"/>
      </w:rPr>
    </w:lvl>
  </w:abstractNum>
  <w:abstractNum w:abstractNumId="8" w15:restartNumberingAfterBreak="0">
    <w:nsid w:val="32AC2E62"/>
    <w:multiLevelType w:val="hybridMultilevel"/>
    <w:tmpl w:val="26780C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2DFFEC9"/>
    <w:multiLevelType w:val="hybridMultilevel"/>
    <w:tmpl w:val="FFFFFFFF"/>
    <w:lvl w:ilvl="0" w:tplc="BCCC92E2">
      <w:start w:val="1"/>
      <w:numFmt w:val="bullet"/>
      <w:lvlText w:val=""/>
      <w:lvlJc w:val="left"/>
      <w:pPr>
        <w:ind w:left="720" w:hanging="360"/>
      </w:pPr>
      <w:rPr>
        <w:rFonts w:ascii="Wingdings 3" w:hAnsi="Wingdings 3" w:hint="default"/>
      </w:rPr>
    </w:lvl>
    <w:lvl w:ilvl="1" w:tplc="87F080E0">
      <w:start w:val="1"/>
      <w:numFmt w:val="bullet"/>
      <w:lvlText w:val="o"/>
      <w:lvlJc w:val="left"/>
      <w:pPr>
        <w:ind w:left="1440" w:hanging="360"/>
      </w:pPr>
      <w:rPr>
        <w:rFonts w:ascii="Courier New" w:hAnsi="Courier New" w:hint="default"/>
      </w:rPr>
    </w:lvl>
    <w:lvl w:ilvl="2" w:tplc="92FC7240">
      <w:start w:val="1"/>
      <w:numFmt w:val="bullet"/>
      <w:lvlText w:val=""/>
      <w:lvlJc w:val="left"/>
      <w:pPr>
        <w:ind w:left="2160" w:hanging="360"/>
      </w:pPr>
      <w:rPr>
        <w:rFonts w:ascii="Wingdings" w:hAnsi="Wingdings" w:hint="default"/>
      </w:rPr>
    </w:lvl>
    <w:lvl w:ilvl="3" w:tplc="71460520">
      <w:start w:val="1"/>
      <w:numFmt w:val="bullet"/>
      <w:lvlText w:val=""/>
      <w:lvlJc w:val="left"/>
      <w:pPr>
        <w:ind w:left="2880" w:hanging="360"/>
      </w:pPr>
      <w:rPr>
        <w:rFonts w:ascii="Symbol" w:hAnsi="Symbol" w:hint="default"/>
      </w:rPr>
    </w:lvl>
    <w:lvl w:ilvl="4" w:tplc="05C8243C">
      <w:start w:val="1"/>
      <w:numFmt w:val="bullet"/>
      <w:lvlText w:val="o"/>
      <w:lvlJc w:val="left"/>
      <w:pPr>
        <w:ind w:left="3600" w:hanging="360"/>
      </w:pPr>
      <w:rPr>
        <w:rFonts w:ascii="Courier New" w:hAnsi="Courier New" w:hint="default"/>
      </w:rPr>
    </w:lvl>
    <w:lvl w:ilvl="5" w:tplc="5DFCEB96">
      <w:start w:val="1"/>
      <w:numFmt w:val="bullet"/>
      <w:lvlText w:val=""/>
      <w:lvlJc w:val="left"/>
      <w:pPr>
        <w:ind w:left="4320" w:hanging="360"/>
      </w:pPr>
      <w:rPr>
        <w:rFonts w:ascii="Wingdings" w:hAnsi="Wingdings" w:hint="default"/>
      </w:rPr>
    </w:lvl>
    <w:lvl w:ilvl="6" w:tplc="78F4C7E8">
      <w:start w:val="1"/>
      <w:numFmt w:val="bullet"/>
      <w:lvlText w:val=""/>
      <w:lvlJc w:val="left"/>
      <w:pPr>
        <w:ind w:left="5040" w:hanging="360"/>
      </w:pPr>
      <w:rPr>
        <w:rFonts w:ascii="Symbol" w:hAnsi="Symbol" w:hint="default"/>
      </w:rPr>
    </w:lvl>
    <w:lvl w:ilvl="7" w:tplc="ACE20FAC">
      <w:start w:val="1"/>
      <w:numFmt w:val="bullet"/>
      <w:lvlText w:val="o"/>
      <w:lvlJc w:val="left"/>
      <w:pPr>
        <w:ind w:left="5760" w:hanging="360"/>
      </w:pPr>
      <w:rPr>
        <w:rFonts w:ascii="Courier New" w:hAnsi="Courier New" w:hint="default"/>
      </w:rPr>
    </w:lvl>
    <w:lvl w:ilvl="8" w:tplc="8D1289F8">
      <w:start w:val="1"/>
      <w:numFmt w:val="bullet"/>
      <w:lvlText w:val=""/>
      <w:lvlJc w:val="left"/>
      <w:pPr>
        <w:ind w:left="6480" w:hanging="360"/>
      </w:pPr>
      <w:rPr>
        <w:rFonts w:ascii="Wingdings" w:hAnsi="Wingdings" w:hint="default"/>
      </w:rPr>
    </w:lvl>
  </w:abstractNum>
  <w:abstractNum w:abstractNumId="10" w15:restartNumberingAfterBreak="0">
    <w:nsid w:val="33F4A6F3"/>
    <w:multiLevelType w:val="hybridMultilevel"/>
    <w:tmpl w:val="FFFFFFFF"/>
    <w:lvl w:ilvl="0" w:tplc="2C2280B8">
      <w:start w:val="1"/>
      <w:numFmt w:val="bullet"/>
      <w:lvlText w:val=""/>
      <w:lvlJc w:val="left"/>
      <w:pPr>
        <w:ind w:left="720" w:hanging="360"/>
      </w:pPr>
      <w:rPr>
        <w:rFonts w:ascii="Symbol" w:hAnsi="Symbol" w:hint="default"/>
      </w:rPr>
    </w:lvl>
    <w:lvl w:ilvl="1" w:tplc="ABFC81DA">
      <w:start w:val="1"/>
      <w:numFmt w:val="bullet"/>
      <w:lvlText w:val="o"/>
      <w:lvlJc w:val="left"/>
      <w:pPr>
        <w:ind w:left="1440" w:hanging="360"/>
      </w:pPr>
      <w:rPr>
        <w:rFonts w:ascii="Courier New" w:hAnsi="Courier New" w:hint="default"/>
      </w:rPr>
    </w:lvl>
    <w:lvl w:ilvl="2" w:tplc="18B67394">
      <w:start w:val="1"/>
      <w:numFmt w:val="bullet"/>
      <w:lvlText w:val=""/>
      <w:lvlJc w:val="left"/>
      <w:pPr>
        <w:ind w:left="2160" w:hanging="360"/>
      </w:pPr>
      <w:rPr>
        <w:rFonts w:ascii="Wingdings" w:hAnsi="Wingdings" w:hint="default"/>
      </w:rPr>
    </w:lvl>
    <w:lvl w:ilvl="3" w:tplc="93DE15D2">
      <w:start w:val="1"/>
      <w:numFmt w:val="bullet"/>
      <w:lvlText w:val=""/>
      <w:lvlJc w:val="left"/>
      <w:pPr>
        <w:ind w:left="2880" w:hanging="360"/>
      </w:pPr>
      <w:rPr>
        <w:rFonts w:ascii="Symbol" w:hAnsi="Symbol" w:hint="default"/>
      </w:rPr>
    </w:lvl>
    <w:lvl w:ilvl="4" w:tplc="9774D1D2">
      <w:start w:val="1"/>
      <w:numFmt w:val="bullet"/>
      <w:lvlText w:val="o"/>
      <w:lvlJc w:val="left"/>
      <w:pPr>
        <w:ind w:left="3600" w:hanging="360"/>
      </w:pPr>
      <w:rPr>
        <w:rFonts w:ascii="Courier New" w:hAnsi="Courier New" w:hint="default"/>
      </w:rPr>
    </w:lvl>
    <w:lvl w:ilvl="5" w:tplc="10B8D82A">
      <w:start w:val="1"/>
      <w:numFmt w:val="bullet"/>
      <w:lvlText w:val=""/>
      <w:lvlJc w:val="left"/>
      <w:pPr>
        <w:ind w:left="4320" w:hanging="360"/>
      </w:pPr>
      <w:rPr>
        <w:rFonts w:ascii="Wingdings" w:hAnsi="Wingdings" w:hint="default"/>
      </w:rPr>
    </w:lvl>
    <w:lvl w:ilvl="6" w:tplc="71A6557C">
      <w:start w:val="1"/>
      <w:numFmt w:val="bullet"/>
      <w:lvlText w:val=""/>
      <w:lvlJc w:val="left"/>
      <w:pPr>
        <w:ind w:left="5040" w:hanging="360"/>
      </w:pPr>
      <w:rPr>
        <w:rFonts w:ascii="Symbol" w:hAnsi="Symbol" w:hint="default"/>
      </w:rPr>
    </w:lvl>
    <w:lvl w:ilvl="7" w:tplc="CF963E8C">
      <w:start w:val="1"/>
      <w:numFmt w:val="bullet"/>
      <w:lvlText w:val="o"/>
      <w:lvlJc w:val="left"/>
      <w:pPr>
        <w:ind w:left="5760" w:hanging="360"/>
      </w:pPr>
      <w:rPr>
        <w:rFonts w:ascii="Courier New" w:hAnsi="Courier New" w:hint="default"/>
      </w:rPr>
    </w:lvl>
    <w:lvl w:ilvl="8" w:tplc="09961964">
      <w:start w:val="1"/>
      <w:numFmt w:val="bullet"/>
      <w:lvlText w:val=""/>
      <w:lvlJc w:val="left"/>
      <w:pPr>
        <w:ind w:left="6480" w:hanging="360"/>
      </w:pPr>
      <w:rPr>
        <w:rFonts w:ascii="Wingdings" w:hAnsi="Wingdings" w:hint="default"/>
      </w:rPr>
    </w:lvl>
  </w:abstractNum>
  <w:abstractNum w:abstractNumId="11" w15:restartNumberingAfterBreak="0">
    <w:nsid w:val="34043299"/>
    <w:multiLevelType w:val="multilevel"/>
    <w:tmpl w:val="B536682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40473C9"/>
    <w:multiLevelType w:val="hybridMultilevel"/>
    <w:tmpl w:val="FFFFFFFF"/>
    <w:lvl w:ilvl="0" w:tplc="5CC2DA68">
      <w:start w:val="1"/>
      <w:numFmt w:val="bullet"/>
      <w:lvlText w:val=""/>
      <w:lvlJc w:val="left"/>
      <w:pPr>
        <w:ind w:left="720" w:hanging="360"/>
      </w:pPr>
      <w:rPr>
        <w:rFonts w:ascii="Symbol" w:hAnsi="Symbol" w:hint="default"/>
      </w:rPr>
    </w:lvl>
    <w:lvl w:ilvl="1" w:tplc="471A38BE">
      <w:start w:val="1"/>
      <w:numFmt w:val="bullet"/>
      <w:lvlText w:val="o"/>
      <w:lvlJc w:val="left"/>
      <w:pPr>
        <w:ind w:left="1440" w:hanging="360"/>
      </w:pPr>
      <w:rPr>
        <w:rFonts w:ascii="Courier New" w:hAnsi="Courier New" w:hint="default"/>
      </w:rPr>
    </w:lvl>
    <w:lvl w:ilvl="2" w:tplc="193A4992">
      <w:start w:val="1"/>
      <w:numFmt w:val="bullet"/>
      <w:lvlText w:val=""/>
      <w:lvlJc w:val="left"/>
      <w:pPr>
        <w:ind w:left="2160" w:hanging="360"/>
      </w:pPr>
      <w:rPr>
        <w:rFonts w:ascii="Wingdings" w:hAnsi="Wingdings" w:hint="default"/>
      </w:rPr>
    </w:lvl>
    <w:lvl w:ilvl="3" w:tplc="B82E5644">
      <w:start w:val="1"/>
      <w:numFmt w:val="bullet"/>
      <w:lvlText w:val=""/>
      <w:lvlJc w:val="left"/>
      <w:pPr>
        <w:ind w:left="2880" w:hanging="360"/>
      </w:pPr>
      <w:rPr>
        <w:rFonts w:ascii="Symbol" w:hAnsi="Symbol" w:hint="default"/>
      </w:rPr>
    </w:lvl>
    <w:lvl w:ilvl="4" w:tplc="FD48457A">
      <w:start w:val="1"/>
      <w:numFmt w:val="bullet"/>
      <w:lvlText w:val="o"/>
      <w:lvlJc w:val="left"/>
      <w:pPr>
        <w:ind w:left="3600" w:hanging="360"/>
      </w:pPr>
      <w:rPr>
        <w:rFonts w:ascii="Courier New" w:hAnsi="Courier New" w:hint="default"/>
      </w:rPr>
    </w:lvl>
    <w:lvl w:ilvl="5" w:tplc="CA36F422">
      <w:start w:val="1"/>
      <w:numFmt w:val="bullet"/>
      <w:lvlText w:val=""/>
      <w:lvlJc w:val="left"/>
      <w:pPr>
        <w:ind w:left="4320" w:hanging="360"/>
      </w:pPr>
      <w:rPr>
        <w:rFonts w:ascii="Wingdings" w:hAnsi="Wingdings" w:hint="default"/>
      </w:rPr>
    </w:lvl>
    <w:lvl w:ilvl="6" w:tplc="75907194">
      <w:start w:val="1"/>
      <w:numFmt w:val="bullet"/>
      <w:lvlText w:val=""/>
      <w:lvlJc w:val="left"/>
      <w:pPr>
        <w:ind w:left="5040" w:hanging="360"/>
      </w:pPr>
      <w:rPr>
        <w:rFonts w:ascii="Symbol" w:hAnsi="Symbol" w:hint="default"/>
      </w:rPr>
    </w:lvl>
    <w:lvl w:ilvl="7" w:tplc="9EFCB322">
      <w:start w:val="1"/>
      <w:numFmt w:val="bullet"/>
      <w:lvlText w:val="o"/>
      <w:lvlJc w:val="left"/>
      <w:pPr>
        <w:ind w:left="5760" w:hanging="360"/>
      </w:pPr>
      <w:rPr>
        <w:rFonts w:ascii="Courier New" w:hAnsi="Courier New" w:hint="default"/>
      </w:rPr>
    </w:lvl>
    <w:lvl w:ilvl="8" w:tplc="938CE324">
      <w:start w:val="1"/>
      <w:numFmt w:val="bullet"/>
      <w:lvlText w:val=""/>
      <w:lvlJc w:val="left"/>
      <w:pPr>
        <w:ind w:left="6480" w:hanging="360"/>
      </w:pPr>
      <w:rPr>
        <w:rFonts w:ascii="Wingdings" w:hAnsi="Wingdings" w:hint="default"/>
      </w:rPr>
    </w:lvl>
  </w:abstractNum>
  <w:abstractNum w:abstractNumId="13" w15:restartNumberingAfterBreak="0">
    <w:nsid w:val="3DF32948"/>
    <w:multiLevelType w:val="hybridMultilevel"/>
    <w:tmpl w:val="FFFFFFFF"/>
    <w:lvl w:ilvl="0" w:tplc="63C8477A">
      <w:start w:val="1"/>
      <w:numFmt w:val="bullet"/>
      <w:lvlText w:val=""/>
      <w:lvlJc w:val="left"/>
      <w:pPr>
        <w:ind w:left="720" w:hanging="360"/>
      </w:pPr>
      <w:rPr>
        <w:rFonts w:ascii="Wingdings 3" w:hAnsi="Wingdings 3" w:hint="default"/>
      </w:rPr>
    </w:lvl>
    <w:lvl w:ilvl="1" w:tplc="8E807098">
      <w:start w:val="1"/>
      <w:numFmt w:val="bullet"/>
      <w:lvlText w:val="o"/>
      <w:lvlJc w:val="left"/>
      <w:pPr>
        <w:ind w:left="1440" w:hanging="360"/>
      </w:pPr>
      <w:rPr>
        <w:rFonts w:ascii="Courier New" w:hAnsi="Courier New" w:hint="default"/>
      </w:rPr>
    </w:lvl>
    <w:lvl w:ilvl="2" w:tplc="E3A00BA4">
      <w:start w:val="1"/>
      <w:numFmt w:val="bullet"/>
      <w:lvlText w:val=""/>
      <w:lvlJc w:val="left"/>
      <w:pPr>
        <w:ind w:left="2160" w:hanging="360"/>
      </w:pPr>
      <w:rPr>
        <w:rFonts w:ascii="Wingdings" w:hAnsi="Wingdings" w:hint="default"/>
      </w:rPr>
    </w:lvl>
    <w:lvl w:ilvl="3" w:tplc="FF2E3442">
      <w:start w:val="1"/>
      <w:numFmt w:val="bullet"/>
      <w:lvlText w:val=""/>
      <w:lvlJc w:val="left"/>
      <w:pPr>
        <w:ind w:left="2880" w:hanging="360"/>
      </w:pPr>
      <w:rPr>
        <w:rFonts w:ascii="Symbol" w:hAnsi="Symbol" w:hint="default"/>
      </w:rPr>
    </w:lvl>
    <w:lvl w:ilvl="4" w:tplc="43822410">
      <w:start w:val="1"/>
      <w:numFmt w:val="bullet"/>
      <w:lvlText w:val="o"/>
      <w:lvlJc w:val="left"/>
      <w:pPr>
        <w:ind w:left="3600" w:hanging="360"/>
      </w:pPr>
      <w:rPr>
        <w:rFonts w:ascii="Courier New" w:hAnsi="Courier New" w:hint="default"/>
      </w:rPr>
    </w:lvl>
    <w:lvl w:ilvl="5" w:tplc="01E4C664">
      <w:start w:val="1"/>
      <w:numFmt w:val="bullet"/>
      <w:lvlText w:val=""/>
      <w:lvlJc w:val="left"/>
      <w:pPr>
        <w:ind w:left="4320" w:hanging="360"/>
      </w:pPr>
      <w:rPr>
        <w:rFonts w:ascii="Wingdings" w:hAnsi="Wingdings" w:hint="default"/>
      </w:rPr>
    </w:lvl>
    <w:lvl w:ilvl="6" w:tplc="846E1802">
      <w:start w:val="1"/>
      <w:numFmt w:val="bullet"/>
      <w:lvlText w:val=""/>
      <w:lvlJc w:val="left"/>
      <w:pPr>
        <w:ind w:left="5040" w:hanging="360"/>
      </w:pPr>
      <w:rPr>
        <w:rFonts w:ascii="Symbol" w:hAnsi="Symbol" w:hint="default"/>
      </w:rPr>
    </w:lvl>
    <w:lvl w:ilvl="7" w:tplc="7C5E7E5C">
      <w:start w:val="1"/>
      <w:numFmt w:val="bullet"/>
      <w:lvlText w:val="o"/>
      <w:lvlJc w:val="left"/>
      <w:pPr>
        <w:ind w:left="5760" w:hanging="360"/>
      </w:pPr>
      <w:rPr>
        <w:rFonts w:ascii="Courier New" w:hAnsi="Courier New" w:hint="default"/>
      </w:rPr>
    </w:lvl>
    <w:lvl w:ilvl="8" w:tplc="12B0310E">
      <w:start w:val="1"/>
      <w:numFmt w:val="bullet"/>
      <w:lvlText w:val=""/>
      <w:lvlJc w:val="left"/>
      <w:pPr>
        <w:ind w:left="6480" w:hanging="360"/>
      </w:pPr>
      <w:rPr>
        <w:rFonts w:ascii="Wingdings" w:hAnsi="Wingdings" w:hint="default"/>
      </w:rPr>
    </w:lvl>
  </w:abstractNum>
  <w:abstractNum w:abstractNumId="14" w15:restartNumberingAfterBreak="0">
    <w:nsid w:val="4D1C8E69"/>
    <w:multiLevelType w:val="hybridMultilevel"/>
    <w:tmpl w:val="FFFFFFFF"/>
    <w:lvl w:ilvl="0" w:tplc="A9A46FEA">
      <w:start w:val="1"/>
      <w:numFmt w:val="bullet"/>
      <w:lvlText w:val=""/>
      <w:lvlJc w:val="left"/>
      <w:pPr>
        <w:ind w:left="720" w:hanging="360"/>
      </w:pPr>
      <w:rPr>
        <w:rFonts w:ascii="Symbol" w:hAnsi="Symbol" w:hint="default"/>
      </w:rPr>
    </w:lvl>
    <w:lvl w:ilvl="1" w:tplc="C2001244">
      <w:start w:val="1"/>
      <w:numFmt w:val="bullet"/>
      <w:lvlText w:val="o"/>
      <w:lvlJc w:val="left"/>
      <w:pPr>
        <w:ind w:left="1440" w:hanging="360"/>
      </w:pPr>
      <w:rPr>
        <w:rFonts w:ascii="Courier New" w:hAnsi="Courier New" w:hint="default"/>
      </w:rPr>
    </w:lvl>
    <w:lvl w:ilvl="2" w:tplc="01E048BC">
      <w:start w:val="1"/>
      <w:numFmt w:val="bullet"/>
      <w:lvlText w:val=""/>
      <w:lvlJc w:val="left"/>
      <w:pPr>
        <w:ind w:left="2160" w:hanging="360"/>
      </w:pPr>
      <w:rPr>
        <w:rFonts w:ascii="Wingdings" w:hAnsi="Wingdings" w:hint="default"/>
      </w:rPr>
    </w:lvl>
    <w:lvl w:ilvl="3" w:tplc="D6E838B0">
      <w:start w:val="1"/>
      <w:numFmt w:val="bullet"/>
      <w:lvlText w:val=""/>
      <w:lvlJc w:val="left"/>
      <w:pPr>
        <w:ind w:left="2880" w:hanging="360"/>
      </w:pPr>
      <w:rPr>
        <w:rFonts w:ascii="Symbol" w:hAnsi="Symbol" w:hint="default"/>
      </w:rPr>
    </w:lvl>
    <w:lvl w:ilvl="4" w:tplc="08D88A1A">
      <w:start w:val="1"/>
      <w:numFmt w:val="bullet"/>
      <w:lvlText w:val="o"/>
      <w:lvlJc w:val="left"/>
      <w:pPr>
        <w:ind w:left="3600" w:hanging="360"/>
      </w:pPr>
      <w:rPr>
        <w:rFonts w:ascii="Courier New" w:hAnsi="Courier New" w:hint="default"/>
      </w:rPr>
    </w:lvl>
    <w:lvl w:ilvl="5" w:tplc="8402AEBE">
      <w:start w:val="1"/>
      <w:numFmt w:val="bullet"/>
      <w:lvlText w:val=""/>
      <w:lvlJc w:val="left"/>
      <w:pPr>
        <w:ind w:left="4320" w:hanging="360"/>
      </w:pPr>
      <w:rPr>
        <w:rFonts w:ascii="Wingdings" w:hAnsi="Wingdings" w:hint="default"/>
      </w:rPr>
    </w:lvl>
    <w:lvl w:ilvl="6" w:tplc="269483B6">
      <w:start w:val="1"/>
      <w:numFmt w:val="bullet"/>
      <w:lvlText w:val=""/>
      <w:lvlJc w:val="left"/>
      <w:pPr>
        <w:ind w:left="5040" w:hanging="360"/>
      </w:pPr>
      <w:rPr>
        <w:rFonts w:ascii="Symbol" w:hAnsi="Symbol" w:hint="default"/>
      </w:rPr>
    </w:lvl>
    <w:lvl w:ilvl="7" w:tplc="7D4EB50A">
      <w:start w:val="1"/>
      <w:numFmt w:val="bullet"/>
      <w:lvlText w:val="o"/>
      <w:lvlJc w:val="left"/>
      <w:pPr>
        <w:ind w:left="5760" w:hanging="360"/>
      </w:pPr>
      <w:rPr>
        <w:rFonts w:ascii="Courier New" w:hAnsi="Courier New" w:hint="default"/>
      </w:rPr>
    </w:lvl>
    <w:lvl w:ilvl="8" w:tplc="B3182736">
      <w:start w:val="1"/>
      <w:numFmt w:val="bullet"/>
      <w:lvlText w:val=""/>
      <w:lvlJc w:val="left"/>
      <w:pPr>
        <w:ind w:left="6480" w:hanging="360"/>
      </w:pPr>
      <w:rPr>
        <w:rFonts w:ascii="Wingdings" w:hAnsi="Wingdings" w:hint="default"/>
      </w:rPr>
    </w:lvl>
  </w:abstractNum>
  <w:abstractNum w:abstractNumId="15" w15:restartNumberingAfterBreak="0">
    <w:nsid w:val="4E497040"/>
    <w:multiLevelType w:val="hybridMultilevel"/>
    <w:tmpl w:val="FFFFFFFF"/>
    <w:lvl w:ilvl="0" w:tplc="087AA062">
      <w:start w:val="1"/>
      <w:numFmt w:val="bullet"/>
      <w:lvlText w:val=""/>
      <w:lvlJc w:val="left"/>
      <w:pPr>
        <w:ind w:left="720" w:hanging="360"/>
      </w:pPr>
      <w:rPr>
        <w:rFonts w:ascii="Symbol" w:hAnsi="Symbol" w:hint="default"/>
      </w:rPr>
    </w:lvl>
    <w:lvl w:ilvl="1" w:tplc="5EFA2508">
      <w:start w:val="1"/>
      <w:numFmt w:val="bullet"/>
      <w:lvlText w:val="o"/>
      <w:lvlJc w:val="left"/>
      <w:pPr>
        <w:ind w:left="1440" w:hanging="360"/>
      </w:pPr>
      <w:rPr>
        <w:rFonts w:ascii="Courier New" w:hAnsi="Courier New" w:hint="default"/>
      </w:rPr>
    </w:lvl>
    <w:lvl w:ilvl="2" w:tplc="05865902">
      <w:start w:val="1"/>
      <w:numFmt w:val="bullet"/>
      <w:lvlText w:val=""/>
      <w:lvlJc w:val="left"/>
      <w:pPr>
        <w:ind w:left="2160" w:hanging="360"/>
      </w:pPr>
      <w:rPr>
        <w:rFonts w:ascii="Wingdings" w:hAnsi="Wingdings" w:hint="default"/>
      </w:rPr>
    </w:lvl>
    <w:lvl w:ilvl="3" w:tplc="20106152">
      <w:start w:val="1"/>
      <w:numFmt w:val="bullet"/>
      <w:lvlText w:val=""/>
      <w:lvlJc w:val="left"/>
      <w:pPr>
        <w:ind w:left="2880" w:hanging="360"/>
      </w:pPr>
      <w:rPr>
        <w:rFonts w:ascii="Symbol" w:hAnsi="Symbol" w:hint="default"/>
      </w:rPr>
    </w:lvl>
    <w:lvl w:ilvl="4" w:tplc="E7BCA082">
      <w:start w:val="1"/>
      <w:numFmt w:val="bullet"/>
      <w:lvlText w:val="o"/>
      <w:lvlJc w:val="left"/>
      <w:pPr>
        <w:ind w:left="3600" w:hanging="360"/>
      </w:pPr>
      <w:rPr>
        <w:rFonts w:ascii="Courier New" w:hAnsi="Courier New" w:hint="default"/>
      </w:rPr>
    </w:lvl>
    <w:lvl w:ilvl="5" w:tplc="45289B80">
      <w:start w:val="1"/>
      <w:numFmt w:val="bullet"/>
      <w:lvlText w:val=""/>
      <w:lvlJc w:val="left"/>
      <w:pPr>
        <w:ind w:left="4320" w:hanging="360"/>
      </w:pPr>
      <w:rPr>
        <w:rFonts w:ascii="Wingdings" w:hAnsi="Wingdings" w:hint="default"/>
      </w:rPr>
    </w:lvl>
    <w:lvl w:ilvl="6" w:tplc="F2DC7044">
      <w:start w:val="1"/>
      <w:numFmt w:val="bullet"/>
      <w:lvlText w:val=""/>
      <w:lvlJc w:val="left"/>
      <w:pPr>
        <w:ind w:left="5040" w:hanging="360"/>
      </w:pPr>
      <w:rPr>
        <w:rFonts w:ascii="Symbol" w:hAnsi="Symbol" w:hint="default"/>
      </w:rPr>
    </w:lvl>
    <w:lvl w:ilvl="7" w:tplc="4FDCFAF0">
      <w:start w:val="1"/>
      <w:numFmt w:val="bullet"/>
      <w:lvlText w:val="o"/>
      <w:lvlJc w:val="left"/>
      <w:pPr>
        <w:ind w:left="5760" w:hanging="360"/>
      </w:pPr>
      <w:rPr>
        <w:rFonts w:ascii="Courier New" w:hAnsi="Courier New" w:hint="default"/>
      </w:rPr>
    </w:lvl>
    <w:lvl w:ilvl="8" w:tplc="529A72F4">
      <w:start w:val="1"/>
      <w:numFmt w:val="bullet"/>
      <w:lvlText w:val=""/>
      <w:lvlJc w:val="left"/>
      <w:pPr>
        <w:ind w:left="6480" w:hanging="360"/>
      </w:pPr>
      <w:rPr>
        <w:rFonts w:ascii="Wingdings" w:hAnsi="Wingdings" w:hint="default"/>
      </w:rPr>
    </w:lvl>
  </w:abstractNum>
  <w:abstractNum w:abstractNumId="16" w15:restartNumberingAfterBreak="0">
    <w:nsid w:val="54CE2E5F"/>
    <w:multiLevelType w:val="hybridMultilevel"/>
    <w:tmpl w:val="15DE51BE"/>
    <w:lvl w:ilvl="0" w:tplc="FFFFFFFF">
      <w:start w:val="1"/>
      <w:numFmt w:val="bullet"/>
      <w:pStyle w:val="Bullets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D8E7C9D"/>
    <w:multiLevelType w:val="hybridMultilevel"/>
    <w:tmpl w:val="FFFFFFFF"/>
    <w:lvl w:ilvl="0" w:tplc="BB4CFBD0">
      <w:start w:val="1"/>
      <w:numFmt w:val="bullet"/>
      <w:lvlText w:val=""/>
      <w:lvlJc w:val="left"/>
      <w:pPr>
        <w:ind w:left="720" w:hanging="360"/>
      </w:pPr>
      <w:rPr>
        <w:rFonts w:ascii="Symbol" w:hAnsi="Symbol" w:hint="default"/>
      </w:rPr>
    </w:lvl>
    <w:lvl w:ilvl="1" w:tplc="1CECDC1C">
      <w:start w:val="1"/>
      <w:numFmt w:val="bullet"/>
      <w:lvlText w:val="o"/>
      <w:lvlJc w:val="left"/>
      <w:pPr>
        <w:ind w:left="1440" w:hanging="360"/>
      </w:pPr>
      <w:rPr>
        <w:rFonts w:ascii="Courier New" w:hAnsi="Courier New" w:hint="default"/>
      </w:rPr>
    </w:lvl>
    <w:lvl w:ilvl="2" w:tplc="DF00B4FE">
      <w:start w:val="1"/>
      <w:numFmt w:val="bullet"/>
      <w:lvlText w:val=""/>
      <w:lvlJc w:val="left"/>
      <w:pPr>
        <w:ind w:left="2160" w:hanging="360"/>
      </w:pPr>
      <w:rPr>
        <w:rFonts w:ascii="Wingdings" w:hAnsi="Wingdings" w:hint="default"/>
      </w:rPr>
    </w:lvl>
    <w:lvl w:ilvl="3" w:tplc="19D08B92">
      <w:start w:val="1"/>
      <w:numFmt w:val="bullet"/>
      <w:lvlText w:val=""/>
      <w:lvlJc w:val="left"/>
      <w:pPr>
        <w:ind w:left="2880" w:hanging="360"/>
      </w:pPr>
      <w:rPr>
        <w:rFonts w:ascii="Symbol" w:hAnsi="Symbol" w:hint="default"/>
      </w:rPr>
    </w:lvl>
    <w:lvl w:ilvl="4" w:tplc="E654B468">
      <w:start w:val="1"/>
      <w:numFmt w:val="bullet"/>
      <w:lvlText w:val="o"/>
      <w:lvlJc w:val="left"/>
      <w:pPr>
        <w:ind w:left="3600" w:hanging="360"/>
      </w:pPr>
      <w:rPr>
        <w:rFonts w:ascii="Courier New" w:hAnsi="Courier New" w:hint="default"/>
      </w:rPr>
    </w:lvl>
    <w:lvl w:ilvl="5" w:tplc="8E028C60">
      <w:start w:val="1"/>
      <w:numFmt w:val="bullet"/>
      <w:lvlText w:val=""/>
      <w:lvlJc w:val="left"/>
      <w:pPr>
        <w:ind w:left="4320" w:hanging="360"/>
      </w:pPr>
      <w:rPr>
        <w:rFonts w:ascii="Wingdings" w:hAnsi="Wingdings" w:hint="default"/>
      </w:rPr>
    </w:lvl>
    <w:lvl w:ilvl="6" w:tplc="D2B64572">
      <w:start w:val="1"/>
      <w:numFmt w:val="bullet"/>
      <w:lvlText w:val=""/>
      <w:lvlJc w:val="left"/>
      <w:pPr>
        <w:ind w:left="5040" w:hanging="360"/>
      </w:pPr>
      <w:rPr>
        <w:rFonts w:ascii="Symbol" w:hAnsi="Symbol" w:hint="default"/>
      </w:rPr>
    </w:lvl>
    <w:lvl w:ilvl="7" w:tplc="A9EA1882">
      <w:start w:val="1"/>
      <w:numFmt w:val="bullet"/>
      <w:lvlText w:val="o"/>
      <w:lvlJc w:val="left"/>
      <w:pPr>
        <w:ind w:left="5760" w:hanging="360"/>
      </w:pPr>
      <w:rPr>
        <w:rFonts w:ascii="Courier New" w:hAnsi="Courier New" w:hint="default"/>
      </w:rPr>
    </w:lvl>
    <w:lvl w:ilvl="8" w:tplc="7BA4D032">
      <w:start w:val="1"/>
      <w:numFmt w:val="bullet"/>
      <w:lvlText w:val=""/>
      <w:lvlJc w:val="left"/>
      <w:pPr>
        <w:ind w:left="6480" w:hanging="360"/>
      </w:pPr>
      <w:rPr>
        <w:rFonts w:ascii="Wingdings" w:hAnsi="Wingdings" w:hint="default"/>
      </w:rPr>
    </w:lvl>
  </w:abstractNum>
  <w:abstractNum w:abstractNumId="18" w15:restartNumberingAfterBreak="0">
    <w:nsid w:val="5E912BA9"/>
    <w:multiLevelType w:val="multilevel"/>
    <w:tmpl w:val="5DFCE27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0F72486"/>
    <w:multiLevelType w:val="multilevel"/>
    <w:tmpl w:val="BA40CB0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D2611F1"/>
    <w:multiLevelType w:val="multilevel"/>
    <w:tmpl w:val="EC0C4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7E1EFF49"/>
    <w:multiLevelType w:val="hybridMultilevel"/>
    <w:tmpl w:val="FFFFFFFF"/>
    <w:lvl w:ilvl="0" w:tplc="CE540D8E">
      <w:start w:val="1"/>
      <w:numFmt w:val="bullet"/>
      <w:lvlText w:val=""/>
      <w:lvlJc w:val="left"/>
      <w:pPr>
        <w:ind w:left="720" w:hanging="360"/>
      </w:pPr>
      <w:rPr>
        <w:rFonts w:ascii="Symbol" w:hAnsi="Symbol" w:hint="default"/>
      </w:rPr>
    </w:lvl>
    <w:lvl w:ilvl="1" w:tplc="3C74B57E">
      <w:start w:val="1"/>
      <w:numFmt w:val="bullet"/>
      <w:lvlText w:val="o"/>
      <w:lvlJc w:val="left"/>
      <w:pPr>
        <w:ind w:left="1440" w:hanging="360"/>
      </w:pPr>
      <w:rPr>
        <w:rFonts w:ascii="Symbol" w:hAnsi="Symbol" w:hint="default"/>
      </w:rPr>
    </w:lvl>
    <w:lvl w:ilvl="2" w:tplc="559254B0">
      <w:start w:val="1"/>
      <w:numFmt w:val="bullet"/>
      <w:lvlText w:val=""/>
      <w:lvlJc w:val="left"/>
      <w:pPr>
        <w:ind w:left="2160" w:hanging="360"/>
      </w:pPr>
      <w:rPr>
        <w:rFonts w:ascii="Wingdings" w:hAnsi="Wingdings" w:hint="default"/>
      </w:rPr>
    </w:lvl>
    <w:lvl w:ilvl="3" w:tplc="7D5CA124">
      <w:start w:val="1"/>
      <w:numFmt w:val="bullet"/>
      <w:lvlText w:val=""/>
      <w:lvlJc w:val="left"/>
      <w:pPr>
        <w:ind w:left="2880" w:hanging="360"/>
      </w:pPr>
      <w:rPr>
        <w:rFonts w:ascii="Symbol" w:hAnsi="Symbol" w:hint="default"/>
      </w:rPr>
    </w:lvl>
    <w:lvl w:ilvl="4" w:tplc="5C20BDFC">
      <w:start w:val="1"/>
      <w:numFmt w:val="bullet"/>
      <w:lvlText w:val="o"/>
      <w:lvlJc w:val="left"/>
      <w:pPr>
        <w:ind w:left="3600" w:hanging="360"/>
      </w:pPr>
      <w:rPr>
        <w:rFonts w:ascii="Courier New" w:hAnsi="Courier New" w:hint="default"/>
      </w:rPr>
    </w:lvl>
    <w:lvl w:ilvl="5" w:tplc="2526815A">
      <w:start w:val="1"/>
      <w:numFmt w:val="bullet"/>
      <w:lvlText w:val=""/>
      <w:lvlJc w:val="left"/>
      <w:pPr>
        <w:ind w:left="4320" w:hanging="360"/>
      </w:pPr>
      <w:rPr>
        <w:rFonts w:ascii="Wingdings" w:hAnsi="Wingdings" w:hint="default"/>
      </w:rPr>
    </w:lvl>
    <w:lvl w:ilvl="6" w:tplc="F3B05AB2">
      <w:start w:val="1"/>
      <w:numFmt w:val="bullet"/>
      <w:lvlText w:val=""/>
      <w:lvlJc w:val="left"/>
      <w:pPr>
        <w:ind w:left="5040" w:hanging="360"/>
      </w:pPr>
      <w:rPr>
        <w:rFonts w:ascii="Symbol" w:hAnsi="Symbol" w:hint="default"/>
      </w:rPr>
    </w:lvl>
    <w:lvl w:ilvl="7" w:tplc="C1A4425A">
      <w:start w:val="1"/>
      <w:numFmt w:val="bullet"/>
      <w:lvlText w:val="o"/>
      <w:lvlJc w:val="left"/>
      <w:pPr>
        <w:ind w:left="5760" w:hanging="360"/>
      </w:pPr>
      <w:rPr>
        <w:rFonts w:ascii="Courier New" w:hAnsi="Courier New" w:hint="default"/>
      </w:rPr>
    </w:lvl>
    <w:lvl w:ilvl="8" w:tplc="CE0C57DE">
      <w:start w:val="1"/>
      <w:numFmt w:val="bullet"/>
      <w:lvlText w:val=""/>
      <w:lvlJc w:val="left"/>
      <w:pPr>
        <w:ind w:left="6480" w:hanging="360"/>
      </w:pPr>
      <w:rPr>
        <w:rFonts w:ascii="Wingdings" w:hAnsi="Wingdings" w:hint="default"/>
      </w:rPr>
    </w:lvl>
  </w:abstractNum>
  <w:num w:numId="1" w16cid:durableId="110367031">
    <w:abstractNumId w:val="15"/>
  </w:num>
  <w:num w:numId="2" w16cid:durableId="415899851">
    <w:abstractNumId w:val="10"/>
  </w:num>
  <w:num w:numId="3" w16cid:durableId="192691118">
    <w:abstractNumId w:val="17"/>
  </w:num>
  <w:num w:numId="4" w16cid:durableId="1451315870">
    <w:abstractNumId w:val="12"/>
  </w:num>
  <w:num w:numId="5" w16cid:durableId="398862721">
    <w:abstractNumId w:val="14"/>
  </w:num>
  <w:num w:numId="6" w16cid:durableId="1616329992">
    <w:abstractNumId w:val="21"/>
  </w:num>
  <w:num w:numId="7" w16cid:durableId="2035376681">
    <w:abstractNumId w:val="13"/>
  </w:num>
  <w:num w:numId="8" w16cid:durableId="1295600731">
    <w:abstractNumId w:val="9"/>
  </w:num>
  <w:num w:numId="9" w16cid:durableId="2001304944">
    <w:abstractNumId w:val="7"/>
  </w:num>
  <w:num w:numId="10" w16cid:durableId="516433392">
    <w:abstractNumId w:val="16"/>
  </w:num>
  <w:num w:numId="11" w16cid:durableId="1853059851">
    <w:abstractNumId w:val="8"/>
  </w:num>
  <w:num w:numId="12" w16cid:durableId="2000772392">
    <w:abstractNumId w:val="2"/>
  </w:num>
  <w:num w:numId="13" w16cid:durableId="1805584611">
    <w:abstractNumId w:val="6"/>
  </w:num>
  <w:num w:numId="14" w16cid:durableId="143395631">
    <w:abstractNumId w:val="1"/>
  </w:num>
  <w:num w:numId="15" w16cid:durableId="147402359">
    <w:abstractNumId w:val="5"/>
  </w:num>
  <w:num w:numId="16" w16cid:durableId="866674964">
    <w:abstractNumId w:val="20"/>
  </w:num>
  <w:num w:numId="17" w16cid:durableId="1676227101">
    <w:abstractNumId w:val="3"/>
  </w:num>
  <w:num w:numId="18" w16cid:durableId="91122895">
    <w:abstractNumId w:val="19"/>
  </w:num>
  <w:num w:numId="19" w16cid:durableId="1251547029">
    <w:abstractNumId w:val="4"/>
  </w:num>
  <w:num w:numId="20" w16cid:durableId="1550192921">
    <w:abstractNumId w:val="11"/>
  </w:num>
  <w:num w:numId="21" w16cid:durableId="208421832">
    <w:abstractNumId w:val="18"/>
  </w:num>
  <w:num w:numId="22" w16cid:durableId="346298172">
    <w:abstractNumId w:val="0"/>
  </w:num>
  <w:numIdMacAtCleanup w:val="9"/>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ndrew McClary">
    <w15:presenceInfo w15:providerId="AD" w15:userId="S::AMcClary@trpa.gov::3ddcd568-0cd4-4d55-a80f-ae2e85928ff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jQ1MjUzMzQzszA3NjNQ0lEKTi0uzszPAykwNK4FADF9ZnctAAAA"/>
  </w:docVars>
  <w:rsids>
    <w:rsidRoot w:val="00BC64A2"/>
    <w:rsid w:val="00000881"/>
    <w:rsid w:val="00000AA3"/>
    <w:rsid w:val="0000134E"/>
    <w:rsid w:val="000069DD"/>
    <w:rsid w:val="00010103"/>
    <w:rsid w:val="00010432"/>
    <w:rsid w:val="00010A2D"/>
    <w:rsid w:val="00012033"/>
    <w:rsid w:val="0001332B"/>
    <w:rsid w:val="0001389F"/>
    <w:rsid w:val="0001439E"/>
    <w:rsid w:val="00015530"/>
    <w:rsid w:val="00015CB2"/>
    <w:rsid w:val="00016E97"/>
    <w:rsid w:val="00017529"/>
    <w:rsid w:val="00017A89"/>
    <w:rsid w:val="000243EE"/>
    <w:rsid w:val="00026E64"/>
    <w:rsid w:val="00027501"/>
    <w:rsid w:val="000308D0"/>
    <w:rsid w:val="000315AB"/>
    <w:rsid w:val="00032676"/>
    <w:rsid w:val="00032BD7"/>
    <w:rsid w:val="00032C6F"/>
    <w:rsid w:val="00032ED9"/>
    <w:rsid w:val="00033B0F"/>
    <w:rsid w:val="00034DA0"/>
    <w:rsid w:val="0003631D"/>
    <w:rsid w:val="000365D7"/>
    <w:rsid w:val="00036B80"/>
    <w:rsid w:val="00036E4C"/>
    <w:rsid w:val="00037759"/>
    <w:rsid w:val="00037AAD"/>
    <w:rsid w:val="000401F5"/>
    <w:rsid w:val="00040385"/>
    <w:rsid w:val="000437D0"/>
    <w:rsid w:val="00043B1A"/>
    <w:rsid w:val="00043C15"/>
    <w:rsid w:val="000450FE"/>
    <w:rsid w:val="0004706D"/>
    <w:rsid w:val="000530A5"/>
    <w:rsid w:val="000535A2"/>
    <w:rsid w:val="00053ED5"/>
    <w:rsid w:val="0005461D"/>
    <w:rsid w:val="00054F09"/>
    <w:rsid w:val="000552AD"/>
    <w:rsid w:val="00057997"/>
    <w:rsid w:val="00057FB6"/>
    <w:rsid w:val="00060071"/>
    <w:rsid w:val="000605CF"/>
    <w:rsid w:val="00060B57"/>
    <w:rsid w:val="000613A4"/>
    <w:rsid w:val="000631EA"/>
    <w:rsid w:val="00063750"/>
    <w:rsid w:val="00064E97"/>
    <w:rsid w:val="000652F9"/>
    <w:rsid w:val="00065CB0"/>
    <w:rsid w:val="0006626C"/>
    <w:rsid w:val="0007090A"/>
    <w:rsid w:val="00070CB9"/>
    <w:rsid w:val="0007337B"/>
    <w:rsid w:val="000739C3"/>
    <w:rsid w:val="000740A9"/>
    <w:rsid w:val="0007557D"/>
    <w:rsid w:val="00075D7B"/>
    <w:rsid w:val="000822AB"/>
    <w:rsid w:val="00083C3F"/>
    <w:rsid w:val="000843FE"/>
    <w:rsid w:val="00085B05"/>
    <w:rsid w:val="00085B68"/>
    <w:rsid w:val="00086A29"/>
    <w:rsid w:val="00087B1B"/>
    <w:rsid w:val="00087BC2"/>
    <w:rsid w:val="000905D3"/>
    <w:rsid w:val="000918DC"/>
    <w:rsid w:val="00092CE1"/>
    <w:rsid w:val="00093DB4"/>
    <w:rsid w:val="00094812"/>
    <w:rsid w:val="00094A3F"/>
    <w:rsid w:val="00094D44"/>
    <w:rsid w:val="00096A3E"/>
    <w:rsid w:val="00096EF3"/>
    <w:rsid w:val="000A0870"/>
    <w:rsid w:val="000A336A"/>
    <w:rsid w:val="000A3BF1"/>
    <w:rsid w:val="000A5063"/>
    <w:rsid w:val="000A610A"/>
    <w:rsid w:val="000A7826"/>
    <w:rsid w:val="000B068D"/>
    <w:rsid w:val="000B1364"/>
    <w:rsid w:val="000B1590"/>
    <w:rsid w:val="000B22DB"/>
    <w:rsid w:val="000B398A"/>
    <w:rsid w:val="000B50E7"/>
    <w:rsid w:val="000B52DC"/>
    <w:rsid w:val="000B79D8"/>
    <w:rsid w:val="000C0535"/>
    <w:rsid w:val="000C09AB"/>
    <w:rsid w:val="000C4643"/>
    <w:rsid w:val="000C6405"/>
    <w:rsid w:val="000D1494"/>
    <w:rsid w:val="000D1CB1"/>
    <w:rsid w:val="000D1F78"/>
    <w:rsid w:val="000D2366"/>
    <w:rsid w:val="000D27B1"/>
    <w:rsid w:val="000D2D34"/>
    <w:rsid w:val="000D306C"/>
    <w:rsid w:val="000D4107"/>
    <w:rsid w:val="000D62AD"/>
    <w:rsid w:val="000D6F38"/>
    <w:rsid w:val="000E051E"/>
    <w:rsid w:val="000E0B31"/>
    <w:rsid w:val="000E214A"/>
    <w:rsid w:val="000E27C8"/>
    <w:rsid w:val="000E3D6A"/>
    <w:rsid w:val="000E56B8"/>
    <w:rsid w:val="000E5C40"/>
    <w:rsid w:val="000E79DA"/>
    <w:rsid w:val="000F0132"/>
    <w:rsid w:val="000F0471"/>
    <w:rsid w:val="000F1337"/>
    <w:rsid w:val="000F17D6"/>
    <w:rsid w:val="000F396B"/>
    <w:rsid w:val="000F4A00"/>
    <w:rsid w:val="000F533A"/>
    <w:rsid w:val="000F6F83"/>
    <w:rsid w:val="000F7D68"/>
    <w:rsid w:val="000F7D93"/>
    <w:rsid w:val="0010280A"/>
    <w:rsid w:val="0010329A"/>
    <w:rsid w:val="00103C2B"/>
    <w:rsid w:val="00104AA1"/>
    <w:rsid w:val="0010591F"/>
    <w:rsid w:val="00105D2A"/>
    <w:rsid w:val="00105EDC"/>
    <w:rsid w:val="001064F5"/>
    <w:rsid w:val="0011114D"/>
    <w:rsid w:val="00111652"/>
    <w:rsid w:val="001131D5"/>
    <w:rsid w:val="0011381C"/>
    <w:rsid w:val="00116CA5"/>
    <w:rsid w:val="00117945"/>
    <w:rsid w:val="00120034"/>
    <w:rsid w:val="00122A84"/>
    <w:rsid w:val="00123055"/>
    <w:rsid w:val="001233CE"/>
    <w:rsid w:val="00126982"/>
    <w:rsid w:val="00127B96"/>
    <w:rsid w:val="00127BB4"/>
    <w:rsid w:val="00127FF9"/>
    <w:rsid w:val="00130D5B"/>
    <w:rsid w:val="0013139F"/>
    <w:rsid w:val="001347F2"/>
    <w:rsid w:val="00134853"/>
    <w:rsid w:val="001356AC"/>
    <w:rsid w:val="00135B7C"/>
    <w:rsid w:val="001367B2"/>
    <w:rsid w:val="00141F5D"/>
    <w:rsid w:val="00143941"/>
    <w:rsid w:val="00144BF3"/>
    <w:rsid w:val="00144D86"/>
    <w:rsid w:val="00145029"/>
    <w:rsid w:val="0014506B"/>
    <w:rsid w:val="00145A2B"/>
    <w:rsid w:val="0014696D"/>
    <w:rsid w:val="00153336"/>
    <w:rsid w:val="00153B85"/>
    <w:rsid w:val="0015711F"/>
    <w:rsid w:val="00160BE7"/>
    <w:rsid w:val="00160DB7"/>
    <w:rsid w:val="00161D2D"/>
    <w:rsid w:val="00163FBB"/>
    <w:rsid w:val="00164456"/>
    <w:rsid w:val="00166F76"/>
    <w:rsid w:val="00166F79"/>
    <w:rsid w:val="00167DAC"/>
    <w:rsid w:val="00171A0C"/>
    <w:rsid w:val="00173E66"/>
    <w:rsid w:val="00174808"/>
    <w:rsid w:val="0017641A"/>
    <w:rsid w:val="00180736"/>
    <w:rsid w:val="00181548"/>
    <w:rsid w:val="001815D6"/>
    <w:rsid w:val="0018330F"/>
    <w:rsid w:val="00186456"/>
    <w:rsid w:val="00186A39"/>
    <w:rsid w:val="0018765C"/>
    <w:rsid w:val="001878F5"/>
    <w:rsid w:val="00190663"/>
    <w:rsid w:val="00193D70"/>
    <w:rsid w:val="001950F6"/>
    <w:rsid w:val="00195CF6"/>
    <w:rsid w:val="001967CA"/>
    <w:rsid w:val="001A0B83"/>
    <w:rsid w:val="001A40A3"/>
    <w:rsid w:val="001A4E95"/>
    <w:rsid w:val="001A5DBD"/>
    <w:rsid w:val="001A67B2"/>
    <w:rsid w:val="001A6A69"/>
    <w:rsid w:val="001A7158"/>
    <w:rsid w:val="001A7613"/>
    <w:rsid w:val="001A7C26"/>
    <w:rsid w:val="001A7F85"/>
    <w:rsid w:val="001B1764"/>
    <w:rsid w:val="001B1AEF"/>
    <w:rsid w:val="001B2718"/>
    <w:rsid w:val="001B2AE4"/>
    <w:rsid w:val="001B363C"/>
    <w:rsid w:val="001B3B8E"/>
    <w:rsid w:val="001B4A23"/>
    <w:rsid w:val="001C24CF"/>
    <w:rsid w:val="001C38C4"/>
    <w:rsid w:val="001C5622"/>
    <w:rsid w:val="001C5E6B"/>
    <w:rsid w:val="001C77D1"/>
    <w:rsid w:val="001D1F95"/>
    <w:rsid w:val="001D26D6"/>
    <w:rsid w:val="001D32E3"/>
    <w:rsid w:val="001D3F13"/>
    <w:rsid w:val="001D3F36"/>
    <w:rsid w:val="001D45B1"/>
    <w:rsid w:val="001D469E"/>
    <w:rsid w:val="001D481D"/>
    <w:rsid w:val="001D5834"/>
    <w:rsid w:val="001D5A3C"/>
    <w:rsid w:val="001D5A45"/>
    <w:rsid w:val="001D6EE7"/>
    <w:rsid w:val="001E0B9F"/>
    <w:rsid w:val="001E0BD5"/>
    <w:rsid w:val="001E0CCC"/>
    <w:rsid w:val="001E2F20"/>
    <w:rsid w:val="001E4E66"/>
    <w:rsid w:val="001E7180"/>
    <w:rsid w:val="001F0DA5"/>
    <w:rsid w:val="001F14B0"/>
    <w:rsid w:val="001F1761"/>
    <w:rsid w:val="001F1802"/>
    <w:rsid w:val="001F1864"/>
    <w:rsid w:val="001F1FEE"/>
    <w:rsid w:val="001F30E4"/>
    <w:rsid w:val="001F4276"/>
    <w:rsid w:val="001F450B"/>
    <w:rsid w:val="001F4B27"/>
    <w:rsid w:val="001F53F1"/>
    <w:rsid w:val="001F6CE9"/>
    <w:rsid w:val="001F7412"/>
    <w:rsid w:val="00200434"/>
    <w:rsid w:val="002007BC"/>
    <w:rsid w:val="00202116"/>
    <w:rsid w:val="002024F4"/>
    <w:rsid w:val="00203247"/>
    <w:rsid w:val="00203A03"/>
    <w:rsid w:val="00206232"/>
    <w:rsid w:val="0020669D"/>
    <w:rsid w:val="002071AE"/>
    <w:rsid w:val="00207D7C"/>
    <w:rsid w:val="0021076A"/>
    <w:rsid w:val="002110F2"/>
    <w:rsid w:val="0021206D"/>
    <w:rsid w:val="00213B7E"/>
    <w:rsid w:val="002140F2"/>
    <w:rsid w:val="0021473F"/>
    <w:rsid w:val="002153C7"/>
    <w:rsid w:val="002156A3"/>
    <w:rsid w:val="00217A01"/>
    <w:rsid w:val="002208C3"/>
    <w:rsid w:val="00222D17"/>
    <w:rsid w:val="002238A6"/>
    <w:rsid w:val="00224287"/>
    <w:rsid w:val="00225F28"/>
    <w:rsid w:val="002262DD"/>
    <w:rsid w:val="00226472"/>
    <w:rsid w:val="0022678E"/>
    <w:rsid w:val="00226B57"/>
    <w:rsid w:val="00226D04"/>
    <w:rsid w:val="002270A4"/>
    <w:rsid w:val="002315DB"/>
    <w:rsid w:val="0023550E"/>
    <w:rsid w:val="002360A0"/>
    <w:rsid w:val="00236D93"/>
    <w:rsid w:val="00237EDE"/>
    <w:rsid w:val="00237FCF"/>
    <w:rsid w:val="002414A4"/>
    <w:rsid w:val="002433D2"/>
    <w:rsid w:val="0024340D"/>
    <w:rsid w:val="002455BF"/>
    <w:rsid w:val="00247B54"/>
    <w:rsid w:val="0025046D"/>
    <w:rsid w:val="002510D7"/>
    <w:rsid w:val="00251BFB"/>
    <w:rsid w:val="002526A7"/>
    <w:rsid w:val="00253619"/>
    <w:rsid w:val="00255190"/>
    <w:rsid w:val="002562DC"/>
    <w:rsid w:val="00260F51"/>
    <w:rsid w:val="00262038"/>
    <w:rsid w:val="0026363A"/>
    <w:rsid w:val="002647C3"/>
    <w:rsid w:val="00265800"/>
    <w:rsid w:val="002660AB"/>
    <w:rsid w:val="002710A5"/>
    <w:rsid w:val="0027197D"/>
    <w:rsid w:val="002759F1"/>
    <w:rsid w:val="00276220"/>
    <w:rsid w:val="00276467"/>
    <w:rsid w:val="002767B3"/>
    <w:rsid w:val="00280201"/>
    <w:rsid w:val="00280E69"/>
    <w:rsid w:val="0028190D"/>
    <w:rsid w:val="00282576"/>
    <w:rsid w:val="002826E0"/>
    <w:rsid w:val="00284395"/>
    <w:rsid w:val="00284F7D"/>
    <w:rsid w:val="00285A20"/>
    <w:rsid w:val="00293429"/>
    <w:rsid w:val="00296524"/>
    <w:rsid w:val="002A0360"/>
    <w:rsid w:val="002A07F8"/>
    <w:rsid w:val="002A10D2"/>
    <w:rsid w:val="002A1B41"/>
    <w:rsid w:val="002A3551"/>
    <w:rsid w:val="002A3935"/>
    <w:rsid w:val="002A3FC4"/>
    <w:rsid w:val="002A4CAC"/>
    <w:rsid w:val="002A5E5E"/>
    <w:rsid w:val="002A5FD8"/>
    <w:rsid w:val="002A6499"/>
    <w:rsid w:val="002A6F61"/>
    <w:rsid w:val="002B1F44"/>
    <w:rsid w:val="002B2CC8"/>
    <w:rsid w:val="002B42A3"/>
    <w:rsid w:val="002B5902"/>
    <w:rsid w:val="002B73E5"/>
    <w:rsid w:val="002B7772"/>
    <w:rsid w:val="002C0128"/>
    <w:rsid w:val="002C0976"/>
    <w:rsid w:val="002C12B8"/>
    <w:rsid w:val="002C2394"/>
    <w:rsid w:val="002C30F6"/>
    <w:rsid w:val="002C45E7"/>
    <w:rsid w:val="002C47C9"/>
    <w:rsid w:val="002C50E0"/>
    <w:rsid w:val="002C5529"/>
    <w:rsid w:val="002C5B05"/>
    <w:rsid w:val="002C7472"/>
    <w:rsid w:val="002D0B49"/>
    <w:rsid w:val="002D0BB5"/>
    <w:rsid w:val="002D0DF0"/>
    <w:rsid w:val="002D0F57"/>
    <w:rsid w:val="002D12DE"/>
    <w:rsid w:val="002D2467"/>
    <w:rsid w:val="002D32CF"/>
    <w:rsid w:val="002D4483"/>
    <w:rsid w:val="002D675D"/>
    <w:rsid w:val="002D6AD6"/>
    <w:rsid w:val="002D7E51"/>
    <w:rsid w:val="002E2BF1"/>
    <w:rsid w:val="002E2E6F"/>
    <w:rsid w:val="002E3A73"/>
    <w:rsid w:val="002E580D"/>
    <w:rsid w:val="002E5929"/>
    <w:rsid w:val="002E6775"/>
    <w:rsid w:val="002E697F"/>
    <w:rsid w:val="002E6A8A"/>
    <w:rsid w:val="002F000F"/>
    <w:rsid w:val="002F20B5"/>
    <w:rsid w:val="002F2FC5"/>
    <w:rsid w:val="002F4EA5"/>
    <w:rsid w:val="002F5922"/>
    <w:rsid w:val="002F5C5F"/>
    <w:rsid w:val="002F5F29"/>
    <w:rsid w:val="002F6179"/>
    <w:rsid w:val="002F664B"/>
    <w:rsid w:val="00300F53"/>
    <w:rsid w:val="00301231"/>
    <w:rsid w:val="00304DEE"/>
    <w:rsid w:val="003052D1"/>
    <w:rsid w:val="00305C09"/>
    <w:rsid w:val="00305ED9"/>
    <w:rsid w:val="0030647C"/>
    <w:rsid w:val="0030679E"/>
    <w:rsid w:val="00315575"/>
    <w:rsid w:val="003157B1"/>
    <w:rsid w:val="00315A0A"/>
    <w:rsid w:val="003166C1"/>
    <w:rsid w:val="00317C62"/>
    <w:rsid w:val="00320B21"/>
    <w:rsid w:val="00325051"/>
    <w:rsid w:val="0032579C"/>
    <w:rsid w:val="00325F9D"/>
    <w:rsid w:val="00326F4B"/>
    <w:rsid w:val="003279D8"/>
    <w:rsid w:val="00327AD8"/>
    <w:rsid w:val="0033018C"/>
    <w:rsid w:val="00330BE0"/>
    <w:rsid w:val="003313E8"/>
    <w:rsid w:val="0033274B"/>
    <w:rsid w:val="00337F47"/>
    <w:rsid w:val="003449DB"/>
    <w:rsid w:val="0034655B"/>
    <w:rsid w:val="00346A9D"/>
    <w:rsid w:val="00346F13"/>
    <w:rsid w:val="00347064"/>
    <w:rsid w:val="003520B0"/>
    <w:rsid w:val="003523EA"/>
    <w:rsid w:val="0035283D"/>
    <w:rsid w:val="00353135"/>
    <w:rsid w:val="00353B59"/>
    <w:rsid w:val="00354B45"/>
    <w:rsid w:val="0035509B"/>
    <w:rsid w:val="00355C2A"/>
    <w:rsid w:val="00355EA0"/>
    <w:rsid w:val="003564DB"/>
    <w:rsid w:val="00356920"/>
    <w:rsid w:val="0035742B"/>
    <w:rsid w:val="0035747F"/>
    <w:rsid w:val="00362485"/>
    <w:rsid w:val="00362AA5"/>
    <w:rsid w:val="00363ADA"/>
    <w:rsid w:val="00364E86"/>
    <w:rsid w:val="00365389"/>
    <w:rsid w:val="00365596"/>
    <w:rsid w:val="00365A42"/>
    <w:rsid w:val="00365E0B"/>
    <w:rsid w:val="00370A2C"/>
    <w:rsid w:val="00373B6A"/>
    <w:rsid w:val="0037772A"/>
    <w:rsid w:val="00381AB1"/>
    <w:rsid w:val="003823CA"/>
    <w:rsid w:val="00382A52"/>
    <w:rsid w:val="00382FB1"/>
    <w:rsid w:val="0038313E"/>
    <w:rsid w:val="00383346"/>
    <w:rsid w:val="003837FD"/>
    <w:rsid w:val="00384F76"/>
    <w:rsid w:val="00385456"/>
    <w:rsid w:val="00385732"/>
    <w:rsid w:val="0038705F"/>
    <w:rsid w:val="00392390"/>
    <w:rsid w:val="00392A4F"/>
    <w:rsid w:val="003A2447"/>
    <w:rsid w:val="003A2D24"/>
    <w:rsid w:val="003A2F00"/>
    <w:rsid w:val="003A2F93"/>
    <w:rsid w:val="003A765B"/>
    <w:rsid w:val="003B1461"/>
    <w:rsid w:val="003B29EF"/>
    <w:rsid w:val="003B4EBC"/>
    <w:rsid w:val="003B50BD"/>
    <w:rsid w:val="003B5D06"/>
    <w:rsid w:val="003B6F91"/>
    <w:rsid w:val="003B7472"/>
    <w:rsid w:val="003C2711"/>
    <w:rsid w:val="003C3358"/>
    <w:rsid w:val="003C5747"/>
    <w:rsid w:val="003C6296"/>
    <w:rsid w:val="003C6E5B"/>
    <w:rsid w:val="003C7647"/>
    <w:rsid w:val="003C7965"/>
    <w:rsid w:val="003D0BE1"/>
    <w:rsid w:val="003D270C"/>
    <w:rsid w:val="003D6710"/>
    <w:rsid w:val="003D755E"/>
    <w:rsid w:val="003E1058"/>
    <w:rsid w:val="003E3056"/>
    <w:rsid w:val="003E3578"/>
    <w:rsid w:val="003E44E0"/>
    <w:rsid w:val="003E510C"/>
    <w:rsid w:val="003E55DA"/>
    <w:rsid w:val="003E5761"/>
    <w:rsid w:val="003E57A1"/>
    <w:rsid w:val="003E63F4"/>
    <w:rsid w:val="003E7C22"/>
    <w:rsid w:val="003F154A"/>
    <w:rsid w:val="003F6418"/>
    <w:rsid w:val="003F68D8"/>
    <w:rsid w:val="003F75DC"/>
    <w:rsid w:val="0040113B"/>
    <w:rsid w:val="004047B0"/>
    <w:rsid w:val="004047BF"/>
    <w:rsid w:val="00404E04"/>
    <w:rsid w:val="00405B7D"/>
    <w:rsid w:val="004069FA"/>
    <w:rsid w:val="004122B4"/>
    <w:rsid w:val="00413495"/>
    <w:rsid w:val="00414C6D"/>
    <w:rsid w:val="00416F5E"/>
    <w:rsid w:val="004173DB"/>
    <w:rsid w:val="004175AE"/>
    <w:rsid w:val="00421C48"/>
    <w:rsid w:val="00425CFC"/>
    <w:rsid w:val="00426EDC"/>
    <w:rsid w:val="00427164"/>
    <w:rsid w:val="00427539"/>
    <w:rsid w:val="004336BD"/>
    <w:rsid w:val="00434F1A"/>
    <w:rsid w:val="004376F4"/>
    <w:rsid w:val="00437F8D"/>
    <w:rsid w:val="00440091"/>
    <w:rsid w:val="00440900"/>
    <w:rsid w:val="004434D2"/>
    <w:rsid w:val="004443D1"/>
    <w:rsid w:val="00444458"/>
    <w:rsid w:val="00444486"/>
    <w:rsid w:val="00445538"/>
    <w:rsid w:val="0044684B"/>
    <w:rsid w:val="00446B0D"/>
    <w:rsid w:val="00446D71"/>
    <w:rsid w:val="0044751A"/>
    <w:rsid w:val="004513D0"/>
    <w:rsid w:val="004513F2"/>
    <w:rsid w:val="00453D8E"/>
    <w:rsid w:val="00454849"/>
    <w:rsid w:val="00456383"/>
    <w:rsid w:val="00456D81"/>
    <w:rsid w:val="00456E73"/>
    <w:rsid w:val="0045708E"/>
    <w:rsid w:val="00457833"/>
    <w:rsid w:val="00460ACC"/>
    <w:rsid w:val="00461B52"/>
    <w:rsid w:val="00461C95"/>
    <w:rsid w:val="0046437C"/>
    <w:rsid w:val="00464759"/>
    <w:rsid w:val="0046613F"/>
    <w:rsid w:val="00466189"/>
    <w:rsid w:val="004665F9"/>
    <w:rsid w:val="00470D3A"/>
    <w:rsid w:val="00472277"/>
    <w:rsid w:val="00472F00"/>
    <w:rsid w:val="00474437"/>
    <w:rsid w:val="00474DC3"/>
    <w:rsid w:val="00475085"/>
    <w:rsid w:val="004751CC"/>
    <w:rsid w:val="0047712B"/>
    <w:rsid w:val="00480B33"/>
    <w:rsid w:val="00483476"/>
    <w:rsid w:val="00486481"/>
    <w:rsid w:val="004870F9"/>
    <w:rsid w:val="00490642"/>
    <w:rsid w:val="00491268"/>
    <w:rsid w:val="004917F0"/>
    <w:rsid w:val="00491EF7"/>
    <w:rsid w:val="00493346"/>
    <w:rsid w:val="00494C37"/>
    <w:rsid w:val="00494FEC"/>
    <w:rsid w:val="004953DD"/>
    <w:rsid w:val="00497532"/>
    <w:rsid w:val="00497BF0"/>
    <w:rsid w:val="004A0920"/>
    <w:rsid w:val="004A0DE1"/>
    <w:rsid w:val="004A1F38"/>
    <w:rsid w:val="004A3470"/>
    <w:rsid w:val="004A4512"/>
    <w:rsid w:val="004A62C3"/>
    <w:rsid w:val="004A6698"/>
    <w:rsid w:val="004B0F42"/>
    <w:rsid w:val="004B1158"/>
    <w:rsid w:val="004B3939"/>
    <w:rsid w:val="004B4ADB"/>
    <w:rsid w:val="004C1554"/>
    <w:rsid w:val="004C6107"/>
    <w:rsid w:val="004C64D7"/>
    <w:rsid w:val="004C65F8"/>
    <w:rsid w:val="004C6743"/>
    <w:rsid w:val="004D2EF7"/>
    <w:rsid w:val="004D33CD"/>
    <w:rsid w:val="004D3E5E"/>
    <w:rsid w:val="004D4435"/>
    <w:rsid w:val="004D505E"/>
    <w:rsid w:val="004D5EEA"/>
    <w:rsid w:val="004D6AAD"/>
    <w:rsid w:val="004E002F"/>
    <w:rsid w:val="004E075C"/>
    <w:rsid w:val="004E1643"/>
    <w:rsid w:val="004E1DA1"/>
    <w:rsid w:val="004E296E"/>
    <w:rsid w:val="004E2E93"/>
    <w:rsid w:val="004E41E7"/>
    <w:rsid w:val="004E572D"/>
    <w:rsid w:val="004E7ACD"/>
    <w:rsid w:val="004F039E"/>
    <w:rsid w:val="004F0FCE"/>
    <w:rsid w:val="004F3802"/>
    <w:rsid w:val="004F3AF8"/>
    <w:rsid w:val="004F5485"/>
    <w:rsid w:val="004F653B"/>
    <w:rsid w:val="004F6B3D"/>
    <w:rsid w:val="004F7293"/>
    <w:rsid w:val="004F74BB"/>
    <w:rsid w:val="005004EE"/>
    <w:rsid w:val="0050124A"/>
    <w:rsid w:val="00502905"/>
    <w:rsid w:val="005045D4"/>
    <w:rsid w:val="00506111"/>
    <w:rsid w:val="0051053D"/>
    <w:rsid w:val="0051079E"/>
    <w:rsid w:val="005121B0"/>
    <w:rsid w:val="00512A81"/>
    <w:rsid w:val="005130AA"/>
    <w:rsid w:val="00514155"/>
    <w:rsid w:val="00515161"/>
    <w:rsid w:val="00515C76"/>
    <w:rsid w:val="005179D6"/>
    <w:rsid w:val="00520948"/>
    <w:rsid w:val="00520E0C"/>
    <w:rsid w:val="005219CB"/>
    <w:rsid w:val="00523906"/>
    <w:rsid w:val="00526502"/>
    <w:rsid w:val="0052651B"/>
    <w:rsid w:val="0053012E"/>
    <w:rsid w:val="00530A62"/>
    <w:rsid w:val="00531836"/>
    <w:rsid w:val="00531ABA"/>
    <w:rsid w:val="00532D1E"/>
    <w:rsid w:val="005333AE"/>
    <w:rsid w:val="005350EC"/>
    <w:rsid w:val="005357E7"/>
    <w:rsid w:val="00535A5F"/>
    <w:rsid w:val="00535FFD"/>
    <w:rsid w:val="00536E48"/>
    <w:rsid w:val="00537E48"/>
    <w:rsid w:val="00537FD4"/>
    <w:rsid w:val="00540A29"/>
    <w:rsid w:val="00540AFC"/>
    <w:rsid w:val="0054339E"/>
    <w:rsid w:val="00543AA9"/>
    <w:rsid w:val="00544A3D"/>
    <w:rsid w:val="0054657A"/>
    <w:rsid w:val="00552AC3"/>
    <w:rsid w:val="0055504F"/>
    <w:rsid w:val="005556A6"/>
    <w:rsid w:val="0056018C"/>
    <w:rsid w:val="00560211"/>
    <w:rsid w:val="005604F1"/>
    <w:rsid w:val="005609F2"/>
    <w:rsid w:val="00560A62"/>
    <w:rsid w:val="00560DC6"/>
    <w:rsid w:val="00565023"/>
    <w:rsid w:val="005655C0"/>
    <w:rsid w:val="00565679"/>
    <w:rsid w:val="00566ACE"/>
    <w:rsid w:val="00566C9E"/>
    <w:rsid w:val="00567D3F"/>
    <w:rsid w:val="00567E6C"/>
    <w:rsid w:val="00570DD6"/>
    <w:rsid w:val="005716BB"/>
    <w:rsid w:val="00573765"/>
    <w:rsid w:val="005744AA"/>
    <w:rsid w:val="00574AEC"/>
    <w:rsid w:val="0057564C"/>
    <w:rsid w:val="00576584"/>
    <w:rsid w:val="00576BB7"/>
    <w:rsid w:val="00580350"/>
    <w:rsid w:val="00580610"/>
    <w:rsid w:val="00581BF0"/>
    <w:rsid w:val="00581D31"/>
    <w:rsid w:val="005847EC"/>
    <w:rsid w:val="00584B28"/>
    <w:rsid w:val="00585CC5"/>
    <w:rsid w:val="005873B7"/>
    <w:rsid w:val="00593192"/>
    <w:rsid w:val="005938CF"/>
    <w:rsid w:val="00593C9E"/>
    <w:rsid w:val="0059420F"/>
    <w:rsid w:val="005956B9"/>
    <w:rsid w:val="00596868"/>
    <w:rsid w:val="005A0784"/>
    <w:rsid w:val="005A2C59"/>
    <w:rsid w:val="005A39EB"/>
    <w:rsid w:val="005A5966"/>
    <w:rsid w:val="005A5E81"/>
    <w:rsid w:val="005A5EFC"/>
    <w:rsid w:val="005A784D"/>
    <w:rsid w:val="005A7CDA"/>
    <w:rsid w:val="005B01F0"/>
    <w:rsid w:val="005B1FE5"/>
    <w:rsid w:val="005B2F7D"/>
    <w:rsid w:val="005B4CD5"/>
    <w:rsid w:val="005B54CF"/>
    <w:rsid w:val="005B7180"/>
    <w:rsid w:val="005C07B2"/>
    <w:rsid w:val="005C0C9E"/>
    <w:rsid w:val="005C0E5F"/>
    <w:rsid w:val="005C3558"/>
    <w:rsid w:val="005C3E9F"/>
    <w:rsid w:val="005C3FEC"/>
    <w:rsid w:val="005C41B0"/>
    <w:rsid w:val="005C53D0"/>
    <w:rsid w:val="005C545A"/>
    <w:rsid w:val="005C5566"/>
    <w:rsid w:val="005C67B6"/>
    <w:rsid w:val="005C7F5F"/>
    <w:rsid w:val="005D26C7"/>
    <w:rsid w:val="005D2801"/>
    <w:rsid w:val="005D333B"/>
    <w:rsid w:val="005D48DE"/>
    <w:rsid w:val="005D57F9"/>
    <w:rsid w:val="005D66C6"/>
    <w:rsid w:val="005D6EA4"/>
    <w:rsid w:val="005E0F5B"/>
    <w:rsid w:val="005E1CB2"/>
    <w:rsid w:val="005E4211"/>
    <w:rsid w:val="005E4908"/>
    <w:rsid w:val="005E5475"/>
    <w:rsid w:val="005E5525"/>
    <w:rsid w:val="005E5C04"/>
    <w:rsid w:val="005E72D9"/>
    <w:rsid w:val="005E7D6C"/>
    <w:rsid w:val="005E7EEF"/>
    <w:rsid w:val="005F0E82"/>
    <w:rsid w:val="005F2CFC"/>
    <w:rsid w:val="005F3561"/>
    <w:rsid w:val="005F3714"/>
    <w:rsid w:val="005F3C87"/>
    <w:rsid w:val="005F5B51"/>
    <w:rsid w:val="005F68A5"/>
    <w:rsid w:val="005F70D2"/>
    <w:rsid w:val="005F7368"/>
    <w:rsid w:val="005F7E97"/>
    <w:rsid w:val="00601787"/>
    <w:rsid w:val="0060441C"/>
    <w:rsid w:val="0060765D"/>
    <w:rsid w:val="00610EC8"/>
    <w:rsid w:val="0061142D"/>
    <w:rsid w:val="00612345"/>
    <w:rsid w:val="0061542E"/>
    <w:rsid w:val="006162DC"/>
    <w:rsid w:val="00616841"/>
    <w:rsid w:val="00620B1C"/>
    <w:rsid w:val="00620B33"/>
    <w:rsid w:val="0062115B"/>
    <w:rsid w:val="00621568"/>
    <w:rsid w:val="00621873"/>
    <w:rsid w:val="00621D12"/>
    <w:rsid w:val="006236BE"/>
    <w:rsid w:val="00625A53"/>
    <w:rsid w:val="00627919"/>
    <w:rsid w:val="0063070B"/>
    <w:rsid w:val="00630874"/>
    <w:rsid w:val="006314F3"/>
    <w:rsid w:val="006352BA"/>
    <w:rsid w:val="006362D8"/>
    <w:rsid w:val="00637B39"/>
    <w:rsid w:val="00637C98"/>
    <w:rsid w:val="00640A88"/>
    <w:rsid w:val="006410EB"/>
    <w:rsid w:val="0064165F"/>
    <w:rsid w:val="006417E4"/>
    <w:rsid w:val="0064180B"/>
    <w:rsid w:val="0064283C"/>
    <w:rsid w:val="00643698"/>
    <w:rsid w:val="00644407"/>
    <w:rsid w:val="00644C2F"/>
    <w:rsid w:val="00644D22"/>
    <w:rsid w:val="00646339"/>
    <w:rsid w:val="00646419"/>
    <w:rsid w:val="00647E03"/>
    <w:rsid w:val="0065034B"/>
    <w:rsid w:val="00650613"/>
    <w:rsid w:val="00652B97"/>
    <w:rsid w:val="00655BC6"/>
    <w:rsid w:val="006575CA"/>
    <w:rsid w:val="00660448"/>
    <w:rsid w:val="0066325A"/>
    <w:rsid w:val="00663DFF"/>
    <w:rsid w:val="00663F52"/>
    <w:rsid w:val="006664D4"/>
    <w:rsid w:val="00666B89"/>
    <w:rsid w:val="00667942"/>
    <w:rsid w:val="00671381"/>
    <w:rsid w:val="006731EB"/>
    <w:rsid w:val="00673C9F"/>
    <w:rsid w:val="00674595"/>
    <w:rsid w:val="00674817"/>
    <w:rsid w:val="00677A1B"/>
    <w:rsid w:val="00677CE8"/>
    <w:rsid w:val="00680951"/>
    <w:rsid w:val="00680E46"/>
    <w:rsid w:val="00681B33"/>
    <w:rsid w:val="0068674C"/>
    <w:rsid w:val="00691354"/>
    <w:rsid w:val="00692AAD"/>
    <w:rsid w:val="006932B3"/>
    <w:rsid w:val="00693EEA"/>
    <w:rsid w:val="0069437F"/>
    <w:rsid w:val="00694F09"/>
    <w:rsid w:val="006950D7"/>
    <w:rsid w:val="00695371"/>
    <w:rsid w:val="006972CD"/>
    <w:rsid w:val="00697D76"/>
    <w:rsid w:val="006A115F"/>
    <w:rsid w:val="006A2478"/>
    <w:rsid w:val="006A2532"/>
    <w:rsid w:val="006A25BB"/>
    <w:rsid w:val="006A2955"/>
    <w:rsid w:val="006A3D90"/>
    <w:rsid w:val="006A41B9"/>
    <w:rsid w:val="006A4541"/>
    <w:rsid w:val="006A7DE3"/>
    <w:rsid w:val="006B1A7F"/>
    <w:rsid w:val="006B281A"/>
    <w:rsid w:val="006B3A9E"/>
    <w:rsid w:val="006B4AB7"/>
    <w:rsid w:val="006B52E4"/>
    <w:rsid w:val="006B5678"/>
    <w:rsid w:val="006B5C6E"/>
    <w:rsid w:val="006B6211"/>
    <w:rsid w:val="006B6B02"/>
    <w:rsid w:val="006B6B99"/>
    <w:rsid w:val="006C0C52"/>
    <w:rsid w:val="006C0E55"/>
    <w:rsid w:val="006C26BB"/>
    <w:rsid w:val="006C26F4"/>
    <w:rsid w:val="006C4A09"/>
    <w:rsid w:val="006C4B93"/>
    <w:rsid w:val="006C4D58"/>
    <w:rsid w:val="006C6031"/>
    <w:rsid w:val="006C6D71"/>
    <w:rsid w:val="006C6E54"/>
    <w:rsid w:val="006C7331"/>
    <w:rsid w:val="006D19B4"/>
    <w:rsid w:val="006D2C20"/>
    <w:rsid w:val="006D351B"/>
    <w:rsid w:val="006D4DA7"/>
    <w:rsid w:val="006D595A"/>
    <w:rsid w:val="006D6A5C"/>
    <w:rsid w:val="006D73A2"/>
    <w:rsid w:val="006E0060"/>
    <w:rsid w:val="006E0B1C"/>
    <w:rsid w:val="006E1EBC"/>
    <w:rsid w:val="006E2AFB"/>
    <w:rsid w:val="006E2B8F"/>
    <w:rsid w:val="006E39C5"/>
    <w:rsid w:val="006E3A07"/>
    <w:rsid w:val="006E4C37"/>
    <w:rsid w:val="006F11C2"/>
    <w:rsid w:val="006F2EED"/>
    <w:rsid w:val="006F5BF1"/>
    <w:rsid w:val="006F6555"/>
    <w:rsid w:val="006F66E7"/>
    <w:rsid w:val="00701043"/>
    <w:rsid w:val="007022F6"/>
    <w:rsid w:val="00703281"/>
    <w:rsid w:val="007047D4"/>
    <w:rsid w:val="0070499B"/>
    <w:rsid w:val="00706508"/>
    <w:rsid w:val="007072BF"/>
    <w:rsid w:val="007113F1"/>
    <w:rsid w:val="00712704"/>
    <w:rsid w:val="00712869"/>
    <w:rsid w:val="00723FF6"/>
    <w:rsid w:val="0072441F"/>
    <w:rsid w:val="00724598"/>
    <w:rsid w:val="0072466F"/>
    <w:rsid w:val="00724C19"/>
    <w:rsid w:val="00730F89"/>
    <w:rsid w:val="007316A6"/>
    <w:rsid w:val="00731737"/>
    <w:rsid w:val="00731D51"/>
    <w:rsid w:val="00732317"/>
    <w:rsid w:val="00733588"/>
    <w:rsid w:val="0073702E"/>
    <w:rsid w:val="0073745F"/>
    <w:rsid w:val="00737716"/>
    <w:rsid w:val="00737A34"/>
    <w:rsid w:val="00737F68"/>
    <w:rsid w:val="007416D9"/>
    <w:rsid w:val="00741964"/>
    <w:rsid w:val="00741F92"/>
    <w:rsid w:val="00744190"/>
    <w:rsid w:val="00744AE6"/>
    <w:rsid w:val="007452B1"/>
    <w:rsid w:val="00746101"/>
    <w:rsid w:val="00746F2C"/>
    <w:rsid w:val="00746F9B"/>
    <w:rsid w:val="00747758"/>
    <w:rsid w:val="00751C89"/>
    <w:rsid w:val="00751CF8"/>
    <w:rsid w:val="00753470"/>
    <w:rsid w:val="00753822"/>
    <w:rsid w:val="00755420"/>
    <w:rsid w:val="00761C7B"/>
    <w:rsid w:val="00761D2F"/>
    <w:rsid w:val="00762A56"/>
    <w:rsid w:val="00764B2C"/>
    <w:rsid w:val="0076506C"/>
    <w:rsid w:val="00765CD0"/>
    <w:rsid w:val="00767797"/>
    <w:rsid w:val="00770754"/>
    <w:rsid w:val="00770BB9"/>
    <w:rsid w:val="00770FD1"/>
    <w:rsid w:val="0077259F"/>
    <w:rsid w:val="00772821"/>
    <w:rsid w:val="00773AD0"/>
    <w:rsid w:val="007743DC"/>
    <w:rsid w:val="00774924"/>
    <w:rsid w:val="0077605B"/>
    <w:rsid w:val="00781626"/>
    <w:rsid w:val="00781E7A"/>
    <w:rsid w:val="00781E81"/>
    <w:rsid w:val="00785405"/>
    <w:rsid w:val="007859EA"/>
    <w:rsid w:val="00785EA0"/>
    <w:rsid w:val="00786021"/>
    <w:rsid w:val="007869B7"/>
    <w:rsid w:val="00791179"/>
    <w:rsid w:val="007927F8"/>
    <w:rsid w:val="007933CD"/>
    <w:rsid w:val="00793558"/>
    <w:rsid w:val="00794929"/>
    <w:rsid w:val="00795204"/>
    <w:rsid w:val="00795A24"/>
    <w:rsid w:val="00796140"/>
    <w:rsid w:val="00796D99"/>
    <w:rsid w:val="007A082D"/>
    <w:rsid w:val="007A1B4E"/>
    <w:rsid w:val="007A33E7"/>
    <w:rsid w:val="007A3469"/>
    <w:rsid w:val="007A4B4E"/>
    <w:rsid w:val="007B0788"/>
    <w:rsid w:val="007B46D1"/>
    <w:rsid w:val="007B5722"/>
    <w:rsid w:val="007B5AC9"/>
    <w:rsid w:val="007B69A3"/>
    <w:rsid w:val="007C2679"/>
    <w:rsid w:val="007C550B"/>
    <w:rsid w:val="007C7A83"/>
    <w:rsid w:val="007C7CD1"/>
    <w:rsid w:val="007C7F3A"/>
    <w:rsid w:val="007D0EB7"/>
    <w:rsid w:val="007D1E45"/>
    <w:rsid w:val="007D3AEA"/>
    <w:rsid w:val="007D3CE1"/>
    <w:rsid w:val="007D3E99"/>
    <w:rsid w:val="007D56A5"/>
    <w:rsid w:val="007D69BE"/>
    <w:rsid w:val="007D6C73"/>
    <w:rsid w:val="007D7FEA"/>
    <w:rsid w:val="007E2945"/>
    <w:rsid w:val="007E3A8D"/>
    <w:rsid w:val="007E3FC8"/>
    <w:rsid w:val="007E4E7E"/>
    <w:rsid w:val="007E64C2"/>
    <w:rsid w:val="007E6879"/>
    <w:rsid w:val="007E71FB"/>
    <w:rsid w:val="007F250B"/>
    <w:rsid w:val="007F2DFD"/>
    <w:rsid w:val="007F6FF6"/>
    <w:rsid w:val="00800C3A"/>
    <w:rsid w:val="00801E3A"/>
    <w:rsid w:val="00802583"/>
    <w:rsid w:val="008031DB"/>
    <w:rsid w:val="0080343B"/>
    <w:rsid w:val="00803A8B"/>
    <w:rsid w:val="00803DF6"/>
    <w:rsid w:val="00804BBC"/>
    <w:rsid w:val="00807103"/>
    <w:rsid w:val="0081115F"/>
    <w:rsid w:val="00811381"/>
    <w:rsid w:val="008118A9"/>
    <w:rsid w:val="00811F99"/>
    <w:rsid w:val="0081245B"/>
    <w:rsid w:val="008134C8"/>
    <w:rsid w:val="00814C44"/>
    <w:rsid w:val="00815666"/>
    <w:rsid w:val="008156BA"/>
    <w:rsid w:val="008171B0"/>
    <w:rsid w:val="008174E8"/>
    <w:rsid w:val="00820D02"/>
    <w:rsid w:val="00820FD2"/>
    <w:rsid w:val="008217D9"/>
    <w:rsid w:val="00822974"/>
    <w:rsid w:val="00822BB3"/>
    <w:rsid w:val="0082498B"/>
    <w:rsid w:val="008259D4"/>
    <w:rsid w:val="00825C2D"/>
    <w:rsid w:val="00826F0A"/>
    <w:rsid w:val="008303ED"/>
    <w:rsid w:val="00831ADE"/>
    <w:rsid w:val="00832011"/>
    <w:rsid w:val="00832ADF"/>
    <w:rsid w:val="008331C1"/>
    <w:rsid w:val="0083362F"/>
    <w:rsid w:val="0083381B"/>
    <w:rsid w:val="00834115"/>
    <w:rsid w:val="008368DD"/>
    <w:rsid w:val="0083777B"/>
    <w:rsid w:val="0084067A"/>
    <w:rsid w:val="008407DF"/>
    <w:rsid w:val="0084192D"/>
    <w:rsid w:val="00842940"/>
    <w:rsid w:val="00843820"/>
    <w:rsid w:val="00843E8C"/>
    <w:rsid w:val="00844A9A"/>
    <w:rsid w:val="00844E7C"/>
    <w:rsid w:val="008461DF"/>
    <w:rsid w:val="00846DEC"/>
    <w:rsid w:val="00846F90"/>
    <w:rsid w:val="00847BE1"/>
    <w:rsid w:val="00847CB4"/>
    <w:rsid w:val="00847D3B"/>
    <w:rsid w:val="008508CF"/>
    <w:rsid w:val="00853A9A"/>
    <w:rsid w:val="00854900"/>
    <w:rsid w:val="00854D83"/>
    <w:rsid w:val="00855587"/>
    <w:rsid w:val="00857CB9"/>
    <w:rsid w:val="0086010A"/>
    <w:rsid w:val="00862484"/>
    <w:rsid w:val="00864220"/>
    <w:rsid w:val="0086516E"/>
    <w:rsid w:val="00872576"/>
    <w:rsid w:val="008739C1"/>
    <w:rsid w:val="00874277"/>
    <w:rsid w:val="008746F6"/>
    <w:rsid w:val="00874723"/>
    <w:rsid w:val="008776E4"/>
    <w:rsid w:val="00880B45"/>
    <w:rsid w:val="00885719"/>
    <w:rsid w:val="008868A0"/>
    <w:rsid w:val="008868E9"/>
    <w:rsid w:val="00886E55"/>
    <w:rsid w:val="00887680"/>
    <w:rsid w:val="0089012D"/>
    <w:rsid w:val="0089031E"/>
    <w:rsid w:val="008922CC"/>
    <w:rsid w:val="008935E8"/>
    <w:rsid w:val="00894541"/>
    <w:rsid w:val="00894FEC"/>
    <w:rsid w:val="00895D47"/>
    <w:rsid w:val="008964B2"/>
    <w:rsid w:val="008A140F"/>
    <w:rsid w:val="008A30BF"/>
    <w:rsid w:val="008A56F7"/>
    <w:rsid w:val="008A6094"/>
    <w:rsid w:val="008A6CF8"/>
    <w:rsid w:val="008A6FC1"/>
    <w:rsid w:val="008A70A2"/>
    <w:rsid w:val="008B0410"/>
    <w:rsid w:val="008B23EB"/>
    <w:rsid w:val="008B4430"/>
    <w:rsid w:val="008B4F86"/>
    <w:rsid w:val="008B5A6F"/>
    <w:rsid w:val="008B5D0B"/>
    <w:rsid w:val="008B66D5"/>
    <w:rsid w:val="008B79CF"/>
    <w:rsid w:val="008B7B14"/>
    <w:rsid w:val="008C15F0"/>
    <w:rsid w:val="008C2311"/>
    <w:rsid w:val="008C26C5"/>
    <w:rsid w:val="008C281B"/>
    <w:rsid w:val="008C54FC"/>
    <w:rsid w:val="008C72F9"/>
    <w:rsid w:val="008C7B06"/>
    <w:rsid w:val="008D3D66"/>
    <w:rsid w:val="008D41C4"/>
    <w:rsid w:val="008D5934"/>
    <w:rsid w:val="008D6140"/>
    <w:rsid w:val="008D7432"/>
    <w:rsid w:val="008E1A7C"/>
    <w:rsid w:val="008E29E1"/>
    <w:rsid w:val="008E502B"/>
    <w:rsid w:val="008E6736"/>
    <w:rsid w:val="008E70E7"/>
    <w:rsid w:val="008E7155"/>
    <w:rsid w:val="008E7389"/>
    <w:rsid w:val="008F1549"/>
    <w:rsid w:val="008F36C6"/>
    <w:rsid w:val="008F4B7D"/>
    <w:rsid w:val="008F5CCD"/>
    <w:rsid w:val="00900793"/>
    <w:rsid w:val="00904EBD"/>
    <w:rsid w:val="00912C27"/>
    <w:rsid w:val="00913F3E"/>
    <w:rsid w:val="00915E4D"/>
    <w:rsid w:val="00915F8B"/>
    <w:rsid w:val="009163BD"/>
    <w:rsid w:val="00916FCE"/>
    <w:rsid w:val="009205D1"/>
    <w:rsid w:val="009222B6"/>
    <w:rsid w:val="0092253B"/>
    <w:rsid w:val="00922E74"/>
    <w:rsid w:val="009230D0"/>
    <w:rsid w:val="0092463F"/>
    <w:rsid w:val="009254E1"/>
    <w:rsid w:val="0092580A"/>
    <w:rsid w:val="00926606"/>
    <w:rsid w:val="00931BF4"/>
    <w:rsid w:val="00935EEF"/>
    <w:rsid w:val="00936104"/>
    <w:rsid w:val="00937E83"/>
    <w:rsid w:val="0094001D"/>
    <w:rsid w:val="00940541"/>
    <w:rsid w:val="009414D1"/>
    <w:rsid w:val="00942BDD"/>
    <w:rsid w:val="00946361"/>
    <w:rsid w:val="00950AC8"/>
    <w:rsid w:val="0095207D"/>
    <w:rsid w:val="00955E26"/>
    <w:rsid w:val="00956B56"/>
    <w:rsid w:val="00956DFC"/>
    <w:rsid w:val="00957952"/>
    <w:rsid w:val="00961B96"/>
    <w:rsid w:val="009627C7"/>
    <w:rsid w:val="00963E04"/>
    <w:rsid w:val="009642BE"/>
    <w:rsid w:val="00966DEC"/>
    <w:rsid w:val="00967887"/>
    <w:rsid w:val="00972471"/>
    <w:rsid w:val="00974B5C"/>
    <w:rsid w:val="00974DA4"/>
    <w:rsid w:val="009765BE"/>
    <w:rsid w:val="009808EB"/>
    <w:rsid w:val="00980FF2"/>
    <w:rsid w:val="00981B7B"/>
    <w:rsid w:val="00982E45"/>
    <w:rsid w:val="00982F77"/>
    <w:rsid w:val="00983D8A"/>
    <w:rsid w:val="009848FA"/>
    <w:rsid w:val="009849A5"/>
    <w:rsid w:val="00987738"/>
    <w:rsid w:val="00987E6D"/>
    <w:rsid w:val="00990CF3"/>
    <w:rsid w:val="00992DAA"/>
    <w:rsid w:val="00993056"/>
    <w:rsid w:val="009930F5"/>
    <w:rsid w:val="00993C61"/>
    <w:rsid w:val="00994625"/>
    <w:rsid w:val="0099477E"/>
    <w:rsid w:val="00994850"/>
    <w:rsid w:val="0099512B"/>
    <w:rsid w:val="00995A15"/>
    <w:rsid w:val="0099704D"/>
    <w:rsid w:val="009A3E22"/>
    <w:rsid w:val="009A3E5B"/>
    <w:rsid w:val="009B115B"/>
    <w:rsid w:val="009B1228"/>
    <w:rsid w:val="009B1D1C"/>
    <w:rsid w:val="009B302F"/>
    <w:rsid w:val="009B4CA5"/>
    <w:rsid w:val="009B53E9"/>
    <w:rsid w:val="009B6122"/>
    <w:rsid w:val="009C046D"/>
    <w:rsid w:val="009C115E"/>
    <w:rsid w:val="009C2DCF"/>
    <w:rsid w:val="009C31DD"/>
    <w:rsid w:val="009C4E2F"/>
    <w:rsid w:val="009C5A89"/>
    <w:rsid w:val="009C5AF1"/>
    <w:rsid w:val="009C6255"/>
    <w:rsid w:val="009C6258"/>
    <w:rsid w:val="009C7708"/>
    <w:rsid w:val="009D008D"/>
    <w:rsid w:val="009D064E"/>
    <w:rsid w:val="009D0CBE"/>
    <w:rsid w:val="009D105E"/>
    <w:rsid w:val="009D185F"/>
    <w:rsid w:val="009D317A"/>
    <w:rsid w:val="009D3C93"/>
    <w:rsid w:val="009D3CEC"/>
    <w:rsid w:val="009D3FAA"/>
    <w:rsid w:val="009D4424"/>
    <w:rsid w:val="009D53C4"/>
    <w:rsid w:val="009D5CFD"/>
    <w:rsid w:val="009D6FB2"/>
    <w:rsid w:val="009D7149"/>
    <w:rsid w:val="009D7588"/>
    <w:rsid w:val="009D7E76"/>
    <w:rsid w:val="009E0202"/>
    <w:rsid w:val="009E151F"/>
    <w:rsid w:val="009E2103"/>
    <w:rsid w:val="009E212A"/>
    <w:rsid w:val="009E21AD"/>
    <w:rsid w:val="009E223D"/>
    <w:rsid w:val="009E3081"/>
    <w:rsid w:val="009E3EA0"/>
    <w:rsid w:val="009E3ED8"/>
    <w:rsid w:val="009E58E3"/>
    <w:rsid w:val="009E5C47"/>
    <w:rsid w:val="009E61CD"/>
    <w:rsid w:val="009E62C0"/>
    <w:rsid w:val="009E7C00"/>
    <w:rsid w:val="009E7EC5"/>
    <w:rsid w:val="009F00B6"/>
    <w:rsid w:val="009F0B73"/>
    <w:rsid w:val="009F24C3"/>
    <w:rsid w:val="009F392C"/>
    <w:rsid w:val="009F6708"/>
    <w:rsid w:val="009F6B34"/>
    <w:rsid w:val="00A0012E"/>
    <w:rsid w:val="00A00B38"/>
    <w:rsid w:val="00A014E9"/>
    <w:rsid w:val="00A02872"/>
    <w:rsid w:val="00A03976"/>
    <w:rsid w:val="00A042D9"/>
    <w:rsid w:val="00A045BA"/>
    <w:rsid w:val="00A05288"/>
    <w:rsid w:val="00A079FB"/>
    <w:rsid w:val="00A07F5F"/>
    <w:rsid w:val="00A1246A"/>
    <w:rsid w:val="00A12989"/>
    <w:rsid w:val="00A131B7"/>
    <w:rsid w:val="00A13F66"/>
    <w:rsid w:val="00A14863"/>
    <w:rsid w:val="00A166C5"/>
    <w:rsid w:val="00A17BB0"/>
    <w:rsid w:val="00A2184A"/>
    <w:rsid w:val="00A21C41"/>
    <w:rsid w:val="00A21DDD"/>
    <w:rsid w:val="00A222A3"/>
    <w:rsid w:val="00A22D7D"/>
    <w:rsid w:val="00A3044C"/>
    <w:rsid w:val="00A3079B"/>
    <w:rsid w:val="00A32B6D"/>
    <w:rsid w:val="00A33AD3"/>
    <w:rsid w:val="00A33BB5"/>
    <w:rsid w:val="00A33C0F"/>
    <w:rsid w:val="00A35B85"/>
    <w:rsid w:val="00A36293"/>
    <w:rsid w:val="00A36968"/>
    <w:rsid w:val="00A37B36"/>
    <w:rsid w:val="00A37B41"/>
    <w:rsid w:val="00A4074A"/>
    <w:rsid w:val="00A42CE8"/>
    <w:rsid w:val="00A44385"/>
    <w:rsid w:val="00A4448D"/>
    <w:rsid w:val="00A4457B"/>
    <w:rsid w:val="00A4524D"/>
    <w:rsid w:val="00A4554F"/>
    <w:rsid w:val="00A46120"/>
    <w:rsid w:val="00A478FF"/>
    <w:rsid w:val="00A504D6"/>
    <w:rsid w:val="00A5135F"/>
    <w:rsid w:val="00A51CF6"/>
    <w:rsid w:val="00A55A18"/>
    <w:rsid w:val="00A56188"/>
    <w:rsid w:val="00A56537"/>
    <w:rsid w:val="00A5766F"/>
    <w:rsid w:val="00A57E69"/>
    <w:rsid w:val="00A60630"/>
    <w:rsid w:val="00A611D9"/>
    <w:rsid w:val="00A616F2"/>
    <w:rsid w:val="00A62848"/>
    <w:rsid w:val="00A7148F"/>
    <w:rsid w:val="00A7226C"/>
    <w:rsid w:val="00A75380"/>
    <w:rsid w:val="00A761B5"/>
    <w:rsid w:val="00A76860"/>
    <w:rsid w:val="00A76EC3"/>
    <w:rsid w:val="00A8074A"/>
    <w:rsid w:val="00A82071"/>
    <w:rsid w:val="00A82223"/>
    <w:rsid w:val="00A82FC9"/>
    <w:rsid w:val="00A83744"/>
    <w:rsid w:val="00A85AEF"/>
    <w:rsid w:val="00A90A61"/>
    <w:rsid w:val="00A9303B"/>
    <w:rsid w:val="00A9401A"/>
    <w:rsid w:val="00A9596E"/>
    <w:rsid w:val="00A95EBD"/>
    <w:rsid w:val="00A96B87"/>
    <w:rsid w:val="00A97861"/>
    <w:rsid w:val="00A97DA3"/>
    <w:rsid w:val="00AA0929"/>
    <w:rsid w:val="00AA27B3"/>
    <w:rsid w:val="00AA47A4"/>
    <w:rsid w:val="00AA48AA"/>
    <w:rsid w:val="00AA5AC3"/>
    <w:rsid w:val="00AA6976"/>
    <w:rsid w:val="00AA6B1A"/>
    <w:rsid w:val="00AA725E"/>
    <w:rsid w:val="00AA79F7"/>
    <w:rsid w:val="00AB0123"/>
    <w:rsid w:val="00AB0E89"/>
    <w:rsid w:val="00AB3E4A"/>
    <w:rsid w:val="00AB4092"/>
    <w:rsid w:val="00AB40CF"/>
    <w:rsid w:val="00AB7091"/>
    <w:rsid w:val="00AC01DE"/>
    <w:rsid w:val="00AC03B5"/>
    <w:rsid w:val="00AC1C93"/>
    <w:rsid w:val="00AC24E6"/>
    <w:rsid w:val="00AC2622"/>
    <w:rsid w:val="00AC4E29"/>
    <w:rsid w:val="00AC648B"/>
    <w:rsid w:val="00AC6BB1"/>
    <w:rsid w:val="00AC6E87"/>
    <w:rsid w:val="00AC70D3"/>
    <w:rsid w:val="00AC73D7"/>
    <w:rsid w:val="00AC7DA1"/>
    <w:rsid w:val="00AD14AD"/>
    <w:rsid w:val="00AD1E62"/>
    <w:rsid w:val="00AD23B6"/>
    <w:rsid w:val="00AD2F1D"/>
    <w:rsid w:val="00AD3852"/>
    <w:rsid w:val="00AD45A6"/>
    <w:rsid w:val="00AD4874"/>
    <w:rsid w:val="00AD5965"/>
    <w:rsid w:val="00AD74A7"/>
    <w:rsid w:val="00AE10C6"/>
    <w:rsid w:val="00AE28B3"/>
    <w:rsid w:val="00AE3AE3"/>
    <w:rsid w:val="00AE446D"/>
    <w:rsid w:val="00AE5D11"/>
    <w:rsid w:val="00AE798E"/>
    <w:rsid w:val="00AF0680"/>
    <w:rsid w:val="00AF154B"/>
    <w:rsid w:val="00AF1732"/>
    <w:rsid w:val="00AF1D4D"/>
    <w:rsid w:val="00AF2E66"/>
    <w:rsid w:val="00B00601"/>
    <w:rsid w:val="00B01702"/>
    <w:rsid w:val="00B04DCF"/>
    <w:rsid w:val="00B05A53"/>
    <w:rsid w:val="00B101FE"/>
    <w:rsid w:val="00B10D48"/>
    <w:rsid w:val="00B1112B"/>
    <w:rsid w:val="00B128C9"/>
    <w:rsid w:val="00B12D2A"/>
    <w:rsid w:val="00B133D8"/>
    <w:rsid w:val="00B136E0"/>
    <w:rsid w:val="00B1399C"/>
    <w:rsid w:val="00B14BDA"/>
    <w:rsid w:val="00B14F58"/>
    <w:rsid w:val="00B15050"/>
    <w:rsid w:val="00B15F0F"/>
    <w:rsid w:val="00B163C5"/>
    <w:rsid w:val="00B21511"/>
    <w:rsid w:val="00B21FD8"/>
    <w:rsid w:val="00B222EC"/>
    <w:rsid w:val="00B226A3"/>
    <w:rsid w:val="00B23024"/>
    <w:rsid w:val="00B23F3A"/>
    <w:rsid w:val="00B251A8"/>
    <w:rsid w:val="00B252BA"/>
    <w:rsid w:val="00B302C3"/>
    <w:rsid w:val="00B30844"/>
    <w:rsid w:val="00B312FC"/>
    <w:rsid w:val="00B31A20"/>
    <w:rsid w:val="00B33588"/>
    <w:rsid w:val="00B33AB0"/>
    <w:rsid w:val="00B33BC5"/>
    <w:rsid w:val="00B33FFB"/>
    <w:rsid w:val="00B34421"/>
    <w:rsid w:val="00B36C55"/>
    <w:rsid w:val="00B37C96"/>
    <w:rsid w:val="00B4016C"/>
    <w:rsid w:val="00B40AF6"/>
    <w:rsid w:val="00B4274C"/>
    <w:rsid w:val="00B4355A"/>
    <w:rsid w:val="00B43CF7"/>
    <w:rsid w:val="00B46819"/>
    <w:rsid w:val="00B46AC1"/>
    <w:rsid w:val="00B46BA5"/>
    <w:rsid w:val="00B517D3"/>
    <w:rsid w:val="00B53CB2"/>
    <w:rsid w:val="00B55D80"/>
    <w:rsid w:val="00B563EE"/>
    <w:rsid w:val="00B56EB7"/>
    <w:rsid w:val="00B60894"/>
    <w:rsid w:val="00B61E06"/>
    <w:rsid w:val="00B6270A"/>
    <w:rsid w:val="00B63D9B"/>
    <w:rsid w:val="00B6440C"/>
    <w:rsid w:val="00B65E88"/>
    <w:rsid w:val="00B65F58"/>
    <w:rsid w:val="00B662B5"/>
    <w:rsid w:val="00B679A3"/>
    <w:rsid w:val="00B67EC1"/>
    <w:rsid w:val="00B70235"/>
    <w:rsid w:val="00B70D71"/>
    <w:rsid w:val="00B72043"/>
    <w:rsid w:val="00B76045"/>
    <w:rsid w:val="00B771DF"/>
    <w:rsid w:val="00B77497"/>
    <w:rsid w:val="00B77697"/>
    <w:rsid w:val="00B83243"/>
    <w:rsid w:val="00B85967"/>
    <w:rsid w:val="00B85BDA"/>
    <w:rsid w:val="00B86621"/>
    <w:rsid w:val="00B906FE"/>
    <w:rsid w:val="00B917F2"/>
    <w:rsid w:val="00B92EC9"/>
    <w:rsid w:val="00B93B28"/>
    <w:rsid w:val="00B95F3D"/>
    <w:rsid w:val="00BA18B3"/>
    <w:rsid w:val="00BA41A2"/>
    <w:rsid w:val="00BA436D"/>
    <w:rsid w:val="00BA4798"/>
    <w:rsid w:val="00BA4950"/>
    <w:rsid w:val="00BA5A3C"/>
    <w:rsid w:val="00BA6B4B"/>
    <w:rsid w:val="00BA71B8"/>
    <w:rsid w:val="00BA7346"/>
    <w:rsid w:val="00BB1A89"/>
    <w:rsid w:val="00BB3678"/>
    <w:rsid w:val="00BB6C26"/>
    <w:rsid w:val="00BC1956"/>
    <w:rsid w:val="00BC27DA"/>
    <w:rsid w:val="00BC2AD7"/>
    <w:rsid w:val="00BC3FE3"/>
    <w:rsid w:val="00BC47E1"/>
    <w:rsid w:val="00BC4FB8"/>
    <w:rsid w:val="00BC57BF"/>
    <w:rsid w:val="00BC64A2"/>
    <w:rsid w:val="00BC6A84"/>
    <w:rsid w:val="00BC73F1"/>
    <w:rsid w:val="00BC7BB3"/>
    <w:rsid w:val="00BC7E20"/>
    <w:rsid w:val="00BD1570"/>
    <w:rsid w:val="00BD2572"/>
    <w:rsid w:val="00BD2AE7"/>
    <w:rsid w:val="00BE0E3C"/>
    <w:rsid w:val="00BE182C"/>
    <w:rsid w:val="00BE511B"/>
    <w:rsid w:val="00BF2060"/>
    <w:rsid w:val="00BF3384"/>
    <w:rsid w:val="00BF3FA9"/>
    <w:rsid w:val="00BF4320"/>
    <w:rsid w:val="00BF5B1F"/>
    <w:rsid w:val="00BF7226"/>
    <w:rsid w:val="00BF7FFB"/>
    <w:rsid w:val="00C00EDE"/>
    <w:rsid w:val="00C01E81"/>
    <w:rsid w:val="00C021E1"/>
    <w:rsid w:val="00C038A3"/>
    <w:rsid w:val="00C0666D"/>
    <w:rsid w:val="00C06F42"/>
    <w:rsid w:val="00C07D51"/>
    <w:rsid w:val="00C07E22"/>
    <w:rsid w:val="00C07F7E"/>
    <w:rsid w:val="00C10541"/>
    <w:rsid w:val="00C11175"/>
    <w:rsid w:val="00C1264C"/>
    <w:rsid w:val="00C126C5"/>
    <w:rsid w:val="00C14797"/>
    <w:rsid w:val="00C16B26"/>
    <w:rsid w:val="00C2124A"/>
    <w:rsid w:val="00C24AA2"/>
    <w:rsid w:val="00C24FB8"/>
    <w:rsid w:val="00C27079"/>
    <w:rsid w:val="00C30E50"/>
    <w:rsid w:val="00C35EA9"/>
    <w:rsid w:val="00C37C9B"/>
    <w:rsid w:val="00C403BD"/>
    <w:rsid w:val="00C4053B"/>
    <w:rsid w:val="00C406A6"/>
    <w:rsid w:val="00C40719"/>
    <w:rsid w:val="00C41C8B"/>
    <w:rsid w:val="00C4325C"/>
    <w:rsid w:val="00C441E8"/>
    <w:rsid w:val="00C4427C"/>
    <w:rsid w:val="00C44DCB"/>
    <w:rsid w:val="00C4656A"/>
    <w:rsid w:val="00C46D3E"/>
    <w:rsid w:val="00C470E7"/>
    <w:rsid w:val="00C47A68"/>
    <w:rsid w:val="00C47C3A"/>
    <w:rsid w:val="00C505D2"/>
    <w:rsid w:val="00C507C6"/>
    <w:rsid w:val="00C52DC5"/>
    <w:rsid w:val="00C5321E"/>
    <w:rsid w:val="00C54885"/>
    <w:rsid w:val="00C5566D"/>
    <w:rsid w:val="00C55AC2"/>
    <w:rsid w:val="00C565C6"/>
    <w:rsid w:val="00C601A9"/>
    <w:rsid w:val="00C609C3"/>
    <w:rsid w:val="00C60C21"/>
    <w:rsid w:val="00C610A7"/>
    <w:rsid w:val="00C64AB7"/>
    <w:rsid w:val="00C65A55"/>
    <w:rsid w:val="00C662F5"/>
    <w:rsid w:val="00C67026"/>
    <w:rsid w:val="00C671D1"/>
    <w:rsid w:val="00C71A49"/>
    <w:rsid w:val="00C72649"/>
    <w:rsid w:val="00C73A2A"/>
    <w:rsid w:val="00C7476C"/>
    <w:rsid w:val="00C748FF"/>
    <w:rsid w:val="00C754C3"/>
    <w:rsid w:val="00C767D5"/>
    <w:rsid w:val="00C83C84"/>
    <w:rsid w:val="00C8466E"/>
    <w:rsid w:val="00C84C07"/>
    <w:rsid w:val="00C84E64"/>
    <w:rsid w:val="00C862D4"/>
    <w:rsid w:val="00C87D37"/>
    <w:rsid w:val="00C90424"/>
    <w:rsid w:val="00C91E07"/>
    <w:rsid w:val="00C91E30"/>
    <w:rsid w:val="00C91EA0"/>
    <w:rsid w:val="00C92C41"/>
    <w:rsid w:val="00C932AB"/>
    <w:rsid w:val="00C9506D"/>
    <w:rsid w:val="00C95CAA"/>
    <w:rsid w:val="00C97938"/>
    <w:rsid w:val="00C97C9D"/>
    <w:rsid w:val="00CA0334"/>
    <w:rsid w:val="00CA0BCC"/>
    <w:rsid w:val="00CA1825"/>
    <w:rsid w:val="00CA3C95"/>
    <w:rsid w:val="00CA544E"/>
    <w:rsid w:val="00CA5E36"/>
    <w:rsid w:val="00CA752E"/>
    <w:rsid w:val="00CB0031"/>
    <w:rsid w:val="00CB09A7"/>
    <w:rsid w:val="00CB0E38"/>
    <w:rsid w:val="00CB1344"/>
    <w:rsid w:val="00CB26A9"/>
    <w:rsid w:val="00CB2DFD"/>
    <w:rsid w:val="00CB3DBD"/>
    <w:rsid w:val="00CB5B7B"/>
    <w:rsid w:val="00CC08A9"/>
    <w:rsid w:val="00CC0A9E"/>
    <w:rsid w:val="00CC12F8"/>
    <w:rsid w:val="00CC140E"/>
    <w:rsid w:val="00CC1530"/>
    <w:rsid w:val="00CC238A"/>
    <w:rsid w:val="00CC502A"/>
    <w:rsid w:val="00CC7006"/>
    <w:rsid w:val="00CD07B9"/>
    <w:rsid w:val="00CD0C38"/>
    <w:rsid w:val="00CD25B1"/>
    <w:rsid w:val="00CD3119"/>
    <w:rsid w:val="00CD37BA"/>
    <w:rsid w:val="00CD7A4F"/>
    <w:rsid w:val="00CE0D87"/>
    <w:rsid w:val="00CE123D"/>
    <w:rsid w:val="00CE147D"/>
    <w:rsid w:val="00CE6549"/>
    <w:rsid w:val="00CE6B0B"/>
    <w:rsid w:val="00CE6DC2"/>
    <w:rsid w:val="00CE77B3"/>
    <w:rsid w:val="00CF74B8"/>
    <w:rsid w:val="00CF7BEA"/>
    <w:rsid w:val="00D0008C"/>
    <w:rsid w:val="00D0042B"/>
    <w:rsid w:val="00D00524"/>
    <w:rsid w:val="00D02127"/>
    <w:rsid w:val="00D02C5E"/>
    <w:rsid w:val="00D03A40"/>
    <w:rsid w:val="00D06996"/>
    <w:rsid w:val="00D07835"/>
    <w:rsid w:val="00D109F6"/>
    <w:rsid w:val="00D10E11"/>
    <w:rsid w:val="00D14F97"/>
    <w:rsid w:val="00D165F3"/>
    <w:rsid w:val="00D16800"/>
    <w:rsid w:val="00D175E2"/>
    <w:rsid w:val="00D17773"/>
    <w:rsid w:val="00D22550"/>
    <w:rsid w:val="00D25ED8"/>
    <w:rsid w:val="00D26573"/>
    <w:rsid w:val="00D2668E"/>
    <w:rsid w:val="00D26814"/>
    <w:rsid w:val="00D26CA4"/>
    <w:rsid w:val="00D26D8D"/>
    <w:rsid w:val="00D2752E"/>
    <w:rsid w:val="00D30F50"/>
    <w:rsid w:val="00D345E6"/>
    <w:rsid w:val="00D346BF"/>
    <w:rsid w:val="00D34BAE"/>
    <w:rsid w:val="00D34F6E"/>
    <w:rsid w:val="00D35601"/>
    <w:rsid w:val="00D36C81"/>
    <w:rsid w:val="00D41841"/>
    <w:rsid w:val="00D42B6E"/>
    <w:rsid w:val="00D4306B"/>
    <w:rsid w:val="00D434ED"/>
    <w:rsid w:val="00D43C26"/>
    <w:rsid w:val="00D444FB"/>
    <w:rsid w:val="00D44A82"/>
    <w:rsid w:val="00D44DF9"/>
    <w:rsid w:val="00D475FA"/>
    <w:rsid w:val="00D515B4"/>
    <w:rsid w:val="00D531E7"/>
    <w:rsid w:val="00D53E08"/>
    <w:rsid w:val="00D5423B"/>
    <w:rsid w:val="00D54EB6"/>
    <w:rsid w:val="00D556A0"/>
    <w:rsid w:val="00D55E8C"/>
    <w:rsid w:val="00D5636E"/>
    <w:rsid w:val="00D577E3"/>
    <w:rsid w:val="00D61239"/>
    <w:rsid w:val="00D61473"/>
    <w:rsid w:val="00D65215"/>
    <w:rsid w:val="00D66134"/>
    <w:rsid w:val="00D7117C"/>
    <w:rsid w:val="00D718F7"/>
    <w:rsid w:val="00D7247D"/>
    <w:rsid w:val="00D7292A"/>
    <w:rsid w:val="00D72A80"/>
    <w:rsid w:val="00D73778"/>
    <w:rsid w:val="00D73C60"/>
    <w:rsid w:val="00D7579F"/>
    <w:rsid w:val="00D76398"/>
    <w:rsid w:val="00D76830"/>
    <w:rsid w:val="00D769F2"/>
    <w:rsid w:val="00D77442"/>
    <w:rsid w:val="00D774CC"/>
    <w:rsid w:val="00D77812"/>
    <w:rsid w:val="00D81930"/>
    <w:rsid w:val="00D835CF"/>
    <w:rsid w:val="00D86483"/>
    <w:rsid w:val="00D86CDA"/>
    <w:rsid w:val="00D87B56"/>
    <w:rsid w:val="00D90EB4"/>
    <w:rsid w:val="00D915DB"/>
    <w:rsid w:val="00D917A2"/>
    <w:rsid w:val="00D9199C"/>
    <w:rsid w:val="00D949DA"/>
    <w:rsid w:val="00D96402"/>
    <w:rsid w:val="00DA18C0"/>
    <w:rsid w:val="00DA4F0B"/>
    <w:rsid w:val="00DA5F48"/>
    <w:rsid w:val="00DA6016"/>
    <w:rsid w:val="00DA68D5"/>
    <w:rsid w:val="00DA7066"/>
    <w:rsid w:val="00DA75E5"/>
    <w:rsid w:val="00DA7982"/>
    <w:rsid w:val="00DA7C07"/>
    <w:rsid w:val="00DB015D"/>
    <w:rsid w:val="00DB1459"/>
    <w:rsid w:val="00DB6BBF"/>
    <w:rsid w:val="00DC0355"/>
    <w:rsid w:val="00DC5B06"/>
    <w:rsid w:val="00DC6184"/>
    <w:rsid w:val="00DC652A"/>
    <w:rsid w:val="00DC7794"/>
    <w:rsid w:val="00DD1D48"/>
    <w:rsid w:val="00DD22A6"/>
    <w:rsid w:val="00DD358E"/>
    <w:rsid w:val="00DD3F98"/>
    <w:rsid w:val="00DD60C1"/>
    <w:rsid w:val="00DD774D"/>
    <w:rsid w:val="00DD796F"/>
    <w:rsid w:val="00DE0F92"/>
    <w:rsid w:val="00DE17AF"/>
    <w:rsid w:val="00DE2C71"/>
    <w:rsid w:val="00DE3FE2"/>
    <w:rsid w:val="00DE428D"/>
    <w:rsid w:val="00DE56B9"/>
    <w:rsid w:val="00DE58F1"/>
    <w:rsid w:val="00DE5D2A"/>
    <w:rsid w:val="00DE6B84"/>
    <w:rsid w:val="00DF0103"/>
    <w:rsid w:val="00DF097A"/>
    <w:rsid w:val="00DF099F"/>
    <w:rsid w:val="00DF45FD"/>
    <w:rsid w:val="00DF6576"/>
    <w:rsid w:val="00DF7502"/>
    <w:rsid w:val="00DF7F62"/>
    <w:rsid w:val="00E06D49"/>
    <w:rsid w:val="00E07403"/>
    <w:rsid w:val="00E1043A"/>
    <w:rsid w:val="00E107BA"/>
    <w:rsid w:val="00E107D4"/>
    <w:rsid w:val="00E11492"/>
    <w:rsid w:val="00E115B2"/>
    <w:rsid w:val="00E11A77"/>
    <w:rsid w:val="00E14756"/>
    <w:rsid w:val="00E16133"/>
    <w:rsid w:val="00E169A6"/>
    <w:rsid w:val="00E21895"/>
    <w:rsid w:val="00E219B4"/>
    <w:rsid w:val="00E23F1F"/>
    <w:rsid w:val="00E24CD9"/>
    <w:rsid w:val="00E251B6"/>
    <w:rsid w:val="00E2715B"/>
    <w:rsid w:val="00E325A5"/>
    <w:rsid w:val="00E34123"/>
    <w:rsid w:val="00E34FE6"/>
    <w:rsid w:val="00E3776A"/>
    <w:rsid w:val="00E4045A"/>
    <w:rsid w:val="00E41086"/>
    <w:rsid w:val="00E414BF"/>
    <w:rsid w:val="00E416E9"/>
    <w:rsid w:val="00E425E6"/>
    <w:rsid w:val="00E43841"/>
    <w:rsid w:val="00E4620F"/>
    <w:rsid w:val="00E4676C"/>
    <w:rsid w:val="00E51356"/>
    <w:rsid w:val="00E51957"/>
    <w:rsid w:val="00E53F68"/>
    <w:rsid w:val="00E56A74"/>
    <w:rsid w:val="00E6123B"/>
    <w:rsid w:val="00E612BA"/>
    <w:rsid w:val="00E62B0A"/>
    <w:rsid w:val="00E63C1D"/>
    <w:rsid w:val="00E63C3F"/>
    <w:rsid w:val="00E662DA"/>
    <w:rsid w:val="00E66584"/>
    <w:rsid w:val="00E67A1E"/>
    <w:rsid w:val="00E722F8"/>
    <w:rsid w:val="00E7350E"/>
    <w:rsid w:val="00E7363F"/>
    <w:rsid w:val="00E739B3"/>
    <w:rsid w:val="00E73C64"/>
    <w:rsid w:val="00E74048"/>
    <w:rsid w:val="00E74897"/>
    <w:rsid w:val="00E75D4F"/>
    <w:rsid w:val="00E76EA1"/>
    <w:rsid w:val="00E7793F"/>
    <w:rsid w:val="00E77B69"/>
    <w:rsid w:val="00E8141B"/>
    <w:rsid w:val="00E8160F"/>
    <w:rsid w:val="00E81BC9"/>
    <w:rsid w:val="00E834A8"/>
    <w:rsid w:val="00E852AC"/>
    <w:rsid w:val="00E85A4B"/>
    <w:rsid w:val="00E85E0C"/>
    <w:rsid w:val="00E86BD8"/>
    <w:rsid w:val="00E8798B"/>
    <w:rsid w:val="00E9058C"/>
    <w:rsid w:val="00E906C6"/>
    <w:rsid w:val="00E92679"/>
    <w:rsid w:val="00E935B0"/>
    <w:rsid w:val="00E93A9D"/>
    <w:rsid w:val="00E958E5"/>
    <w:rsid w:val="00E963E3"/>
    <w:rsid w:val="00E964EA"/>
    <w:rsid w:val="00E978DC"/>
    <w:rsid w:val="00EA0877"/>
    <w:rsid w:val="00EA1407"/>
    <w:rsid w:val="00EA1911"/>
    <w:rsid w:val="00EA21F9"/>
    <w:rsid w:val="00EA28A3"/>
    <w:rsid w:val="00EA2F2D"/>
    <w:rsid w:val="00EA39A2"/>
    <w:rsid w:val="00EA3B3E"/>
    <w:rsid w:val="00EA3D62"/>
    <w:rsid w:val="00EA3F18"/>
    <w:rsid w:val="00EA6C0B"/>
    <w:rsid w:val="00EB1447"/>
    <w:rsid w:val="00EB15EB"/>
    <w:rsid w:val="00EB2C31"/>
    <w:rsid w:val="00EB58FE"/>
    <w:rsid w:val="00EB5C3C"/>
    <w:rsid w:val="00EC0803"/>
    <w:rsid w:val="00EC211A"/>
    <w:rsid w:val="00EC3959"/>
    <w:rsid w:val="00EC3B59"/>
    <w:rsid w:val="00EC4518"/>
    <w:rsid w:val="00EC5AE9"/>
    <w:rsid w:val="00EC6934"/>
    <w:rsid w:val="00EC7014"/>
    <w:rsid w:val="00ED0254"/>
    <w:rsid w:val="00ED08EB"/>
    <w:rsid w:val="00ED1386"/>
    <w:rsid w:val="00ED151F"/>
    <w:rsid w:val="00ED4870"/>
    <w:rsid w:val="00ED5137"/>
    <w:rsid w:val="00ED5343"/>
    <w:rsid w:val="00ED59BF"/>
    <w:rsid w:val="00ED5A16"/>
    <w:rsid w:val="00ED7BD2"/>
    <w:rsid w:val="00EE18DD"/>
    <w:rsid w:val="00EE1D96"/>
    <w:rsid w:val="00EE23D1"/>
    <w:rsid w:val="00EE25F8"/>
    <w:rsid w:val="00EE280F"/>
    <w:rsid w:val="00EE2A53"/>
    <w:rsid w:val="00EE3C3D"/>
    <w:rsid w:val="00EE3D71"/>
    <w:rsid w:val="00EE55AB"/>
    <w:rsid w:val="00EE6732"/>
    <w:rsid w:val="00EF00D5"/>
    <w:rsid w:val="00EF062B"/>
    <w:rsid w:val="00EF171A"/>
    <w:rsid w:val="00EF333C"/>
    <w:rsid w:val="00EF5175"/>
    <w:rsid w:val="00EF614A"/>
    <w:rsid w:val="00EF66FE"/>
    <w:rsid w:val="00F0176D"/>
    <w:rsid w:val="00F017BB"/>
    <w:rsid w:val="00F01FDA"/>
    <w:rsid w:val="00F029FE"/>
    <w:rsid w:val="00F041AD"/>
    <w:rsid w:val="00F04FCD"/>
    <w:rsid w:val="00F05C16"/>
    <w:rsid w:val="00F077AF"/>
    <w:rsid w:val="00F07DAF"/>
    <w:rsid w:val="00F15174"/>
    <w:rsid w:val="00F15EBB"/>
    <w:rsid w:val="00F16951"/>
    <w:rsid w:val="00F1727F"/>
    <w:rsid w:val="00F22491"/>
    <w:rsid w:val="00F22508"/>
    <w:rsid w:val="00F230B6"/>
    <w:rsid w:val="00F23166"/>
    <w:rsid w:val="00F24500"/>
    <w:rsid w:val="00F24CA2"/>
    <w:rsid w:val="00F252F2"/>
    <w:rsid w:val="00F25884"/>
    <w:rsid w:val="00F27BB7"/>
    <w:rsid w:val="00F30F5B"/>
    <w:rsid w:val="00F326A5"/>
    <w:rsid w:val="00F32967"/>
    <w:rsid w:val="00F33713"/>
    <w:rsid w:val="00F339BF"/>
    <w:rsid w:val="00F33F31"/>
    <w:rsid w:val="00F34062"/>
    <w:rsid w:val="00F35373"/>
    <w:rsid w:val="00F354E4"/>
    <w:rsid w:val="00F35DDD"/>
    <w:rsid w:val="00F413B3"/>
    <w:rsid w:val="00F41818"/>
    <w:rsid w:val="00F43BD7"/>
    <w:rsid w:val="00F46C81"/>
    <w:rsid w:val="00F47A8F"/>
    <w:rsid w:val="00F47C6E"/>
    <w:rsid w:val="00F513F5"/>
    <w:rsid w:val="00F519DF"/>
    <w:rsid w:val="00F52E5E"/>
    <w:rsid w:val="00F533E3"/>
    <w:rsid w:val="00F53575"/>
    <w:rsid w:val="00F53A75"/>
    <w:rsid w:val="00F547D7"/>
    <w:rsid w:val="00F551E7"/>
    <w:rsid w:val="00F562BF"/>
    <w:rsid w:val="00F621BA"/>
    <w:rsid w:val="00F62A74"/>
    <w:rsid w:val="00F62CCD"/>
    <w:rsid w:val="00F62D65"/>
    <w:rsid w:val="00F645DA"/>
    <w:rsid w:val="00F6495C"/>
    <w:rsid w:val="00F70654"/>
    <w:rsid w:val="00F71077"/>
    <w:rsid w:val="00F71E2D"/>
    <w:rsid w:val="00F7224D"/>
    <w:rsid w:val="00F73794"/>
    <w:rsid w:val="00F75BCE"/>
    <w:rsid w:val="00F7654C"/>
    <w:rsid w:val="00F76E86"/>
    <w:rsid w:val="00F80627"/>
    <w:rsid w:val="00F8069D"/>
    <w:rsid w:val="00F81585"/>
    <w:rsid w:val="00F85484"/>
    <w:rsid w:val="00F85A4F"/>
    <w:rsid w:val="00F85DBE"/>
    <w:rsid w:val="00F87266"/>
    <w:rsid w:val="00F914AB"/>
    <w:rsid w:val="00F95382"/>
    <w:rsid w:val="00F95C11"/>
    <w:rsid w:val="00F95F89"/>
    <w:rsid w:val="00F9760C"/>
    <w:rsid w:val="00FA1429"/>
    <w:rsid w:val="00FA42FC"/>
    <w:rsid w:val="00FA50D6"/>
    <w:rsid w:val="00FB0335"/>
    <w:rsid w:val="00FB14B6"/>
    <w:rsid w:val="00FB179A"/>
    <w:rsid w:val="00FB2D95"/>
    <w:rsid w:val="00FB30C0"/>
    <w:rsid w:val="00FB5141"/>
    <w:rsid w:val="00FB6B28"/>
    <w:rsid w:val="00FB707E"/>
    <w:rsid w:val="00FB7160"/>
    <w:rsid w:val="00FC2AF5"/>
    <w:rsid w:val="00FC3CB5"/>
    <w:rsid w:val="00FC4AB6"/>
    <w:rsid w:val="00FC4E58"/>
    <w:rsid w:val="00FC5D66"/>
    <w:rsid w:val="00FC67E2"/>
    <w:rsid w:val="00FC686C"/>
    <w:rsid w:val="00FC6BB6"/>
    <w:rsid w:val="00FC7B06"/>
    <w:rsid w:val="00FD4414"/>
    <w:rsid w:val="00FD544A"/>
    <w:rsid w:val="00FD7506"/>
    <w:rsid w:val="00FD7F1D"/>
    <w:rsid w:val="00FE02C1"/>
    <w:rsid w:val="00FE1E78"/>
    <w:rsid w:val="00FE256C"/>
    <w:rsid w:val="00FE4FEC"/>
    <w:rsid w:val="00FE5A65"/>
    <w:rsid w:val="00FE600D"/>
    <w:rsid w:val="00FE6506"/>
    <w:rsid w:val="00FE6D28"/>
    <w:rsid w:val="00FE788A"/>
    <w:rsid w:val="00FF0B67"/>
    <w:rsid w:val="00FF0FEA"/>
    <w:rsid w:val="00FF1835"/>
    <w:rsid w:val="00FF20FA"/>
    <w:rsid w:val="00FF268F"/>
    <w:rsid w:val="00FF2BE9"/>
    <w:rsid w:val="00FF4094"/>
    <w:rsid w:val="00FF5FAB"/>
    <w:rsid w:val="00FF63D5"/>
    <w:rsid w:val="00FF7A9F"/>
    <w:rsid w:val="0614FEAD"/>
    <w:rsid w:val="0913D33A"/>
    <w:rsid w:val="0C8639F7"/>
    <w:rsid w:val="0D95F670"/>
    <w:rsid w:val="11D17103"/>
    <w:rsid w:val="13F78B17"/>
    <w:rsid w:val="147767B8"/>
    <w:rsid w:val="17162443"/>
    <w:rsid w:val="182B8590"/>
    <w:rsid w:val="18BDC20C"/>
    <w:rsid w:val="1D5970A5"/>
    <w:rsid w:val="1FCDAB9A"/>
    <w:rsid w:val="20A6508D"/>
    <w:rsid w:val="2304E646"/>
    <w:rsid w:val="25EAC7E2"/>
    <w:rsid w:val="26F844A3"/>
    <w:rsid w:val="2C556415"/>
    <w:rsid w:val="2C6D2307"/>
    <w:rsid w:val="2E499365"/>
    <w:rsid w:val="3881C321"/>
    <w:rsid w:val="38895561"/>
    <w:rsid w:val="38970AEE"/>
    <w:rsid w:val="3C3573E9"/>
    <w:rsid w:val="4D11B5CA"/>
    <w:rsid w:val="52470809"/>
    <w:rsid w:val="52BB1CB2"/>
    <w:rsid w:val="53F068CD"/>
    <w:rsid w:val="55186E45"/>
    <w:rsid w:val="55F2395B"/>
    <w:rsid w:val="5D84706A"/>
    <w:rsid w:val="5DECCD7C"/>
    <w:rsid w:val="5ECD3F5B"/>
    <w:rsid w:val="5EE0DF07"/>
    <w:rsid w:val="612A1BE4"/>
    <w:rsid w:val="61334F4B"/>
    <w:rsid w:val="64889BDE"/>
    <w:rsid w:val="6B421AEA"/>
    <w:rsid w:val="6CF249E7"/>
    <w:rsid w:val="77ABC10C"/>
    <w:rsid w:val="7B403D96"/>
    <w:rsid w:val="7C1B9C7F"/>
    <w:rsid w:val="7CADEE2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998727D"/>
  <w15:chartTrackingRefBased/>
  <w15:docId w15:val="{C0EDF434-FAE2-4812-BEAB-760E3B19A7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25884"/>
    <w:pPr>
      <w:spacing w:line="278" w:lineRule="auto"/>
    </w:pPr>
    <w:rPr>
      <w:rFonts w:ascii="Calibri" w:hAnsi="Calibri"/>
    </w:rPr>
  </w:style>
  <w:style w:type="paragraph" w:styleId="Heading1">
    <w:name w:val="heading 1"/>
    <w:basedOn w:val="Normal"/>
    <w:next w:val="Normal"/>
    <w:link w:val="Heading1Char"/>
    <w:autoRedefine/>
    <w:uiPriority w:val="9"/>
    <w:qFormat/>
    <w:rsid w:val="00470D3A"/>
    <w:pPr>
      <w:keepNext/>
      <w:keepLines/>
      <w:pBdr>
        <w:bottom w:val="single" w:sz="12" w:space="1" w:color="54746A"/>
      </w:pBdr>
      <w:spacing w:before="360" w:after="80"/>
      <w:outlineLvl w:val="0"/>
    </w:pPr>
    <w:rPr>
      <w:rFonts w:eastAsiaTheme="majorEastAsia" w:cstheme="majorBidi"/>
      <w:b/>
      <w:color w:val="54746A"/>
      <w:sz w:val="40"/>
      <w:szCs w:val="32"/>
    </w:rPr>
  </w:style>
  <w:style w:type="paragraph" w:styleId="Heading2">
    <w:name w:val="heading 2"/>
    <w:basedOn w:val="Normal"/>
    <w:next w:val="Normal"/>
    <w:link w:val="Heading2Char"/>
    <w:autoRedefine/>
    <w:uiPriority w:val="9"/>
    <w:unhideWhenUsed/>
    <w:qFormat/>
    <w:rsid w:val="00BC2AD7"/>
    <w:pPr>
      <w:keepNext/>
      <w:keepLines/>
      <w:shd w:val="clear" w:color="auto" w:fill="54746A"/>
      <w:tabs>
        <w:tab w:val="left" w:pos="2431"/>
      </w:tabs>
      <w:spacing w:before="240" w:after="120"/>
      <w:outlineLvl w:val="1"/>
    </w:pPr>
    <w:rPr>
      <w:rFonts w:eastAsia="Calibri" w:cs="Calibri"/>
      <w:b/>
      <w:caps/>
      <w:smallCaps/>
      <w:color w:val="FFFFFF" w:themeColor="background1"/>
      <w:sz w:val="28"/>
      <w:szCs w:val="30"/>
    </w:rPr>
  </w:style>
  <w:style w:type="paragraph" w:styleId="Heading3">
    <w:name w:val="heading 3"/>
    <w:basedOn w:val="Normal"/>
    <w:next w:val="Normal"/>
    <w:link w:val="Heading3Char"/>
    <w:autoRedefine/>
    <w:uiPriority w:val="9"/>
    <w:unhideWhenUsed/>
    <w:qFormat/>
    <w:rsid w:val="00987738"/>
    <w:pPr>
      <w:keepNext/>
      <w:keepLines/>
      <w:spacing w:before="120" w:after="120"/>
      <w:outlineLvl w:val="2"/>
    </w:pPr>
    <w:rPr>
      <w:rFonts w:eastAsia="Calibri" w:cs="Calibri"/>
      <w:b/>
      <w:color w:val="54746A"/>
      <w:sz w:val="28"/>
      <w:szCs w:val="26"/>
    </w:rPr>
  </w:style>
  <w:style w:type="paragraph" w:styleId="Heading4">
    <w:name w:val="heading 4"/>
    <w:basedOn w:val="Normal"/>
    <w:next w:val="Normal"/>
    <w:link w:val="Heading4Char"/>
    <w:autoRedefine/>
    <w:uiPriority w:val="9"/>
    <w:unhideWhenUsed/>
    <w:qFormat/>
    <w:rsid w:val="00BB6C26"/>
    <w:pPr>
      <w:keepNext/>
      <w:keepLines/>
      <w:spacing w:before="120" w:after="120"/>
      <w:outlineLvl w:val="3"/>
    </w:pPr>
    <w:rPr>
      <w:rFonts w:eastAsia="Calibri" w:cs="Calibri"/>
      <w:b/>
      <w:bCs/>
      <w:i/>
      <w:iCs/>
      <w:color w:val="54746A"/>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A4798"/>
    <w:pPr>
      <w:ind w:left="720"/>
      <w:contextualSpacing/>
    </w:pPr>
  </w:style>
  <w:style w:type="table" w:styleId="TableGrid">
    <w:name w:val="Table Grid"/>
    <w:basedOn w:val="TableNormal"/>
    <w:uiPriority w:val="39"/>
    <w:rsid w:val="009C625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phy">
    <w:name w:val="Bibliography"/>
    <w:basedOn w:val="Normal"/>
    <w:next w:val="Normal"/>
    <w:uiPriority w:val="37"/>
    <w:unhideWhenUsed/>
    <w:rsid w:val="00A82FC9"/>
    <w:pPr>
      <w:spacing w:after="0" w:line="240" w:lineRule="auto"/>
      <w:ind w:left="720" w:hanging="720"/>
    </w:pPr>
    <w:rPr>
      <w:rFonts w:ascii="Arial" w:eastAsia="Times New Roman" w:hAnsi="Arial" w:cs="Arial"/>
    </w:rPr>
  </w:style>
  <w:style w:type="paragraph" w:styleId="Header">
    <w:name w:val="header"/>
    <w:basedOn w:val="Normal"/>
    <w:link w:val="HeaderChar"/>
    <w:uiPriority w:val="99"/>
    <w:unhideWhenUsed/>
    <w:rsid w:val="0037772A"/>
    <w:pPr>
      <w:tabs>
        <w:tab w:val="center" w:pos="4680"/>
        <w:tab w:val="right" w:pos="9360"/>
      </w:tabs>
      <w:spacing w:after="0" w:line="240" w:lineRule="auto"/>
    </w:pPr>
  </w:style>
  <w:style w:type="character" w:customStyle="1" w:styleId="HeaderChar">
    <w:name w:val="Header Char"/>
    <w:basedOn w:val="DefaultParagraphFont"/>
    <w:link w:val="Header"/>
    <w:uiPriority w:val="99"/>
    <w:rsid w:val="0037772A"/>
  </w:style>
  <w:style w:type="paragraph" w:styleId="Footer">
    <w:name w:val="footer"/>
    <w:basedOn w:val="Normal"/>
    <w:link w:val="FooterChar"/>
    <w:uiPriority w:val="99"/>
    <w:unhideWhenUsed/>
    <w:rsid w:val="0037772A"/>
    <w:pPr>
      <w:tabs>
        <w:tab w:val="center" w:pos="4680"/>
        <w:tab w:val="right" w:pos="9360"/>
      </w:tabs>
      <w:spacing w:after="0" w:line="240" w:lineRule="auto"/>
    </w:pPr>
  </w:style>
  <w:style w:type="character" w:customStyle="1" w:styleId="FooterChar">
    <w:name w:val="Footer Char"/>
    <w:basedOn w:val="DefaultParagraphFont"/>
    <w:link w:val="Footer"/>
    <w:uiPriority w:val="99"/>
    <w:rsid w:val="0037772A"/>
  </w:style>
  <w:style w:type="character" w:styleId="Hyperlink">
    <w:name w:val="Hyperlink"/>
    <w:basedOn w:val="DefaultParagraphFont"/>
    <w:uiPriority w:val="99"/>
    <w:unhideWhenUsed/>
    <w:rsid w:val="00DD1D48"/>
    <w:rPr>
      <w:color w:val="0563C1" w:themeColor="hyperlink"/>
      <w:u w:val="single"/>
    </w:rPr>
  </w:style>
  <w:style w:type="character" w:styleId="UnresolvedMention">
    <w:name w:val="Unresolved Mention"/>
    <w:basedOn w:val="DefaultParagraphFont"/>
    <w:uiPriority w:val="99"/>
    <w:semiHidden/>
    <w:unhideWhenUsed/>
    <w:rsid w:val="00DD1D48"/>
    <w:rPr>
      <w:color w:val="605E5C"/>
      <w:shd w:val="clear" w:color="auto" w:fill="E1DFDD"/>
    </w:rPr>
  </w:style>
  <w:style w:type="character" w:styleId="FollowedHyperlink">
    <w:name w:val="FollowedHyperlink"/>
    <w:basedOn w:val="DefaultParagraphFont"/>
    <w:uiPriority w:val="99"/>
    <w:semiHidden/>
    <w:unhideWhenUsed/>
    <w:rsid w:val="00CD07B9"/>
    <w:rPr>
      <w:color w:val="954F72" w:themeColor="followedHyperlink"/>
      <w:u w:val="single"/>
    </w:rPr>
  </w:style>
  <w:style w:type="paragraph" w:styleId="BalloonText">
    <w:name w:val="Balloon Text"/>
    <w:basedOn w:val="Normal"/>
    <w:link w:val="BalloonTextChar"/>
    <w:uiPriority w:val="99"/>
    <w:semiHidden/>
    <w:unhideWhenUsed/>
    <w:rsid w:val="0064641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46419"/>
    <w:rPr>
      <w:rFonts w:ascii="Segoe UI" w:hAnsi="Segoe UI" w:cs="Segoe UI"/>
      <w:sz w:val="18"/>
      <w:szCs w:val="18"/>
    </w:rPr>
  </w:style>
  <w:style w:type="character" w:styleId="CommentReference">
    <w:name w:val="annotation reference"/>
    <w:basedOn w:val="DefaultParagraphFont"/>
    <w:uiPriority w:val="99"/>
    <w:semiHidden/>
    <w:unhideWhenUsed/>
    <w:rsid w:val="00646419"/>
    <w:rPr>
      <w:sz w:val="16"/>
      <w:szCs w:val="16"/>
    </w:rPr>
  </w:style>
  <w:style w:type="paragraph" w:styleId="CommentText">
    <w:name w:val="annotation text"/>
    <w:basedOn w:val="Normal"/>
    <w:link w:val="CommentTextChar"/>
    <w:uiPriority w:val="99"/>
    <w:unhideWhenUsed/>
    <w:rsid w:val="00646419"/>
    <w:pPr>
      <w:spacing w:line="240" w:lineRule="auto"/>
    </w:pPr>
    <w:rPr>
      <w:sz w:val="20"/>
      <w:szCs w:val="20"/>
    </w:rPr>
  </w:style>
  <w:style w:type="character" w:customStyle="1" w:styleId="CommentTextChar">
    <w:name w:val="Comment Text Char"/>
    <w:basedOn w:val="DefaultParagraphFont"/>
    <w:link w:val="CommentText"/>
    <w:uiPriority w:val="99"/>
    <w:rsid w:val="00646419"/>
    <w:rPr>
      <w:sz w:val="20"/>
      <w:szCs w:val="20"/>
    </w:rPr>
  </w:style>
  <w:style w:type="paragraph" w:styleId="CommentSubject">
    <w:name w:val="annotation subject"/>
    <w:basedOn w:val="CommentText"/>
    <w:next w:val="CommentText"/>
    <w:link w:val="CommentSubjectChar"/>
    <w:uiPriority w:val="99"/>
    <w:semiHidden/>
    <w:unhideWhenUsed/>
    <w:rsid w:val="000631EA"/>
    <w:rPr>
      <w:b/>
      <w:bCs/>
    </w:rPr>
  </w:style>
  <w:style w:type="character" w:customStyle="1" w:styleId="CommentSubjectChar">
    <w:name w:val="Comment Subject Char"/>
    <w:basedOn w:val="CommentTextChar"/>
    <w:link w:val="CommentSubject"/>
    <w:uiPriority w:val="99"/>
    <w:semiHidden/>
    <w:rsid w:val="000631EA"/>
    <w:rPr>
      <w:b/>
      <w:bCs/>
      <w:sz w:val="20"/>
      <w:szCs w:val="20"/>
    </w:rPr>
  </w:style>
  <w:style w:type="paragraph" w:styleId="Revision">
    <w:name w:val="Revision"/>
    <w:hidden/>
    <w:uiPriority w:val="99"/>
    <w:semiHidden/>
    <w:rsid w:val="000631EA"/>
    <w:pPr>
      <w:spacing w:after="0" w:line="240" w:lineRule="auto"/>
    </w:pPr>
  </w:style>
  <w:style w:type="table" w:customStyle="1" w:styleId="TableGrid1">
    <w:name w:val="Table Grid1"/>
    <w:basedOn w:val="TableNormal"/>
    <w:next w:val="TableGrid"/>
    <w:uiPriority w:val="59"/>
    <w:rsid w:val="00744AE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otnoteReference">
    <w:name w:val="footnote reference"/>
    <w:basedOn w:val="DefaultParagraphFont"/>
    <w:uiPriority w:val="99"/>
    <w:unhideWhenUsed/>
    <w:rsid w:val="00744AE6"/>
    <w:rPr>
      <w:vertAlign w:val="superscript"/>
    </w:rPr>
  </w:style>
  <w:style w:type="paragraph" w:styleId="FootnoteText">
    <w:name w:val="footnote text"/>
    <w:basedOn w:val="Normal"/>
    <w:link w:val="FootnoteTextChar1"/>
    <w:rsid w:val="00744AE6"/>
    <w:pPr>
      <w:spacing w:after="0" w:line="240" w:lineRule="auto"/>
    </w:pPr>
    <w:rPr>
      <w:rFonts w:ascii="Arial" w:eastAsia="Times New Roman" w:hAnsi="Arial" w:cs="Arial"/>
      <w:sz w:val="20"/>
      <w:szCs w:val="20"/>
    </w:rPr>
  </w:style>
  <w:style w:type="character" w:customStyle="1" w:styleId="FootnoteTextChar">
    <w:name w:val="Footnote Text Char"/>
    <w:basedOn w:val="DefaultParagraphFont"/>
    <w:uiPriority w:val="99"/>
    <w:semiHidden/>
    <w:rsid w:val="00744AE6"/>
    <w:rPr>
      <w:sz w:val="20"/>
      <w:szCs w:val="20"/>
    </w:rPr>
  </w:style>
  <w:style w:type="character" w:customStyle="1" w:styleId="FootnoteTextChar1">
    <w:name w:val="Footnote Text Char1"/>
    <w:basedOn w:val="DefaultParagraphFont"/>
    <w:link w:val="FootnoteText"/>
    <w:rsid w:val="00744AE6"/>
    <w:rPr>
      <w:rFonts w:ascii="Arial" w:eastAsia="Times New Roman" w:hAnsi="Arial" w:cs="Arial"/>
      <w:sz w:val="20"/>
      <w:szCs w:val="20"/>
    </w:rPr>
  </w:style>
  <w:style w:type="table" w:customStyle="1" w:styleId="TableGrid11">
    <w:name w:val="Table Grid11"/>
    <w:basedOn w:val="TableNormal"/>
    <w:next w:val="TableGrid"/>
    <w:uiPriority w:val="39"/>
    <w:rsid w:val="00744AE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472277"/>
    <w:pPr>
      <w:spacing w:after="200" w:line="240" w:lineRule="auto"/>
    </w:pPr>
    <w:rPr>
      <w:i/>
      <w:iCs/>
      <w:color w:val="44546A" w:themeColor="text2"/>
      <w:sz w:val="18"/>
      <w:szCs w:val="18"/>
    </w:rPr>
  </w:style>
  <w:style w:type="character" w:customStyle="1" w:styleId="Heading1Char">
    <w:name w:val="Heading 1 Char"/>
    <w:basedOn w:val="DefaultParagraphFont"/>
    <w:link w:val="Heading1"/>
    <w:uiPriority w:val="9"/>
    <w:rsid w:val="006C4D58"/>
    <w:rPr>
      <w:rFonts w:ascii="Calibri" w:eastAsiaTheme="majorEastAsia" w:hAnsi="Calibri" w:cstheme="majorBidi"/>
      <w:b/>
      <w:color w:val="54746A"/>
      <w:sz w:val="40"/>
      <w:szCs w:val="32"/>
    </w:rPr>
  </w:style>
  <w:style w:type="character" w:styleId="Mention">
    <w:name w:val="Mention"/>
    <w:basedOn w:val="DefaultParagraphFont"/>
    <w:uiPriority w:val="99"/>
    <w:unhideWhenUsed/>
    <w:rsid w:val="007D56A5"/>
    <w:rPr>
      <w:color w:val="2B579A"/>
      <w:shd w:val="clear" w:color="auto" w:fill="E1DFDD"/>
    </w:rPr>
  </w:style>
  <w:style w:type="character" w:customStyle="1" w:styleId="Heading2Char">
    <w:name w:val="Heading 2 Char"/>
    <w:basedOn w:val="DefaultParagraphFont"/>
    <w:link w:val="Heading2"/>
    <w:uiPriority w:val="9"/>
    <w:rsid w:val="00BC2AD7"/>
    <w:rPr>
      <w:rFonts w:ascii="Calibri" w:eastAsia="Calibri" w:hAnsi="Calibri" w:cs="Calibri"/>
      <w:b/>
      <w:caps/>
      <w:smallCaps/>
      <w:color w:val="FFFFFF" w:themeColor="background1"/>
      <w:sz w:val="28"/>
      <w:szCs w:val="30"/>
      <w:shd w:val="clear" w:color="auto" w:fill="54746A"/>
    </w:rPr>
  </w:style>
  <w:style w:type="character" w:customStyle="1" w:styleId="Heading3Char">
    <w:name w:val="Heading 3 Char"/>
    <w:basedOn w:val="DefaultParagraphFont"/>
    <w:link w:val="Heading3"/>
    <w:uiPriority w:val="9"/>
    <w:rsid w:val="00987738"/>
    <w:rPr>
      <w:rFonts w:ascii="Calibri" w:eastAsia="Calibri" w:hAnsi="Calibri" w:cs="Calibri"/>
      <w:b/>
      <w:color w:val="54746A"/>
      <w:sz w:val="28"/>
      <w:szCs w:val="26"/>
    </w:rPr>
  </w:style>
  <w:style w:type="character" w:customStyle="1" w:styleId="Heading4Char">
    <w:name w:val="Heading 4 Char"/>
    <w:basedOn w:val="DefaultParagraphFont"/>
    <w:link w:val="Heading4"/>
    <w:uiPriority w:val="9"/>
    <w:rsid w:val="00BB6C26"/>
    <w:rPr>
      <w:rFonts w:ascii="Calibri" w:eastAsia="Calibri" w:hAnsi="Calibri" w:cs="Calibri"/>
      <w:b/>
      <w:bCs/>
      <w:i/>
      <w:iCs/>
      <w:color w:val="54746A"/>
      <w:szCs w:val="24"/>
    </w:rPr>
  </w:style>
  <w:style w:type="paragraph" w:styleId="NoSpacing">
    <w:name w:val="No Spacing"/>
    <w:uiPriority w:val="1"/>
    <w:qFormat/>
    <w:rsid w:val="000E051E"/>
    <w:pPr>
      <w:spacing w:after="0" w:line="240" w:lineRule="auto"/>
    </w:pPr>
  </w:style>
  <w:style w:type="paragraph" w:customStyle="1" w:styleId="MemoHead">
    <w:name w:val="Memo Head"/>
    <w:basedOn w:val="Normal"/>
    <w:uiPriority w:val="2"/>
    <w:rsid w:val="000E051E"/>
    <w:pPr>
      <w:tabs>
        <w:tab w:val="right" w:pos="9360"/>
      </w:tabs>
      <w:spacing w:after="0"/>
    </w:pPr>
    <w:rPr>
      <w:rFonts w:eastAsia="Times New Roman" w:cs="Times New Roman"/>
      <w:color w:val="5F5F5F"/>
      <w:sz w:val="32"/>
      <w:szCs w:val="32"/>
    </w:rPr>
  </w:style>
  <w:style w:type="paragraph" w:customStyle="1" w:styleId="MemoTop">
    <w:name w:val="Memo Top"/>
    <w:basedOn w:val="Normal"/>
    <w:uiPriority w:val="1"/>
    <w:rsid w:val="000E051E"/>
    <w:pPr>
      <w:spacing w:after="120"/>
    </w:pPr>
    <w:rPr>
      <w:rFonts w:eastAsia="Times New Roman" w:cs="Times New Roman"/>
      <w:b/>
      <w:bCs/>
      <w:color w:val="5F5F5F"/>
    </w:rPr>
  </w:style>
  <w:style w:type="paragraph" w:customStyle="1" w:styleId="MemoTop3">
    <w:name w:val="Memo Top 3"/>
    <w:basedOn w:val="Normal"/>
    <w:uiPriority w:val="1"/>
    <w:rsid w:val="000E051E"/>
    <w:pPr>
      <w:spacing w:after="120"/>
      <w:ind w:left="144"/>
    </w:pPr>
    <w:rPr>
      <w:rFonts w:eastAsia="Times New Roman" w:cs="Times New Roman"/>
      <w:color w:val="5F5F5F"/>
      <w:sz w:val="18"/>
      <w:szCs w:val="18"/>
    </w:rPr>
  </w:style>
  <w:style w:type="paragraph" w:customStyle="1" w:styleId="Line">
    <w:name w:val="Line"/>
    <w:basedOn w:val="Normal"/>
    <w:next w:val="Normal"/>
    <w:uiPriority w:val="2"/>
    <w:rsid w:val="000E051E"/>
    <w:pPr>
      <w:pBdr>
        <w:bottom w:val="single" w:sz="6" w:space="1" w:color="auto"/>
      </w:pBdr>
      <w:spacing w:after="120"/>
    </w:pPr>
    <w:rPr>
      <w:rFonts w:eastAsia="Times New Roman" w:cs="Times New Roman"/>
    </w:rPr>
  </w:style>
  <w:style w:type="paragraph" w:customStyle="1" w:styleId="Memoheading">
    <w:name w:val="Memo heading"/>
    <w:basedOn w:val="Normal"/>
    <w:uiPriority w:val="2"/>
    <w:rsid w:val="000E051E"/>
    <w:pPr>
      <w:spacing w:before="40"/>
    </w:pPr>
    <w:rPr>
      <w:rFonts w:eastAsia="Times New Roman" w:cs="Times New Roman"/>
      <w:color w:val="808080" w:themeColor="background1" w:themeShade="80"/>
    </w:rPr>
  </w:style>
  <w:style w:type="paragraph" w:customStyle="1" w:styleId="TemplateText">
    <w:name w:val="TemplateText"/>
    <w:basedOn w:val="Normal"/>
    <w:next w:val="Normal"/>
    <w:uiPriority w:val="1"/>
    <w:rsid w:val="000E051E"/>
    <w:pPr>
      <w:tabs>
        <w:tab w:val="right" w:pos="9360"/>
      </w:tabs>
      <w:spacing w:after="0"/>
    </w:pPr>
    <w:rPr>
      <w:rFonts w:eastAsia="Times New Roman" w:cs="Times New Roman"/>
      <w:sz w:val="23"/>
      <w:szCs w:val="23"/>
    </w:rPr>
  </w:style>
  <w:style w:type="paragraph" w:customStyle="1" w:styleId="ProjNum">
    <w:name w:val="ProjNum"/>
    <w:basedOn w:val="Normal"/>
    <w:uiPriority w:val="2"/>
    <w:rsid w:val="000E051E"/>
    <w:pPr>
      <w:tabs>
        <w:tab w:val="right" w:pos="9360"/>
      </w:tabs>
      <w:spacing w:after="0"/>
      <w:jc w:val="right"/>
    </w:pPr>
    <w:rPr>
      <w:rFonts w:eastAsia="Times New Roman" w:cs="Times New Roman"/>
      <w:sz w:val="23"/>
      <w:szCs w:val="23"/>
    </w:rPr>
  </w:style>
  <w:style w:type="paragraph" w:customStyle="1" w:styleId="TableText">
    <w:name w:val="Table Text"/>
    <w:basedOn w:val="Normal"/>
    <w:uiPriority w:val="2"/>
    <w:rsid w:val="000E051E"/>
    <w:pPr>
      <w:spacing w:beforeAutospacing="1" w:after="240" w:afterAutospacing="1"/>
    </w:pPr>
    <w:rPr>
      <w:rFonts w:eastAsia="Times New Roman" w:cs="Times New Roman"/>
      <w:sz w:val="16"/>
      <w:szCs w:val="16"/>
    </w:rPr>
  </w:style>
  <w:style w:type="paragraph" w:customStyle="1" w:styleId="Bullets1">
    <w:name w:val="Bullets 1"/>
    <w:basedOn w:val="Normal"/>
    <w:uiPriority w:val="1"/>
    <w:rsid w:val="000E051E"/>
    <w:pPr>
      <w:numPr>
        <w:numId w:val="10"/>
      </w:numPr>
      <w:spacing w:after="240" w:line="320" w:lineRule="atLeast"/>
      <w:jc w:val="both"/>
    </w:pPr>
    <w:rPr>
      <w:rFonts w:eastAsia="Times New Roman" w:cs="Times New Roman"/>
      <w:sz w:val="23"/>
      <w:szCs w:val="2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645377">
      <w:bodyDiv w:val="1"/>
      <w:marLeft w:val="0"/>
      <w:marRight w:val="0"/>
      <w:marTop w:val="0"/>
      <w:marBottom w:val="0"/>
      <w:divBdr>
        <w:top w:val="none" w:sz="0" w:space="0" w:color="auto"/>
        <w:left w:val="none" w:sz="0" w:space="0" w:color="auto"/>
        <w:bottom w:val="none" w:sz="0" w:space="0" w:color="auto"/>
        <w:right w:val="none" w:sz="0" w:space="0" w:color="auto"/>
      </w:divBdr>
    </w:div>
    <w:div w:id="88308429">
      <w:bodyDiv w:val="1"/>
      <w:marLeft w:val="0"/>
      <w:marRight w:val="0"/>
      <w:marTop w:val="0"/>
      <w:marBottom w:val="0"/>
      <w:divBdr>
        <w:top w:val="none" w:sz="0" w:space="0" w:color="auto"/>
        <w:left w:val="none" w:sz="0" w:space="0" w:color="auto"/>
        <w:bottom w:val="none" w:sz="0" w:space="0" w:color="auto"/>
        <w:right w:val="none" w:sz="0" w:space="0" w:color="auto"/>
      </w:divBdr>
    </w:div>
    <w:div w:id="130055642">
      <w:bodyDiv w:val="1"/>
      <w:marLeft w:val="0"/>
      <w:marRight w:val="0"/>
      <w:marTop w:val="0"/>
      <w:marBottom w:val="0"/>
      <w:divBdr>
        <w:top w:val="none" w:sz="0" w:space="0" w:color="auto"/>
        <w:left w:val="none" w:sz="0" w:space="0" w:color="auto"/>
        <w:bottom w:val="none" w:sz="0" w:space="0" w:color="auto"/>
        <w:right w:val="none" w:sz="0" w:space="0" w:color="auto"/>
      </w:divBdr>
    </w:div>
    <w:div w:id="208807142">
      <w:bodyDiv w:val="1"/>
      <w:marLeft w:val="0"/>
      <w:marRight w:val="0"/>
      <w:marTop w:val="0"/>
      <w:marBottom w:val="0"/>
      <w:divBdr>
        <w:top w:val="none" w:sz="0" w:space="0" w:color="auto"/>
        <w:left w:val="none" w:sz="0" w:space="0" w:color="auto"/>
        <w:bottom w:val="none" w:sz="0" w:space="0" w:color="auto"/>
        <w:right w:val="none" w:sz="0" w:space="0" w:color="auto"/>
      </w:divBdr>
    </w:div>
    <w:div w:id="246884401">
      <w:bodyDiv w:val="1"/>
      <w:marLeft w:val="0"/>
      <w:marRight w:val="0"/>
      <w:marTop w:val="0"/>
      <w:marBottom w:val="0"/>
      <w:divBdr>
        <w:top w:val="none" w:sz="0" w:space="0" w:color="auto"/>
        <w:left w:val="none" w:sz="0" w:space="0" w:color="auto"/>
        <w:bottom w:val="none" w:sz="0" w:space="0" w:color="auto"/>
        <w:right w:val="none" w:sz="0" w:space="0" w:color="auto"/>
      </w:divBdr>
    </w:div>
    <w:div w:id="269171641">
      <w:bodyDiv w:val="1"/>
      <w:marLeft w:val="0"/>
      <w:marRight w:val="0"/>
      <w:marTop w:val="0"/>
      <w:marBottom w:val="0"/>
      <w:divBdr>
        <w:top w:val="none" w:sz="0" w:space="0" w:color="auto"/>
        <w:left w:val="none" w:sz="0" w:space="0" w:color="auto"/>
        <w:bottom w:val="none" w:sz="0" w:space="0" w:color="auto"/>
        <w:right w:val="none" w:sz="0" w:space="0" w:color="auto"/>
      </w:divBdr>
    </w:div>
    <w:div w:id="275605417">
      <w:bodyDiv w:val="1"/>
      <w:marLeft w:val="0"/>
      <w:marRight w:val="0"/>
      <w:marTop w:val="0"/>
      <w:marBottom w:val="0"/>
      <w:divBdr>
        <w:top w:val="none" w:sz="0" w:space="0" w:color="auto"/>
        <w:left w:val="none" w:sz="0" w:space="0" w:color="auto"/>
        <w:bottom w:val="none" w:sz="0" w:space="0" w:color="auto"/>
        <w:right w:val="none" w:sz="0" w:space="0" w:color="auto"/>
      </w:divBdr>
      <w:divsChild>
        <w:div w:id="20666472">
          <w:marLeft w:val="0"/>
          <w:marRight w:val="0"/>
          <w:marTop w:val="0"/>
          <w:marBottom w:val="0"/>
          <w:divBdr>
            <w:top w:val="none" w:sz="0" w:space="0" w:color="auto"/>
            <w:left w:val="none" w:sz="0" w:space="0" w:color="auto"/>
            <w:bottom w:val="none" w:sz="0" w:space="0" w:color="auto"/>
            <w:right w:val="none" w:sz="0" w:space="0" w:color="auto"/>
          </w:divBdr>
        </w:div>
        <w:div w:id="100078922">
          <w:marLeft w:val="0"/>
          <w:marRight w:val="0"/>
          <w:marTop w:val="0"/>
          <w:marBottom w:val="0"/>
          <w:divBdr>
            <w:top w:val="none" w:sz="0" w:space="0" w:color="auto"/>
            <w:left w:val="none" w:sz="0" w:space="0" w:color="auto"/>
            <w:bottom w:val="none" w:sz="0" w:space="0" w:color="auto"/>
            <w:right w:val="none" w:sz="0" w:space="0" w:color="auto"/>
          </w:divBdr>
        </w:div>
        <w:div w:id="246153505">
          <w:marLeft w:val="0"/>
          <w:marRight w:val="0"/>
          <w:marTop w:val="0"/>
          <w:marBottom w:val="0"/>
          <w:divBdr>
            <w:top w:val="none" w:sz="0" w:space="0" w:color="auto"/>
            <w:left w:val="none" w:sz="0" w:space="0" w:color="auto"/>
            <w:bottom w:val="none" w:sz="0" w:space="0" w:color="auto"/>
            <w:right w:val="none" w:sz="0" w:space="0" w:color="auto"/>
          </w:divBdr>
        </w:div>
        <w:div w:id="261647562">
          <w:marLeft w:val="0"/>
          <w:marRight w:val="0"/>
          <w:marTop w:val="0"/>
          <w:marBottom w:val="0"/>
          <w:divBdr>
            <w:top w:val="none" w:sz="0" w:space="0" w:color="auto"/>
            <w:left w:val="none" w:sz="0" w:space="0" w:color="auto"/>
            <w:bottom w:val="none" w:sz="0" w:space="0" w:color="auto"/>
            <w:right w:val="none" w:sz="0" w:space="0" w:color="auto"/>
          </w:divBdr>
        </w:div>
        <w:div w:id="367337535">
          <w:marLeft w:val="0"/>
          <w:marRight w:val="0"/>
          <w:marTop w:val="0"/>
          <w:marBottom w:val="0"/>
          <w:divBdr>
            <w:top w:val="none" w:sz="0" w:space="0" w:color="auto"/>
            <w:left w:val="none" w:sz="0" w:space="0" w:color="auto"/>
            <w:bottom w:val="none" w:sz="0" w:space="0" w:color="auto"/>
            <w:right w:val="none" w:sz="0" w:space="0" w:color="auto"/>
          </w:divBdr>
        </w:div>
        <w:div w:id="386223683">
          <w:marLeft w:val="0"/>
          <w:marRight w:val="0"/>
          <w:marTop w:val="0"/>
          <w:marBottom w:val="0"/>
          <w:divBdr>
            <w:top w:val="none" w:sz="0" w:space="0" w:color="auto"/>
            <w:left w:val="none" w:sz="0" w:space="0" w:color="auto"/>
            <w:bottom w:val="none" w:sz="0" w:space="0" w:color="auto"/>
            <w:right w:val="none" w:sz="0" w:space="0" w:color="auto"/>
          </w:divBdr>
        </w:div>
        <w:div w:id="411202917">
          <w:marLeft w:val="0"/>
          <w:marRight w:val="0"/>
          <w:marTop w:val="0"/>
          <w:marBottom w:val="0"/>
          <w:divBdr>
            <w:top w:val="none" w:sz="0" w:space="0" w:color="auto"/>
            <w:left w:val="none" w:sz="0" w:space="0" w:color="auto"/>
            <w:bottom w:val="none" w:sz="0" w:space="0" w:color="auto"/>
            <w:right w:val="none" w:sz="0" w:space="0" w:color="auto"/>
          </w:divBdr>
        </w:div>
        <w:div w:id="529728094">
          <w:marLeft w:val="0"/>
          <w:marRight w:val="0"/>
          <w:marTop w:val="0"/>
          <w:marBottom w:val="0"/>
          <w:divBdr>
            <w:top w:val="none" w:sz="0" w:space="0" w:color="auto"/>
            <w:left w:val="none" w:sz="0" w:space="0" w:color="auto"/>
            <w:bottom w:val="none" w:sz="0" w:space="0" w:color="auto"/>
            <w:right w:val="none" w:sz="0" w:space="0" w:color="auto"/>
          </w:divBdr>
        </w:div>
        <w:div w:id="550657248">
          <w:marLeft w:val="0"/>
          <w:marRight w:val="0"/>
          <w:marTop w:val="0"/>
          <w:marBottom w:val="0"/>
          <w:divBdr>
            <w:top w:val="none" w:sz="0" w:space="0" w:color="auto"/>
            <w:left w:val="none" w:sz="0" w:space="0" w:color="auto"/>
            <w:bottom w:val="none" w:sz="0" w:space="0" w:color="auto"/>
            <w:right w:val="none" w:sz="0" w:space="0" w:color="auto"/>
          </w:divBdr>
          <w:divsChild>
            <w:div w:id="1462193128">
              <w:marLeft w:val="-75"/>
              <w:marRight w:val="0"/>
              <w:marTop w:val="30"/>
              <w:marBottom w:val="30"/>
              <w:divBdr>
                <w:top w:val="none" w:sz="0" w:space="0" w:color="auto"/>
                <w:left w:val="none" w:sz="0" w:space="0" w:color="auto"/>
                <w:bottom w:val="none" w:sz="0" w:space="0" w:color="auto"/>
                <w:right w:val="none" w:sz="0" w:space="0" w:color="auto"/>
              </w:divBdr>
              <w:divsChild>
                <w:div w:id="52435886">
                  <w:marLeft w:val="0"/>
                  <w:marRight w:val="0"/>
                  <w:marTop w:val="0"/>
                  <w:marBottom w:val="0"/>
                  <w:divBdr>
                    <w:top w:val="none" w:sz="0" w:space="0" w:color="auto"/>
                    <w:left w:val="none" w:sz="0" w:space="0" w:color="auto"/>
                    <w:bottom w:val="none" w:sz="0" w:space="0" w:color="auto"/>
                    <w:right w:val="none" w:sz="0" w:space="0" w:color="auto"/>
                  </w:divBdr>
                  <w:divsChild>
                    <w:div w:id="1804807191">
                      <w:marLeft w:val="0"/>
                      <w:marRight w:val="0"/>
                      <w:marTop w:val="0"/>
                      <w:marBottom w:val="0"/>
                      <w:divBdr>
                        <w:top w:val="none" w:sz="0" w:space="0" w:color="auto"/>
                        <w:left w:val="none" w:sz="0" w:space="0" w:color="auto"/>
                        <w:bottom w:val="none" w:sz="0" w:space="0" w:color="auto"/>
                        <w:right w:val="none" w:sz="0" w:space="0" w:color="auto"/>
                      </w:divBdr>
                    </w:div>
                  </w:divsChild>
                </w:div>
                <w:div w:id="68776818">
                  <w:marLeft w:val="0"/>
                  <w:marRight w:val="0"/>
                  <w:marTop w:val="0"/>
                  <w:marBottom w:val="0"/>
                  <w:divBdr>
                    <w:top w:val="none" w:sz="0" w:space="0" w:color="auto"/>
                    <w:left w:val="none" w:sz="0" w:space="0" w:color="auto"/>
                    <w:bottom w:val="none" w:sz="0" w:space="0" w:color="auto"/>
                    <w:right w:val="none" w:sz="0" w:space="0" w:color="auto"/>
                  </w:divBdr>
                  <w:divsChild>
                    <w:div w:id="151415795">
                      <w:marLeft w:val="0"/>
                      <w:marRight w:val="0"/>
                      <w:marTop w:val="0"/>
                      <w:marBottom w:val="0"/>
                      <w:divBdr>
                        <w:top w:val="none" w:sz="0" w:space="0" w:color="auto"/>
                        <w:left w:val="none" w:sz="0" w:space="0" w:color="auto"/>
                        <w:bottom w:val="none" w:sz="0" w:space="0" w:color="auto"/>
                        <w:right w:val="none" w:sz="0" w:space="0" w:color="auto"/>
                      </w:divBdr>
                    </w:div>
                  </w:divsChild>
                </w:div>
                <w:div w:id="99225097">
                  <w:marLeft w:val="0"/>
                  <w:marRight w:val="0"/>
                  <w:marTop w:val="0"/>
                  <w:marBottom w:val="0"/>
                  <w:divBdr>
                    <w:top w:val="none" w:sz="0" w:space="0" w:color="auto"/>
                    <w:left w:val="none" w:sz="0" w:space="0" w:color="auto"/>
                    <w:bottom w:val="none" w:sz="0" w:space="0" w:color="auto"/>
                    <w:right w:val="none" w:sz="0" w:space="0" w:color="auto"/>
                  </w:divBdr>
                  <w:divsChild>
                    <w:div w:id="1529567829">
                      <w:marLeft w:val="0"/>
                      <w:marRight w:val="0"/>
                      <w:marTop w:val="0"/>
                      <w:marBottom w:val="0"/>
                      <w:divBdr>
                        <w:top w:val="none" w:sz="0" w:space="0" w:color="auto"/>
                        <w:left w:val="none" w:sz="0" w:space="0" w:color="auto"/>
                        <w:bottom w:val="none" w:sz="0" w:space="0" w:color="auto"/>
                        <w:right w:val="none" w:sz="0" w:space="0" w:color="auto"/>
                      </w:divBdr>
                    </w:div>
                  </w:divsChild>
                </w:div>
                <w:div w:id="365566441">
                  <w:marLeft w:val="0"/>
                  <w:marRight w:val="0"/>
                  <w:marTop w:val="0"/>
                  <w:marBottom w:val="0"/>
                  <w:divBdr>
                    <w:top w:val="none" w:sz="0" w:space="0" w:color="auto"/>
                    <w:left w:val="none" w:sz="0" w:space="0" w:color="auto"/>
                    <w:bottom w:val="none" w:sz="0" w:space="0" w:color="auto"/>
                    <w:right w:val="none" w:sz="0" w:space="0" w:color="auto"/>
                  </w:divBdr>
                  <w:divsChild>
                    <w:div w:id="1095441891">
                      <w:marLeft w:val="0"/>
                      <w:marRight w:val="0"/>
                      <w:marTop w:val="0"/>
                      <w:marBottom w:val="0"/>
                      <w:divBdr>
                        <w:top w:val="none" w:sz="0" w:space="0" w:color="auto"/>
                        <w:left w:val="none" w:sz="0" w:space="0" w:color="auto"/>
                        <w:bottom w:val="none" w:sz="0" w:space="0" w:color="auto"/>
                        <w:right w:val="none" w:sz="0" w:space="0" w:color="auto"/>
                      </w:divBdr>
                    </w:div>
                  </w:divsChild>
                </w:div>
                <w:div w:id="457839273">
                  <w:marLeft w:val="0"/>
                  <w:marRight w:val="0"/>
                  <w:marTop w:val="0"/>
                  <w:marBottom w:val="0"/>
                  <w:divBdr>
                    <w:top w:val="none" w:sz="0" w:space="0" w:color="auto"/>
                    <w:left w:val="none" w:sz="0" w:space="0" w:color="auto"/>
                    <w:bottom w:val="none" w:sz="0" w:space="0" w:color="auto"/>
                    <w:right w:val="none" w:sz="0" w:space="0" w:color="auto"/>
                  </w:divBdr>
                  <w:divsChild>
                    <w:div w:id="163522376">
                      <w:marLeft w:val="0"/>
                      <w:marRight w:val="0"/>
                      <w:marTop w:val="0"/>
                      <w:marBottom w:val="0"/>
                      <w:divBdr>
                        <w:top w:val="none" w:sz="0" w:space="0" w:color="auto"/>
                        <w:left w:val="none" w:sz="0" w:space="0" w:color="auto"/>
                        <w:bottom w:val="none" w:sz="0" w:space="0" w:color="auto"/>
                        <w:right w:val="none" w:sz="0" w:space="0" w:color="auto"/>
                      </w:divBdr>
                    </w:div>
                  </w:divsChild>
                </w:div>
                <w:div w:id="657224140">
                  <w:marLeft w:val="0"/>
                  <w:marRight w:val="0"/>
                  <w:marTop w:val="0"/>
                  <w:marBottom w:val="0"/>
                  <w:divBdr>
                    <w:top w:val="none" w:sz="0" w:space="0" w:color="auto"/>
                    <w:left w:val="none" w:sz="0" w:space="0" w:color="auto"/>
                    <w:bottom w:val="none" w:sz="0" w:space="0" w:color="auto"/>
                    <w:right w:val="none" w:sz="0" w:space="0" w:color="auto"/>
                  </w:divBdr>
                  <w:divsChild>
                    <w:div w:id="2029867071">
                      <w:marLeft w:val="0"/>
                      <w:marRight w:val="0"/>
                      <w:marTop w:val="0"/>
                      <w:marBottom w:val="0"/>
                      <w:divBdr>
                        <w:top w:val="none" w:sz="0" w:space="0" w:color="auto"/>
                        <w:left w:val="none" w:sz="0" w:space="0" w:color="auto"/>
                        <w:bottom w:val="none" w:sz="0" w:space="0" w:color="auto"/>
                        <w:right w:val="none" w:sz="0" w:space="0" w:color="auto"/>
                      </w:divBdr>
                    </w:div>
                  </w:divsChild>
                </w:div>
                <w:div w:id="951324194">
                  <w:marLeft w:val="0"/>
                  <w:marRight w:val="0"/>
                  <w:marTop w:val="0"/>
                  <w:marBottom w:val="0"/>
                  <w:divBdr>
                    <w:top w:val="none" w:sz="0" w:space="0" w:color="auto"/>
                    <w:left w:val="none" w:sz="0" w:space="0" w:color="auto"/>
                    <w:bottom w:val="none" w:sz="0" w:space="0" w:color="auto"/>
                    <w:right w:val="none" w:sz="0" w:space="0" w:color="auto"/>
                  </w:divBdr>
                  <w:divsChild>
                    <w:div w:id="1318069038">
                      <w:marLeft w:val="0"/>
                      <w:marRight w:val="0"/>
                      <w:marTop w:val="0"/>
                      <w:marBottom w:val="0"/>
                      <w:divBdr>
                        <w:top w:val="none" w:sz="0" w:space="0" w:color="auto"/>
                        <w:left w:val="none" w:sz="0" w:space="0" w:color="auto"/>
                        <w:bottom w:val="none" w:sz="0" w:space="0" w:color="auto"/>
                        <w:right w:val="none" w:sz="0" w:space="0" w:color="auto"/>
                      </w:divBdr>
                    </w:div>
                  </w:divsChild>
                </w:div>
                <w:div w:id="1051880019">
                  <w:marLeft w:val="0"/>
                  <w:marRight w:val="0"/>
                  <w:marTop w:val="0"/>
                  <w:marBottom w:val="0"/>
                  <w:divBdr>
                    <w:top w:val="none" w:sz="0" w:space="0" w:color="auto"/>
                    <w:left w:val="none" w:sz="0" w:space="0" w:color="auto"/>
                    <w:bottom w:val="none" w:sz="0" w:space="0" w:color="auto"/>
                    <w:right w:val="none" w:sz="0" w:space="0" w:color="auto"/>
                  </w:divBdr>
                  <w:divsChild>
                    <w:div w:id="992367783">
                      <w:marLeft w:val="0"/>
                      <w:marRight w:val="0"/>
                      <w:marTop w:val="0"/>
                      <w:marBottom w:val="0"/>
                      <w:divBdr>
                        <w:top w:val="none" w:sz="0" w:space="0" w:color="auto"/>
                        <w:left w:val="none" w:sz="0" w:space="0" w:color="auto"/>
                        <w:bottom w:val="none" w:sz="0" w:space="0" w:color="auto"/>
                        <w:right w:val="none" w:sz="0" w:space="0" w:color="auto"/>
                      </w:divBdr>
                    </w:div>
                  </w:divsChild>
                </w:div>
                <w:div w:id="1135291762">
                  <w:marLeft w:val="0"/>
                  <w:marRight w:val="0"/>
                  <w:marTop w:val="0"/>
                  <w:marBottom w:val="0"/>
                  <w:divBdr>
                    <w:top w:val="none" w:sz="0" w:space="0" w:color="auto"/>
                    <w:left w:val="none" w:sz="0" w:space="0" w:color="auto"/>
                    <w:bottom w:val="none" w:sz="0" w:space="0" w:color="auto"/>
                    <w:right w:val="none" w:sz="0" w:space="0" w:color="auto"/>
                  </w:divBdr>
                  <w:divsChild>
                    <w:div w:id="33045033">
                      <w:marLeft w:val="0"/>
                      <w:marRight w:val="0"/>
                      <w:marTop w:val="0"/>
                      <w:marBottom w:val="0"/>
                      <w:divBdr>
                        <w:top w:val="none" w:sz="0" w:space="0" w:color="auto"/>
                        <w:left w:val="none" w:sz="0" w:space="0" w:color="auto"/>
                        <w:bottom w:val="none" w:sz="0" w:space="0" w:color="auto"/>
                        <w:right w:val="none" w:sz="0" w:space="0" w:color="auto"/>
                      </w:divBdr>
                    </w:div>
                  </w:divsChild>
                </w:div>
                <w:div w:id="1192690387">
                  <w:marLeft w:val="0"/>
                  <w:marRight w:val="0"/>
                  <w:marTop w:val="0"/>
                  <w:marBottom w:val="0"/>
                  <w:divBdr>
                    <w:top w:val="none" w:sz="0" w:space="0" w:color="auto"/>
                    <w:left w:val="none" w:sz="0" w:space="0" w:color="auto"/>
                    <w:bottom w:val="none" w:sz="0" w:space="0" w:color="auto"/>
                    <w:right w:val="none" w:sz="0" w:space="0" w:color="auto"/>
                  </w:divBdr>
                  <w:divsChild>
                    <w:div w:id="396442396">
                      <w:marLeft w:val="0"/>
                      <w:marRight w:val="0"/>
                      <w:marTop w:val="0"/>
                      <w:marBottom w:val="0"/>
                      <w:divBdr>
                        <w:top w:val="none" w:sz="0" w:space="0" w:color="auto"/>
                        <w:left w:val="none" w:sz="0" w:space="0" w:color="auto"/>
                        <w:bottom w:val="none" w:sz="0" w:space="0" w:color="auto"/>
                        <w:right w:val="none" w:sz="0" w:space="0" w:color="auto"/>
                      </w:divBdr>
                    </w:div>
                  </w:divsChild>
                </w:div>
                <w:div w:id="1216888915">
                  <w:marLeft w:val="0"/>
                  <w:marRight w:val="0"/>
                  <w:marTop w:val="0"/>
                  <w:marBottom w:val="0"/>
                  <w:divBdr>
                    <w:top w:val="none" w:sz="0" w:space="0" w:color="auto"/>
                    <w:left w:val="none" w:sz="0" w:space="0" w:color="auto"/>
                    <w:bottom w:val="none" w:sz="0" w:space="0" w:color="auto"/>
                    <w:right w:val="none" w:sz="0" w:space="0" w:color="auto"/>
                  </w:divBdr>
                  <w:divsChild>
                    <w:div w:id="1250194105">
                      <w:marLeft w:val="0"/>
                      <w:marRight w:val="0"/>
                      <w:marTop w:val="0"/>
                      <w:marBottom w:val="0"/>
                      <w:divBdr>
                        <w:top w:val="none" w:sz="0" w:space="0" w:color="auto"/>
                        <w:left w:val="none" w:sz="0" w:space="0" w:color="auto"/>
                        <w:bottom w:val="none" w:sz="0" w:space="0" w:color="auto"/>
                        <w:right w:val="none" w:sz="0" w:space="0" w:color="auto"/>
                      </w:divBdr>
                    </w:div>
                  </w:divsChild>
                </w:div>
                <w:div w:id="1242447642">
                  <w:marLeft w:val="0"/>
                  <w:marRight w:val="0"/>
                  <w:marTop w:val="0"/>
                  <w:marBottom w:val="0"/>
                  <w:divBdr>
                    <w:top w:val="none" w:sz="0" w:space="0" w:color="auto"/>
                    <w:left w:val="none" w:sz="0" w:space="0" w:color="auto"/>
                    <w:bottom w:val="none" w:sz="0" w:space="0" w:color="auto"/>
                    <w:right w:val="none" w:sz="0" w:space="0" w:color="auto"/>
                  </w:divBdr>
                  <w:divsChild>
                    <w:div w:id="1180512288">
                      <w:marLeft w:val="0"/>
                      <w:marRight w:val="0"/>
                      <w:marTop w:val="0"/>
                      <w:marBottom w:val="0"/>
                      <w:divBdr>
                        <w:top w:val="none" w:sz="0" w:space="0" w:color="auto"/>
                        <w:left w:val="none" w:sz="0" w:space="0" w:color="auto"/>
                        <w:bottom w:val="none" w:sz="0" w:space="0" w:color="auto"/>
                        <w:right w:val="none" w:sz="0" w:space="0" w:color="auto"/>
                      </w:divBdr>
                    </w:div>
                  </w:divsChild>
                </w:div>
                <w:div w:id="1302224121">
                  <w:marLeft w:val="0"/>
                  <w:marRight w:val="0"/>
                  <w:marTop w:val="0"/>
                  <w:marBottom w:val="0"/>
                  <w:divBdr>
                    <w:top w:val="none" w:sz="0" w:space="0" w:color="auto"/>
                    <w:left w:val="none" w:sz="0" w:space="0" w:color="auto"/>
                    <w:bottom w:val="none" w:sz="0" w:space="0" w:color="auto"/>
                    <w:right w:val="none" w:sz="0" w:space="0" w:color="auto"/>
                  </w:divBdr>
                  <w:divsChild>
                    <w:div w:id="1884903669">
                      <w:marLeft w:val="0"/>
                      <w:marRight w:val="0"/>
                      <w:marTop w:val="0"/>
                      <w:marBottom w:val="0"/>
                      <w:divBdr>
                        <w:top w:val="none" w:sz="0" w:space="0" w:color="auto"/>
                        <w:left w:val="none" w:sz="0" w:space="0" w:color="auto"/>
                        <w:bottom w:val="none" w:sz="0" w:space="0" w:color="auto"/>
                        <w:right w:val="none" w:sz="0" w:space="0" w:color="auto"/>
                      </w:divBdr>
                    </w:div>
                  </w:divsChild>
                </w:div>
                <w:div w:id="1331830056">
                  <w:marLeft w:val="0"/>
                  <w:marRight w:val="0"/>
                  <w:marTop w:val="0"/>
                  <w:marBottom w:val="0"/>
                  <w:divBdr>
                    <w:top w:val="none" w:sz="0" w:space="0" w:color="auto"/>
                    <w:left w:val="none" w:sz="0" w:space="0" w:color="auto"/>
                    <w:bottom w:val="none" w:sz="0" w:space="0" w:color="auto"/>
                    <w:right w:val="none" w:sz="0" w:space="0" w:color="auto"/>
                  </w:divBdr>
                  <w:divsChild>
                    <w:div w:id="356808374">
                      <w:marLeft w:val="0"/>
                      <w:marRight w:val="0"/>
                      <w:marTop w:val="0"/>
                      <w:marBottom w:val="0"/>
                      <w:divBdr>
                        <w:top w:val="none" w:sz="0" w:space="0" w:color="auto"/>
                        <w:left w:val="none" w:sz="0" w:space="0" w:color="auto"/>
                        <w:bottom w:val="none" w:sz="0" w:space="0" w:color="auto"/>
                        <w:right w:val="none" w:sz="0" w:space="0" w:color="auto"/>
                      </w:divBdr>
                    </w:div>
                  </w:divsChild>
                </w:div>
                <w:div w:id="1524973941">
                  <w:marLeft w:val="0"/>
                  <w:marRight w:val="0"/>
                  <w:marTop w:val="0"/>
                  <w:marBottom w:val="0"/>
                  <w:divBdr>
                    <w:top w:val="none" w:sz="0" w:space="0" w:color="auto"/>
                    <w:left w:val="none" w:sz="0" w:space="0" w:color="auto"/>
                    <w:bottom w:val="none" w:sz="0" w:space="0" w:color="auto"/>
                    <w:right w:val="none" w:sz="0" w:space="0" w:color="auto"/>
                  </w:divBdr>
                  <w:divsChild>
                    <w:div w:id="1705709461">
                      <w:marLeft w:val="0"/>
                      <w:marRight w:val="0"/>
                      <w:marTop w:val="0"/>
                      <w:marBottom w:val="0"/>
                      <w:divBdr>
                        <w:top w:val="none" w:sz="0" w:space="0" w:color="auto"/>
                        <w:left w:val="none" w:sz="0" w:space="0" w:color="auto"/>
                        <w:bottom w:val="none" w:sz="0" w:space="0" w:color="auto"/>
                        <w:right w:val="none" w:sz="0" w:space="0" w:color="auto"/>
                      </w:divBdr>
                    </w:div>
                  </w:divsChild>
                </w:div>
                <w:div w:id="1681270096">
                  <w:marLeft w:val="0"/>
                  <w:marRight w:val="0"/>
                  <w:marTop w:val="0"/>
                  <w:marBottom w:val="0"/>
                  <w:divBdr>
                    <w:top w:val="none" w:sz="0" w:space="0" w:color="auto"/>
                    <w:left w:val="none" w:sz="0" w:space="0" w:color="auto"/>
                    <w:bottom w:val="none" w:sz="0" w:space="0" w:color="auto"/>
                    <w:right w:val="none" w:sz="0" w:space="0" w:color="auto"/>
                  </w:divBdr>
                  <w:divsChild>
                    <w:div w:id="766462814">
                      <w:marLeft w:val="0"/>
                      <w:marRight w:val="0"/>
                      <w:marTop w:val="0"/>
                      <w:marBottom w:val="0"/>
                      <w:divBdr>
                        <w:top w:val="none" w:sz="0" w:space="0" w:color="auto"/>
                        <w:left w:val="none" w:sz="0" w:space="0" w:color="auto"/>
                        <w:bottom w:val="none" w:sz="0" w:space="0" w:color="auto"/>
                        <w:right w:val="none" w:sz="0" w:space="0" w:color="auto"/>
                      </w:divBdr>
                    </w:div>
                  </w:divsChild>
                </w:div>
                <w:div w:id="1718316332">
                  <w:marLeft w:val="0"/>
                  <w:marRight w:val="0"/>
                  <w:marTop w:val="0"/>
                  <w:marBottom w:val="0"/>
                  <w:divBdr>
                    <w:top w:val="none" w:sz="0" w:space="0" w:color="auto"/>
                    <w:left w:val="none" w:sz="0" w:space="0" w:color="auto"/>
                    <w:bottom w:val="none" w:sz="0" w:space="0" w:color="auto"/>
                    <w:right w:val="none" w:sz="0" w:space="0" w:color="auto"/>
                  </w:divBdr>
                  <w:divsChild>
                    <w:div w:id="2109689524">
                      <w:marLeft w:val="0"/>
                      <w:marRight w:val="0"/>
                      <w:marTop w:val="0"/>
                      <w:marBottom w:val="0"/>
                      <w:divBdr>
                        <w:top w:val="none" w:sz="0" w:space="0" w:color="auto"/>
                        <w:left w:val="none" w:sz="0" w:space="0" w:color="auto"/>
                        <w:bottom w:val="none" w:sz="0" w:space="0" w:color="auto"/>
                        <w:right w:val="none" w:sz="0" w:space="0" w:color="auto"/>
                      </w:divBdr>
                    </w:div>
                  </w:divsChild>
                </w:div>
                <w:div w:id="1882403815">
                  <w:marLeft w:val="0"/>
                  <w:marRight w:val="0"/>
                  <w:marTop w:val="0"/>
                  <w:marBottom w:val="0"/>
                  <w:divBdr>
                    <w:top w:val="none" w:sz="0" w:space="0" w:color="auto"/>
                    <w:left w:val="none" w:sz="0" w:space="0" w:color="auto"/>
                    <w:bottom w:val="none" w:sz="0" w:space="0" w:color="auto"/>
                    <w:right w:val="none" w:sz="0" w:space="0" w:color="auto"/>
                  </w:divBdr>
                  <w:divsChild>
                    <w:div w:id="1564833119">
                      <w:marLeft w:val="0"/>
                      <w:marRight w:val="0"/>
                      <w:marTop w:val="0"/>
                      <w:marBottom w:val="0"/>
                      <w:divBdr>
                        <w:top w:val="none" w:sz="0" w:space="0" w:color="auto"/>
                        <w:left w:val="none" w:sz="0" w:space="0" w:color="auto"/>
                        <w:bottom w:val="none" w:sz="0" w:space="0" w:color="auto"/>
                        <w:right w:val="none" w:sz="0" w:space="0" w:color="auto"/>
                      </w:divBdr>
                    </w:div>
                  </w:divsChild>
                </w:div>
                <w:div w:id="1941642733">
                  <w:marLeft w:val="0"/>
                  <w:marRight w:val="0"/>
                  <w:marTop w:val="0"/>
                  <w:marBottom w:val="0"/>
                  <w:divBdr>
                    <w:top w:val="none" w:sz="0" w:space="0" w:color="auto"/>
                    <w:left w:val="none" w:sz="0" w:space="0" w:color="auto"/>
                    <w:bottom w:val="none" w:sz="0" w:space="0" w:color="auto"/>
                    <w:right w:val="none" w:sz="0" w:space="0" w:color="auto"/>
                  </w:divBdr>
                  <w:divsChild>
                    <w:div w:id="1624265326">
                      <w:marLeft w:val="0"/>
                      <w:marRight w:val="0"/>
                      <w:marTop w:val="0"/>
                      <w:marBottom w:val="0"/>
                      <w:divBdr>
                        <w:top w:val="none" w:sz="0" w:space="0" w:color="auto"/>
                        <w:left w:val="none" w:sz="0" w:space="0" w:color="auto"/>
                        <w:bottom w:val="none" w:sz="0" w:space="0" w:color="auto"/>
                        <w:right w:val="none" w:sz="0" w:space="0" w:color="auto"/>
                      </w:divBdr>
                    </w:div>
                  </w:divsChild>
                </w:div>
                <w:div w:id="1987931554">
                  <w:marLeft w:val="0"/>
                  <w:marRight w:val="0"/>
                  <w:marTop w:val="0"/>
                  <w:marBottom w:val="0"/>
                  <w:divBdr>
                    <w:top w:val="none" w:sz="0" w:space="0" w:color="auto"/>
                    <w:left w:val="none" w:sz="0" w:space="0" w:color="auto"/>
                    <w:bottom w:val="none" w:sz="0" w:space="0" w:color="auto"/>
                    <w:right w:val="none" w:sz="0" w:space="0" w:color="auto"/>
                  </w:divBdr>
                  <w:divsChild>
                    <w:div w:id="1143817741">
                      <w:marLeft w:val="0"/>
                      <w:marRight w:val="0"/>
                      <w:marTop w:val="0"/>
                      <w:marBottom w:val="0"/>
                      <w:divBdr>
                        <w:top w:val="none" w:sz="0" w:space="0" w:color="auto"/>
                        <w:left w:val="none" w:sz="0" w:space="0" w:color="auto"/>
                        <w:bottom w:val="none" w:sz="0" w:space="0" w:color="auto"/>
                        <w:right w:val="none" w:sz="0" w:space="0" w:color="auto"/>
                      </w:divBdr>
                    </w:div>
                  </w:divsChild>
                </w:div>
                <w:div w:id="1993097008">
                  <w:marLeft w:val="0"/>
                  <w:marRight w:val="0"/>
                  <w:marTop w:val="0"/>
                  <w:marBottom w:val="0"/>
                  <w:divBdr>
                    <w:top w:val="none" w:sz="0" w:space="0" w:color="auto"/>
                    <w:left w:val="none" w:sz="0" w:space="0" w:color="auto"/>
                    <w:bottom w:val="none" w:sz="0" w:space="0" w:color="auto"/>
                    <w:right w:val="none" w:sz="0" w:space="0" w:color="auto"/>
                  </w:divBdr>
                  <w:divsChild>
                    <w:div w:id="1740440242">
                      <w:marLeft w:val="0"/>
                      <w:marRight w:val="0"/>
                      <w:marTop w:val="0"/>
                      <w:marBottom w:val="0"/>
                      <w:divBdr>
                        <w:top w:val="none" w:sz="0" w:space="0" w:color="auto"/>
                        <w:left w:val="none" w:sz="0" w:space="0" w:color="auto"/>
                        <w:bottom w:val="none" w:sz="0" w:space="0" w:color="auto"/>
                        <w:right w:val="none" w:sz="0" w:space="0" w:color="auto"/>
                      </w:divBdr>
                    </w:div>
                  </w:divsChild>
                </w:div>
                <w:div w:id="2144882419">
                  <w:marLeft w:val="0"/>
                  <w:marRight w:val="0"/>
                  <w:marTop w:val="0"/>
                  <w:marBottom w:val="0"/>
                  <w:divBdr>
                    <w:top w:val="none" w:sz="0" w:space="0" w:color="auto"/>
                    <w:left w:val="none" w:sz="0" w:space="0" w:color="auto"/>
                    <w:bottom w:val="none" w:sz="0" w:space="0" w:color="auto"/>
                    <w:right w:val="none" w:sz="0" w:space="0" w:color="auto"/>
                  </w:divBdr>
                  <w:divsChild>
                    <w:div w:id="330187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0753609">
          <w:marLeft w:val="0"/>
          <w:marRight w:val="0"/>
          <w:marTop w:val="0"/>
          <w:marBottom w:val="0"/>
          <w:divBdr>
            <w:top w:val="none" w:sz="0" w:space="0" w:color="auto"/>
            <w:left w:val="none" w:sz="0" w:space="0" w:color="auto"/>
            <w:bottom w:val="none" w:sz="0" w:space="0" w:color="auto"/>
            <w:right w:val="none" w:sz="0" w:space="0" w:color="auto"/>
          </w:divBdr>
        </w:div>
        <w:div w:id="623343039">
          <w:marLeft w:val="0"/>
          <w:marRight w:val="0"/>
          <w:marTop w:val="0"/>
          <w:marBottom w:val="0"/>
          <w:divBdr>
            <w:top w:val="none" w:sz="0" w:space="0" w:color="auto"/>
            <w:left w:val="none" w:sz="0" w:space="0" w:color="auto"/>
            <w:bottom w:val="none" w:sz="0" w:space="0" w:color="auto"/>
            <w:right w:val="none" w:sz="0" w:space="0" w:color="auto"/>
          </w:divBdr>
        </w:div>
        <w:div w:id="661130220">
          <w:marLeft w:val="0"/>
          <w:marRight w:val="0"/>
          <w:marTop w:val="0"/>
          <w:marBottom w:val="0"/>
          <w:divBdr>
            <w:top w:val="none" w:sz="0" w:space="0" w:color="auto"/>
            <w:left w:val="none" w:sz="0" w:space="0" w:color="auto"/>
            <w:bottom w:val="none" w:sz="0" w:space="0" w:color="auto"/>
            <w:right w:val="none" w:sz="0" w:space="0" w:color="auto"/>
          </w:divBdr>
        </w:div>
        <w:div w:id="677540661">
          <w:marLeft w:val="0"/>
          <w:marRight w:val="0"/>
          <w:marTop w:val="0"/>
          <w:marBottom w:val="0"/>
          <w:divBdr>
            <w:top w:val="none" w:sz="0" w:space="0" w:color="auto"/>
            <w:left w:val="none" w:sz="0" w:space="0" w:color="auto"/>
            <w:bottom w:val="none" w:sz="0" w:space="0" w:color="auto"/>
            <w:right w:val="none" w:sz="0" w:space="0" w:color="auto"/>
          </w:divBdr>
        </w:div>
        <w:div w:id="982588399">
          <w:marLeft w:val="0"/>
          <w:marRight w:val="0"/>
          <w:marTop w:val="0"/>
          <w:marBottom w:val="0"/>
          <w:divBdr>
            <w:top w:val="none" w:sz="0" w:space="0" w:color="auto"/>
            <w:left w:val="none" w:sz="0" w:space="0" w:color="auto"/>
            <w:bottom w:val="none" w:sz="0" w:space="0" w:color="auto"/>
            <w:right w:val="none" w:sz="0" w:space="0" w:color="auto"/>
          </w:divBdr>
        </w:div>
        <w:div w:id="1010908308">
          <w:marLeft w:val="0"/>
          <w:marRight w:val="0"/>
          <w:marTop w:val="0"/>
          <w:marBottom w:val="0"/>
          <w:divBdr>
            <w:top w:val="none" w:sz="0" w:space="0" w:color="auto"/>
            <w:left w:val="none" w:sz="0" w:space="0" w:color="auto"/>
            <w:bottom w:val="none" w:sz="0" w:space="0" w:color="auto"/>
            <w:right w:val="none" w:sz="0" w:space="0" w:color="auto"/>
          </w:divBdr>
        </w:div>
        <w:div w:id="1015154751">
          <w:marLeft w:val="0"/>
          <w:marRight w:val="0"/>
          <w:marTop w:val="0"/>
          <w:marBottom w:val="0"/>
          <w:divBdr>
            <w:top w:val="none" w:sz="0" w:space="0" w:color="auto"/>
            <w:left w:val="none" w:sz="0" w:space="0" w:color="auto"/>
            <w:bottom w:val="none" w:sz="0" w:space="0" w:color="auto"/>
            <w:right w:val="none" w:sz="0" w:space="0" w:color="auto"/>
          </w:divBdr>
        </w:div>
        <w:div w:id="1103258094">
          <w:marLeft w:val="0"/>
          <w:marRight w:val="0"/>
          <w:marTop w:val="0"/>
          <w:marBottom w:val="0"/>
          <w:divBdr>
            <w:top w:val="none" w:sz="0" w:space="0" w:color="auto"/>
            <w:left w:val="none" w:sz="0" w:space="0" w:color="auto"/>
            <w:bottom w:val="none" w:sz="0" w:space="0" w:color="auto"/>
            <w:right w:val="none" w:sz="0" w:space="0" w:color="auto"/>
          </w:divBdr>
        </w:div>
        <w:div w:id="1234394446">
          <w:marLeft w:val="0"/>
          <w:marRight w:val="0"/>
          <w:marTop w:val="0"/>
          <w:marBottom w:val="0"/>
          <w:divBdr>
            <w:top w:val="none" w:sz="0" w:space="0" w:color="auto"/>
            <w:left w:val="none" w:sz="0" w:space="0" w:color="auto"/>
            <w:bottom w:val="none" w:sz="0" w:space="0" w:color="auto"/>
            <w:right w:val="none" w:sz="0" w:space="0" w:color="auto"/>
          </w:divBdr>
        </w:div>
        <w:div w:id="1258171722">
          <w:marLeft w:val="0"/>
          <w:marRight w:val="0"/>
          <w:marTop w:val="0"/>
          <w:marBottom w:val="0"/>
          <w:divBdr>
            <w:top w:val="none" w:sz="0" w:space="0" w:color="auto"/>
            <w:left w:val="none" w:sz="0" w:space="0" w:color="auto"/>
            <w:bottom w:val="none" w:sz="0" w:space="0" w:color="auto"/>
            <w:right w:val="none" w:sz="0" w:space="0" w:color="auto"/>
          </w:divBdr>
        </w:div>
        <w:div w:id="1395547485">
          <w:marLeft w:val="0"/>
          <w:marRight w:val="0"/>
          <w:marTop w:val="0"/>
          <w:marBottom w:val="0"/>
          <w:divBdr>
            <w:top w:val="none" w:sz="0" w:space="0" w:color="auto"/>
            <w:left w:val="none" w:sz="0" w:space="0" w:color="auto"/>
            <w:bottom w:val="none" w:sz="0" w:space="0" w:color="auto"/>
            <w:right w:val="none" w:sz="0" w:space="0" w:color="auto"/>
          </w:divBdr>
        </w:div>
        <w:div w:id="1473905416">
          <w:marLeft w:val="0"/>
          <w:marRight w:val="0"/>
          <w:marTop w:val="0"/>
          <w:marBottom w:val="0"/>
          <w:divBdr>
            <w:top w:val="none" w:sz="0" w:space="0" w:color="auto"/>
            <w:left w:val="none" w:sz="0" w:space="0" w:color="auto"/>
            <w:bottom w:val="none" w:sz="0" w:space="0" w:color="auto"/>
            <w:right w:val="none" w:sz="0" w:space="0" w:color="auto"/>
          </w:divBdr>
          <w:divsChild>
            <w:div w:id="6954970">
              <w:marLeft w:val="0"/>
              <w:marRight w:val="0"/>
              <w:marTop w:val="0"/>
              <w:marBottom w:val="0"/>
              <w:divBdr>
                <w:top w:val="none" w:sz="0" w:space="0" w:color="auto"/>
                <w:left w:val="none" w:sz="0" w:space="0" w:color="auto"/>
                <w:bottom w:val="none" w:sz="0" w:space="0" w:color="auto"/>
                <w:right w:val="none" w:sz="0" w:space="0" w:color="auto"/>
              </w:divBdr>
            </w:div>
            <w:div w:id="18358625">
              <w:marLeft w:val="0"/>
              <w:marRight w:val="0"/>
              <w:marTop w:val="0"/>
              <w:marBottom w:val="0"/>
              <w:divBdr>
                <w:top w:val="none" w:sz="0" w:space="0" w:color="auto"/>
                <w:left w:val="none" w:sz="0" w:space="0" w:color="auto"/>
                <w:bottom w:val="none" w:sz="0" w:space="0" w:color="auto"/>
                <w:right w:val="none" w:sz="0" w:space="0" w:color="auto"/>
              </w:divBdr>
            </w:div>
            <w:div w:id="49503344">
              <w:marLeft w:val="0"/>
              <w:marRight w:val="0"/>
              <w:marTop w:val="0"/>
              <w:marBottom w:val="0"/>
              <w:divBdr>
                <w:top w:val="none" w:sz="0" w:space="0" w:color="auto"/>
                <w:left w:val="none" w:sz="0" w:space="0" w:color="auto"/>
                <w:bottom w:val="none" w:sz="0" w:space="0" w:color="auto"/>
                <w:right w:val="none" w:sz="0" w:space="0" w:color="auto"/>
              </w:divBdr>
            </w:div>
            <w:div w:id="125246223">
              <w:marLeft w:val="0"/>
              <w:marRight w:val="0"/>
              <w:marTop w:val="0"/>
              <w:marBottom w:val="0"/>
              <w:divBdr>
                <w:top w:val="none" w:sz="0" w:space="0" w:color="auto"/>
                <w:left w:val="none" w:sz="0" w:space="0" w:color="auto"/>
                <w:bottom w:val="none" w:sz="0" w:space="0" w:color="auto"/>
                <w:right w:val="none" w:sz="0" w:space="0" w:color="auto"/>
              </w:divBdr>
            </w:div>
            <w:div w:id="320738407">
              <w:marLeft w:val="0"/>
              <w:marRight w:val="0"/>
              <w:marTop w:val="0"/>
              <w:marBottom w:val="0"/>
              <w:divBdr>
                <w:top w:val="none" w:sz="0" w:space="0" w:color="auto"/>
                <w:left w:val="none" w:sz="0" w:space="0" w:color="auto"/>
                <w:bottom w:val="none" w:sz="0" w:space="0" w:color="auto"/>
                <w:right w:val="none" w:sz="0" w:space="0" w:color="auto"/>
              </w:divBdr>
            </w:div>
            <w:div w:id="394205460">
              <w:marLeft w:val="0"/>
              <w:marRight w:val="0"/>
              <w:marTop w:val="0"/>
              <w:marBottom w:val="0"/>
              <w:divBdr>
                <w:top w:val="none" w:sz="0" w:space="0" w:color="auto"/>
                <w:left w:val="none" w:sz="0" w:space="0" w:color="auto"/>
                <w:bottom w:val="none" w:sz="0" w:space="0" w:color="auto"/>
                <w:right w:val="none" w:sz="0" w:space="0" w:color="auto"/>
              </w:divBdr>
            </w:div>
            <w:div w:id="401566182">
              <w:marLeft w:val="0"/>
              <w:marRight w:val="0"/>
              <w:marTop w:val="0"/>
              <w:marBottom w:val="0"/>
              <w:divBdr>
                <w:top w:val="none" w:sz="0" w:space="0" w:color="auto"/>
                <w:left w:val="none" w:sz="0" w:space="0" w:color="auto"/>
                <w:bottom w:val="none" w:sz="0" w:space="0" w:color="auto"/>
                <w:right w:val="none" w:sz="0" w:space="0" w:color="auto"/>
              </w:divBdr>
            </w:div>
            <w:div w:id="430399140">
              <w:marLeft w:val="0"/>
              <w:marRight w:val="0"/>
              <w:marTop w:val="0"/>
              <w:marBottom w:val="0"/>
              <w:divBdr>
                <w:top w:val="none" w:sz="0" w:space="0" w:color="auto"/>
                <w:left w:val="none" w:sz="0" w:space="0" w:color="auto"/>
                <w:bottom w:val="none" w:sz="0" w:space="0" w:color="auto"/>
                <w:right w:val="none" w:sz="0" w:space="0" w:color="auto"/>
              </w:divBdr>
            </w:div>
            <w:div w:id="673725030">
              <w:marLeft w:val="0"/>
              <w:marRight w:val="0"/>
              <w:marTop w:val="0"/>
              <w:marBottom w:val="0"/>
              <w:divBdr>
                <w:top w:val="none" w:sz="0" w:space="0" w:color="auto"/>
                <w:left w:val="none" w:sz="0" w:space="0" w:color="auto"/>
                <w:bottom w:val="none" w:sz="0" w:space="0" w:color="auto"/>
                <w:right w:val="none" w:sz="0" w:space="0" w:color="auto"/>
              </w:divBdr>
            </w:div>
            <w:div w:id="686710786">
              <w:marLeft w:val="0"/>
              <w:marRight w:val="0"/>
              <w:marTop w:val="0"/>
              <w:marBottom w:val="0"/>
              <w:divBdr>
                <w:top w:val="none" w:sz="0" w:space="0" w:color="auto"/>
                <w:left w:val="none" w:sz="0" w:space="0" w:color="auto"/>
                <w:bottom w:val="none" w:sz="0" w:space="0" w:color="auto"/>
                <w:right w:val="none" w:sz="0" w:space="0" w:color="auto"/>
              </w:divBdr>
            </w:div>
            <w:div w:id="921137990">
              <w:marLeft w:val="0"/>
              <w:marRight w:val="0"/>
              <w:marTop w:val="0"/>
              <w:marBottom w:val="0"/>
              <w:divBdr>
                <w:top w:val="none" w:sz="0" w:space="0" w:color="auto"/>
                <w:left w:val="none" w:sz="0" w:space="0" w:color="auto"/>
                <w:bottom w:val="none" w:sz="0" w:space="0" w:color="auto"/>
                <w:right w:val="none" w:sz="0" w:space="0" w:color="auto"/>
              </w:divBdr>
            </w:div>
            <w:div w:id="993030137">
              <w:marLeft w:val="0"/>
              <w:marRight w:val="0"/>
              <w:marTop w:val="0"/>
              <w:marBottom w:val="0"/>
              <w:divBdr>
                <w:top w:val="none" w:sz="0" w:space="0" w:color="auto"/>
                <w:left w:val="none" w:sz="0" w:space="0" w:color="auto"/>
                <w:bottom w:val="none" w:sz="0" w:space="0" w:color="auto"/>
                <w:right w:val="none" w:sz="0" w:space="0" w:color="auto"/>
              </w:divBdr>
            </w:div>
            <w:div w:id="1133134496">
              <w:marLeft w:val="0"/>
              <w:marRight w:val="0"/>
              <w:marTop w:val="0"/>
              <w:marBottom w:val="0"/>
              <w:divBdr>
                <w:top w:val="none" w:sz="0" w:space="0" w:color="auto"/>
                <w:left w:val="none" w:sz="0" w:space="0" w:color="auto"/>
                <w:bottom w:val="none" w:sz="0" w:space="0" w:color="auto"/>
                <w:right w:val="none" w:sz="0" w:space="0" w:color="auto"/>
              </w:divBdr>
            </w:div>
            <w:div w:id="1235359723">
              <w:marLeft w:val="0"/>
              <w:marRight w:val="0"/>
              <w:marTop w:val="0"/>
              <w:marBottom w:val="0"/>
              <w:divBdr>
                <w:top w:val="none" w:sz="0" w:space="0" w:color="auto"/>
                <w:left w:val="none" w:sz="0" w:space="0" w:color="auto"/>
                <w:bottom w:val="none" w:sz="0" w:space="0" w:color="auto"/>
                <w:right w:val="none" w:sz="0" w:space="0" w:color="auto"/>
              </w:divBdr>
            </w:div>
            <w:div w:id="1442214781">
              <w:marLeft w:val="0"/>
              <w:marRight w:val="0"/>
              <w:marTop w:val="0"/>
              <w:marBottom w:val="0"/>
              <w:divBdr>
                <w:top w:val="none" w:sz="0" w:space="0" w:color="auto"/>
                <w:left w:val="none" w:sz="0" w:space="0" w:color="auto"/>
                <w:bottom w:val="none" w:sz="0" w:space="0" w:color="auto"/>
                <w:right w:val="none" w:sz="0" w:space="0" w:color="auto"/>
              </w:divBdr>
            </w:div>
            <w:div w:id="1587687661">
              <w:marLeft w:val="0"/>
              <w:marRight w:val="0"/>
              <w:marTop w:val="0"/>
              <w:marBottom w:val="0"/>
              <w:divBdr>
                <w:top w:val="none" w:sz="0" w:space="0" w:color="auto"/>
                <w:left w:val="none" w:sz="0" w:space="0" w:color="auto"/>
                <w:bottom w:val="none" w:sz="0" w:space="0" w:color="auto"/>
                <w:right w:val="none" w:sz="0" w:space="0" w:color="auto"/>
              </w:divBdr>
            </w:div>
            <w:div w:id="1627197564">
              <w:marLeft w:val="0"/>
              <w:marRight w:val="0"/>
              <w:marTop w:val="0"/>
              <w:marBottom w:val="0"/>
              <w:divBdr>
                <w:top w:val="none" w:sz="0" w:space="0" w:color="auto"/>
                <w:left w:val="none" w:sz="0" w:space="0" w:color="auto"/>
                <w:bottom w:val="none" w:sz="0" w:space="0" w:color="auto"/>
                <w:right w:val="none" w:sz="0" w:space="0" w:color="auto"/>
              </w:divBdr>
            </w:div>
            <w:div w:id="1845128510">
              <w:marLeft w:val="0"/>
              <w:marRight w:val="0"/>
              <w:marTop w:val="0"/>
              <w:marBottom w:val="0"/>
              <w:divBdr>
                <w:top w:val="none" w:sz="0" w:space="0" w:color="auto"/>
                <w:left w:val="none" w:sz="0" w:space="0" w:color="auto"/>
                <w:bottom w:val="none" w:sz="0" w:space="0" w:color="auto"/>
                <w:right w:val="none" w:sz="0" w:space="0" w:color="auto"/>
              </w:divBdr>
            </w:div>
            <w:div w:id="1901355542">
              <w:marLeft w:val="0"/>
              <w:marRight w:val="0"/>
              <w:marTop w:val="0"/>
              <w:marBottom w:val="0"/>
              <w:divBdr>
                <w:top w:val="none" w:sz="0" w:space="0" w:color="auto"/>
                <w:left w:val="none" w:sz="0" w:space="0" w:color="auto"/>
                <w:bottom w:val="none" w:sz="0" w:space="0" w:color="auto"/>
                <w:right w:val="none" w:sz="0" w:space="0" w:color="auto"/>
              </w:divBdr>
            </w:div>
            <w:div w:id="2136555222">
              <w:marLeft w:val="0"/>
              <w:marRight w:val="0"/>
              <w:marTop w:val="0"/>
              <w:marBottom w:val="0"/>
              <w:divBdr>
                <w:top w:val="none" w:sz="0" w:space="0" w:color="auto"/>
                <w:left w:val="none" w:sz="0" w:space="0" w:color="auto"/>
                <w:bottom w:val="none" w:sz="0" w:space="0" w:color="auto"/>
                <w:right w:val="none" w:sz="0" w:space="0" w:color="auto"/>
              </w:divBdr>
            </w:div>
          </w:divsChild>
        </w:div>
        <w:div w:id="1478452645">
          <w:marLeft w:val="0"/>
          <w:marRight w:val="0"/>
          <w:marTop w:val="0"/>
          <w:marBottom w:val="0"/>
          <w:divBdr>
            <w:top w:val="none" w:sz="0" w:space="0" w:color="auto"/>
            <w:left w:val="none" w:sz="0" w:space="0" w:color="auto"/>
            <w:bottom w:val="none" w:sz="0" w:space="0" w:color="auto"/>
            <w:right w:val="none" w:sz="0" w:space="0" w:color="auto"/>
          </w:divBdr>
        </w:div>
        <w:div w:id="1522742213">
          <w:marLeft w:val="0"/>
          <w:marRight w:val="0"/>
          <w:marTop w:val="0"/>
          <w:marBottom w:val="0"/>
          <w:divBdr>
            <w:top w:val="none" w:sz="0" w:space="0" w:color="auto"/>
            <w:left w:val="none" w:sz="0" w:space="0" w:color="auto"/>
            <w:bottom w:val="none" w:sz="0" w:space="0" w:color="auto"/>
            <w:right w:val="none" w:sz="0" w:space="0" w:color="auto"/>
          </w:divBdr>
        </w:div>
        <w:div w:id="1575818762">
          <w:marLeft w:val="0"/>
          <w:marRight w:val="0"/>
          <w:marTop w:val="0"/>
          <w:marBottom w:val="0"/>
          <w:divBdr>
            <w:top w:val="none" w:sz="0" w:space="0" w:color="auto"/>
            <w:left w:val="none" w:sz="0" w:space="0" w:color="auto"/>
            <w:bottom w:val="none" w:sz="0" w:space="0" w:color="auto"/>
            <w:right w:val="none" w:sz="0" w:space="0" w:color="auto"/>
          </w:divBdr>
        </w:div>
        <w:div w:id="1579754192">
          <w:marLeft w:val="0"/>
          <w:marRight w:val="0"/>
          <w:marTop w:val="0"/>
          <w:marBottom w:val="0"/>
          <w:divBdr>
            <w:top w:val="none" w:sz="0" w:space="0" w:color="auto"/>
            <w:left w:val="none" w:sz="0" w:space="0" w:color="auto"/>
            <w:bottom w:val="none" w:sz="0" w:space="0" w:color="auto"/>
            <w:right w:val="none" w:sz="0" w:space="0" w:color="auto"/>
          </w:divBdr>
        </w:div>
        <w:div w:id="1629433144">
          <w:marLeft w:val="0"/>
          <w:marRight w:val="0"/>
          <w:marTop w:val="0"/>
          <w:marBottom w:val="0"/>
          <w:divBdr>
            <w:top w:val="none" w:sz="0" w:space="0" w:color="auto"/>
            <w:left w:val="none" w:sz="0" w:space="0" w:color="auto"/>
            <w:bottom w:val="none" w:sz="0" w:space="0" w:color="auto"/>
            <w:right w:val="none" w:sz="0" w:space="0" w:color="auto"/>
          </w:divBdr>
        </w:div>
        <w:div w:id="1802311084">
          <w:marLeft w:val="0"/>
          <w:marRight w:val="0"/>
          <w:marTop w:val="0"/>
          <w:marBottom w:val="0"/>
          <w:divBdr>
            <w:top w:val="none" w:sz="0" w:space="0" w:color="auto"/>
            <w:left w:val="none" w:sz="0" w:space="0" w:color="auto"/>
            <w:bottom w:val="none" w:sz="0" w:space="0" w:color="auto"/>
            <w:right w:val="none" w:sz="0" w:space="0" w:color="auto"/>
          </w:divBdr>
        </w:div>
        <w:div w:id="1819952952">
          <w:marLeft w:val="0"/>
          <w:marRight w:val="0"/>
          <w:marTop w:val="0"/>
          <w:marBottom w:val="0"/>
          <w:divBdr>
            <w:top w:val="none" w:sz="0" w:space="0" w:color="auto"/>
            <w:left w:val="none" w:sz="0" w:space="0" w:color="auto"/>
            <w:bottom w:val="none" w:sz="0" w:space="0" w:color="auto"/>
            <w:right w:val="none" w:sz="0" w:space="0" w:color="auto"/>
          </w:divBdr>
        </w:div>
        <w:div w:id="1917785476">
          <w:marLeft w:val="0"/>
          <w:marRight w:val="0"/>
          <w:marTop w:val="0"/>
          <w:marBottom w:val="0"/>
          <w:divBdr>
            <w:top w:val="none" w:sz="0" w:space="0" w:color="auto"/>
            <w:left w:val="none" w:sz="0" w:space="0" w:color="auto"/>
            <w:bottom w:val="none" w:sz="0" w:space="0" w:color="auto"/>
            <w:right w:val="none" w:sz="0" w:space="0" w:color="auto"/>
          </w:divBdr>
        </w:div>
        <w:div w:id="1921910003">
          <w:marLeft w:val="0"/>
          <w:marRight w:val="0"/>
          <w:marTop w:val="0"/>
          <w:marBottom w:val="0"/>
          <w:divBdr>
            <w:top w:val="none" w:sz="0" w:space="0" w:color="auto"/>
            <w:left w:val="none" w:sz="0" w:space="0" w:color="auto"/>
            <w:bottom w:val="none" w:sz="0" w:space="0" w:color="auto"/>
            <w:right w:val="none" w:sz="0" w:space="0" w:color="auto"/>
          </w:divBdr>
          <w:divsChild>
            <w:div w:id="679116723">
              <w:marLeft w:val="0"/>
              <w:marRight w:val="0"/>
              <w:marTop w:val="0"/>
              <w:marBottom w:val="0"/>
              <w:divBdr>
                <w:top w:val="none" w:sz="0" w:space="0" w:color="auto"/>
                <w:left w:val="none" w:sz="0" w:space="0" w:color="auto"/>
                <w:bottom w:val="none" w:sz="0" w:space="0" w:color="auto"/>
                <w:right w:val="none" w:sz="0" w:space="0" w:color="auto"/>
              </w:divBdr>
            </w:div>
            <w:div w:id="708409759">
              <w:marLeft w:val="0"/>
              <w:marRight w:val="0"/>
              <w:marTop w:val="0"/>
              <w:marBottom w:val="0"/>
              <w:divBdr>
                <w:top w:val="none" w:sz="0" w:space="0" w:color="auto"/>
                <w:left w:val="none" w:sz="0" w:space="0" w:color="auto"/>
                <w:bottom w:val="none" w:sz="0" w:space="0" w:color="auto"/>
                <w:right w:val="none" w:sz="0" w:space="0" w:color="auto"/>
              </w:divBdr>
            </w:div>
            <w:div w:id="744690678">
              <w:marLeft w:val="0"/>
              <w:marRight w:val="0"/>
              <w:marTop w:val="0"/>
              <w:marBottom w:val="0"/>
              <w:divBdr>
                <w:top w:val="none" w:sz="0" w:space="0" w:color="auto"/>
                <w:left w:val="none" w:sz="0" w:space="0" w:color="auto"/>
                <w:bottom w:val="none" w:sz="0" w:space="0" w:color="auto"/>
                <w:right w:val="none" w:sz="0" w:space="0" w:color="auto"/>
              </w:divBdr>
            </w:div>
            <w:div w:id="1037196004">
              <w:marLeft w:val="0"/>
              <w:marRight w:val="0"/>
              <w:marTop w:val="0"/>
              <w:marBottom w:val="0"/>
              <w:divBdr>
                <w:top w:val="none" w:sz="0" w:space="0" w:color="auto"/>
                <w:left w:val="none" w:sz="0" w:space="0" w:color="auto"/>
                <w:bottom w:val="none" w:sz="0" w:space="0" w:color="auto"/>
                <w:right w:val="none" w:sz="0" w:space="0" w:color="auto"/>
              </w:divBdr>
            </w:div>
            <w:div w:id="1074667099">
              <w:marLeft w:val="0"/>
              <w:marRight w:val="0"/>
              <w:marTop w:val="0"/>
              <w:marBottom w:val="0"/>
              <w:divBdr>
                <w:top w:val="none" w:sz="0" w:space="0" w:color="auto"/>
                <w:left w:val="none" w:sz="0" w:space="0" w:color="auto"/>
                <w:bottom w:val="none" w:sz="0" w:space="0" w:color="auto"/>
                <w:right w:val="none" w:sz="0" w:space="0" w:color="auto"/>
              </w:divBdr>
            </w:div>
            <w:div w:id="1405103500">
              <w:marLeft w:val="0"/>
              <w:marRight w:val="0"/>
              <w:marTop w:val="0"/>
              <w:marBottom w:val="0"/>
              <w:divBdr>
                <w:top w:val="none" w:sz="0" w:space="0" w:color="auto"/>
                <w:left w:val="none" w:sz="0" w:space="0" w:color="auto"/>
                <w:bottom w:val="none" w:sz="0" w:space="0" w:color="auto"/>
                <w:right w:val="none" w:sz="0" w:space="0" w:color="auto"/>
              </w:divBdr>
            </w:div>
            <w:div w:id="1687365879">
              <w:marLeft w:val="0"/>
              <w:marRight w:val="0"/>
              <w:marTop w:val="0"/>
              <w:marBottom w:val="0"/>
              <w:divBdr>
                <w:top w:val="none" w:sz="0" w:space="0" w:color="auto"/>
                <w:left w:val="none" w:sz="0" w:space="0" w:color="auto"/>
                <w:bottom w:val="none" w:sz="0" w:space="0" w:color="auto"/>
                <w:right w:val="none" w:sz="0" w:space="0" w:color="auto"/>
              </w:divBdr>
            </w:div>
            <w:div w:id="1749112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3652837">
      <w:bodyDiv w:val="1"/>
      <w:marLeft w:val="0"/>
      <w:marRight w:val="0"/>
      <w:marTop w:val="0"/>
      <w:marBottom w:val="0"/>
      <w:divBdr>
        <w:top w:val="none" w:sz="0" w:space="0" w:color="auto"/>
        <w:left w:val="none" w:sz="0" w:space="0" w:color="auto"/>
        <w:bottom w:val="none" w:sz="0" w:space="0" w:color="auto"/>
        <w:right w:val="none" w:sz="0" w:space="0" w:color="auto"/>
      </w:divBdr>
      <w:divsChild>
        <w:div w:id="1577282434">
          <w:marLeft w:val="0"/>
          <w:marRight w:val="0"/>
          <w:marTop w:val="0"/>
          <w:marBottom w:val="0"/>
          <w:divBdr>
            <w:top w:val="none" w:sz="0" w:space="0" w:color="auto"/>
            <w:left w:val="none" w:sz="0" w:space="0" w:color="auto"/>
            <w:bottom w:val="none" w:sz="0" w:space="0" w:color="auto"/>
            <w:right w:val="none" w:sz="0" w:space="0" w:color="auto"/>
          </w:divBdr>
        </w:div>
      </w:divsChild>
    </w:div>
    <w:div w:id="366368354">
      <w:bodyDiv w:val="1"/>
      <w:marLeft w:val="0"/>
      <w:marRight w:val="0"/>
      <w:marTop w:val="0"/>
      <w:marBottom w:val="0"/>
      <w:divBdr>
        <w:top w:val="none" w:sz="0" w:space="0" w:color="auto"/>
        <w:left w:val="none" w:sz="0" w:space="0" w:color="auto"/>
        <w:bottom w:val="none" w:sz="0" w:space="0" w:color="auto"/>
        <w:right w:val="none" w:sz="0" w:space="0" w:color="auto"/>
      </w:divBdr>
    </w:div>
    <w:div w:id="373387595">
      <w:bodyDiv w:val="1"/>
      <w:marLeft w:val="0"/>
      <w:marRight w:val="0"/>
      <w:marTop w:val="0"/>
      <w:marBottom w:val="0"/>
      <w:divBdr>
        <w:top w:val="none" w:sz="0" w:space="0" w:color="auto"/>
        <w:left w:val="none" w:sz="0" w:space="0" w:color="auto"/>
        <w:bottom w:val="none" w:sz="0" w:space="0" w:color="auto"/>
        <w:right w:val="none" w:sz="0" w:space="0" w:color="auto"/>
      </w:divBdr>
    </w:div>
    <w:div w:id="476842497">
      <w:bodyDiv w:val="1"/>
      <w:marLeft w:val="0"/>
      <w:marRight w:val="0"/>
      <w:marTop w:val="0"/>
      <w:marBottom w:val="0"/>
      <w:divBdr>
        <w:top w:val="none" w:sz="0" w:space="0" w:color="auto"/>
        <w:left w:val="none" w:sz="0" w:space="0" w:color="auto"/>
        <w:bottom w:val="none" w:sz="0" w:space="0" w:color="auto"/>
        <w:right w:val="none" w:sz="0" w:space="0" w:color="auto"/>
      </w:divBdr>
    </w:div>
    <w:div w:id="503981328">
      <w:bodyDiv w:val="1"/>
      <w:marLeft w:val="0"/>
      <w:marRight w:val="0"/>
      <w:marTop w:val="0"/>
      <w:marBottom w:val="0"/>
      <w:divBdr>
        <w:top w:val="none" w:sz="0" w:space="0" w:color="auto"/>
        <w:left w:val="none" w:sz="0" w:space="0" w:color="auto"/>
        <w:bottom w:val="none" w:sz="0" w:space="0" w:color="auto"/>
        <w:right w:val="none" w:sz="0" w:space="0" w:color="auto"/>
      </w:divBdr>
    </w:div>
    <w:div w:id="512064036">
      <w:bodyDiv w:val="1"/>
      <w:marLeft w:val="0"/>
      <w:marRight w:val="0"/>
      <w:marTop w:val="0"/>
      <w:marBottom w:val="0"/>
      <w:divBdr>
        <w:top w:val="none" w:sz="0" w:space="0" w:color="auto"/>
        <w:left w:val="none" w:sz="0" w:space="0" w:color="auto"/>
        <w:bottom w:val="none" w:sz="0" w:space="0" w:color="auto"/>
        <w:right w:val="none" w:sz="0" w:space="0" w:color="auto"/>
      </w:divBdr>
    </w:div>
    <w:div w:id="592904638">
      <w:bodyDiv w:val="1"/>
      <w:marLeft w:val="0"/>
      <w:marRight w:val="0"/>
      <w:marTop w:val="0"/>
      <w:marBottom w:val="0"/>
      <w:divBdr>
        <w:top w:val="none" w:sz="0" w:space="0" w:color="auto"/>
        <w:left w:val="none" w:sz="0" w:space="0" w:color="auto"/>
        <w:bottom w:val="none" w:sz="0" w:space="0" w:color="auto"/>
        <w:right w:val="none" w:sz="0" w:space="0" w:color="auto"/>
      </w:divBdr>
    </w:div>
    <w:div w:id="597098781">
      <w:bodyDiv w:val="1"/>
      <w:marLeft w:val="0"/>
      <w:marRight w:val="0"/>
      <w:marTop w:val="0"/>
      <w:marBottom w:val="0"/>
      <w:divBdr>
        <w:top w:val="none" w:sz="0" w:space="0" w:color="auto"/>
        <w:left w:val="none" w:sz="0" w:space="0" w:color="auto"/>
        <w:bottom w:val="none" w:sz="0" w:space="0" w:color="auto"/>
        <w:right w:val="none" w:sz="0" w:space="0" w:color="auto"/>
      </w:divBdr>
    </w:div>
    <w:div w:id="602616127">
      <w:bodyDiv w:val="1"/>
      <w:marLeft w:val="0"/>
      <w:marRight w:val="0"/>
      <w:marTop w:val="0"/>
      <w:marBottom w:val="0"/>
      <w:divBdr>
        <w:top w:val="none" w:sz="0" w:space="0" w:color="auto"/>
        <w:left w:val="none" w:sz="0" w:space="0" w:color="auto"/>
        <w:bottom w:val="none" w:sz="0" w:space="0" w:color="auto"/>
        <w:right w:val="none" w:sz="0" w:space="0" w:color="auto"/>
      </w:divBdr>
    </w:div>
    <w:div w:id="630403719">
      <w:bodyDiv w:val="1"/>
      <w:marLeft w:val="0"/>
      <w:marRight w:val="0"/>
      <w:marTop w:val="0"/>
      <w:marBottom w:val="0"/>
      <w:divBdr>
        <w:top w:val="none" w:sz="0" w:space="0" w:color="auto"/>
        <w:left w:val="none" w:sz="0" w:space="0" w:color="auto"/>
        <w:bottom w:val="none" w:sz="0" w:space="0" w:color="auto"/>
        <w:right w:val="none" w:sz="0" w:space="0" w:color="auto"/>
      </w:divBdr>
    </w:div>
    <w:div w:id="676611682">
      <w:bodyDiv w:val="1"/>
      <w:marLeft w:val="0"/>
      <w:marRight w:val="0"/>
      <w:marTop w:val="0"/>
      <w:marBottom w:val="0"/>
      <w:divBdr>
        <w:top w:val="none" w:sz="0" w:space="0" w:color="auto"/>
        <w:left w:val="none" w:sz="0" w:space="0" w:color="auto"/>
        <w:bottom w:val="none" w:sz="0" w:space="0" w:color="auto"/>
        <w:right w:val="none" w:sz="0" w:space="0" w:color="auto"/>
      </w:divBdr>
    </w:div>
    <w:div w:id="767166283">
      <w:bodyDiv w:val="1"/>
      <w:marLeft w:val="0"/>
      <w:marRight w:val="0"/>
      <w:marTop w:val="0"/>
      <w:marBottom w:val="0"/>
      <w:divBdr>
        <w:top w:val="none" w:sz="0" w:space="0" w:color="auto"/>
        <w:left w:val="none" w:sz="0" w:space="0" w:color="auto"/>
        <w:bottom w:val="none" w:sz="0" w:space="0" w:color="auto"/>
        <w:right w:val="none" w:sz="0" w:space="0" w:color="auto"/>
      </w:divBdr>
    </w:div>
    <w:div w:id="776415189">
      <w:bodyDiv w:val="1"/>
      <w:marLeft w:val="0"/>
      <w:marRight w:val="0"/>
      <w:marTop w:val="0"/>
      <w:marBottom w:val="0"/>
      <w:divBdr>
        <w:top w:val="none" w:sz="0" w:space="0" w:color="auto"/>
        <w:left w:val="none" w:sz="0" w:space="0" w:color="auto"/>
        <w:bottom w:val="none" w:sz="0" w:space="0" w:color="auto"/>
        <w:right w:val="none" w:sz="0" w:space="0" w:color="auto"/>
      </w:divBdr>
    </w:div>
    <w:div w:id="790712897">
      <w:bodyDiv w:val="1"/>
      <w:marLeft w:val="0"/>
      <w:marRight w:val="0"/>
      <w:marTop w:val="0"/>
      <w:marBottom w:val="0"/>
      <w:divBdr>
        <w:top w:val="none" w:sz="0" w:space="0" w:color="auto"/>
        <w:left w:val="none" w:sz="0" w:space="0" w:color="auto"/>
        <w:bottom w:val="none" w:sz="0" w:space="0" w:color="auto"/>
        <w:right w:val="none" w:sz="0" w:space="0" w:color="auto"/>
      </w:divBdr>
    </w:div>
    <w:div w:id="815226200">
      <w:bodyDiv w:val="1"/>
      <w:marLeft w:val="0"/>
      <w:marRight w:val="0"/>
      <w:marTop w:val="0"/>
      <w:marBottom w:val="0"/>
      <w:divBdr>
        <w:top w:val="none" w:sz="0" w:space="0" w:color="auto"/>
        <w:left w:val="none" w:sz="0" w:space="0" w:color="auto"/>
        <w:bottom w:val="none" w:sz="0" w:space="0" w:color="auto"/>
        <w:right w:val="none" w:sz="0" w:space="0" w:color="auto"/>
      </w:divBdr>
    </w:div>
    <w:div w:id="826869559">
      <w:bodyDiv w:val="1"/>
      <w:marLeft w:val="0"/>
      <w:marRight w:val="0"/>
      <w:marTop w:val="0"/>
      <w:marBottom w:val="0"/>
      <w:divBdr>
        <w:top w:val="none" w:sz="0" w:space="0" w:color="auto"/>
        <w:left w:val="none" w:sz="0" w:space="0" w:color="auto"/>
        <w:bottom w:val="none" w:sz="0" w:space="0" w:color="auto"/>
        <w:right w:val="none" w:sz="0" w:space="0" w:color="auto"/>
      </w:divBdr>
      <w:divsChild>
        <w:div w:id="20785574">
          <w:marLeft w:val="0"/>
          <w:marRight w:val="0"/>
          <w:marTop w:val="0"/>
          <w:marBottom w:val="0"/>
          <w:divBdr>
            <w:top w:val="none" w:sz="0" w:space="0" w:color="auto"/>
            <w:left w:val="none" w:sz="0" w:space="0" w:color="auto"/>
            <w:bottom w:val="none" w:sz="0" w:space="0" w:color="auto"/>
            <w:right w:val="none" w:sz="0" w:space="0" w:color="auto"/>
          </w:divBdr>
        </w:div>
        <w:div w:id="67503617">
          <w:marLeft w:val="0"/>
          <w:marRight w:val="0"/>
          <w:marTop w:val="0"/>
          <w:marBottom w:val="0"/>
          <w:divBdr>
            <w:top w:val="none" w:sz="0" w:space="0" w:color="auto"/>
            <w:left w:val="none" w:sz="0" w:space="0" w:color="auto"/>
            <w:bottom w:val="none" w:sz="0" w:space="0" w:color="auto"/>
            <w:right w:val="none" w:sz="0" w:space="0" w:color="auto"/>
          </w:divBdr>
          <w:divsChild>
            <w:div w:id="1301811708">
              <w:marLeft w:val="-75"/>
              <w:marRight w:val="0"/>
              <w:marTop w:val="30"/>
              <w:marBottom w:val="30"/>
              <w:divBdr>
                <w:top w:val="none" w:sz="0" w:space="0" w:color="auto"/>
                <w:left w:val="none" w:sz="0" w:space="0" w:color="auto"/>
                <w:bottom w:val="none" w:sz="0" w:space="0" w:color="auto"/>
                <w:right w:val="none" w:sz="0" w:space="0" w:color="auto"/>
              </w:divBdr>
              <w:divsChild>
                <w:div w:id="67308474">
                  <w:marLeft w:val="0"/>
                  <w:marRight w:val="0"/>
                  <w:marTop w:val="0"/>
                  <w:marBottom w:val="0"/>
                  <w:divBdr>
                    <w:top w:val="none" w:sz="0" w:space="0" w:color="auto"/>
                    <w:left w:val="none" w:sz="0" w:space="0" w:color="auto"/>
                    <w:bottom w:val="none" w:sz="0" w:space="0" w:color="auto"/>
                    <w:right w:val="none" w:sz="0" w:space="0" w:color="auto"/>
                  </w:divBdr>
                  <w:divsChild>
                    <w:div w:id="1590041532">
                      <w:marLeft w:val="0"/>
                      <w:marRight w:val="0"/>
                      <w:marTop w:val="0"/>
                      <w:marBottom w:val="0"/>
                      <w:divBdr>
                        <w:top w:val="none" w:sz="0" w:space="0" w:color="auto"/>
                        <w:left w:val="none" w:sz="0" w:space="0" w:color="auto"/>
                        <w:bottom w:val="none" w:sz="0" w:space="0" w:color="auto"/>
                        <w:right w:val="none" w:sz="0" w:space="0" w:color="auto"/>
                      </w:divBdr>
                    </w:div>
                  </w:divsChild>
                </w:div>
                <w:div w:id="139924494">
                  <w:marLeft w:val="0"/>
                  <w:marRight w:val="0"/>
                  <w:marTop w:val="0"/>
                  <w:marBottom w:val="0"/>
                  <w:divBdr>
                    <w:top w:val="none" w:sz="0" w:space="0" w:color="auto"/>
                    <w:left w:val="none" w:sz="0" w:space="0" w:color="auto"/>
                    <w:bottom w:val="none" w:sz="0" w:space="0" w:color="auto"/>
                    <w:right w:val="none" w:sz="0" w:space="0" w:color="auto"/>
                  </w:divBdr>
                  <w:divsChild>
                    <w:div w:id="1208489409">
                      <w:marLeft w:val="0"/>
                      <w:marRight w:val="0"/>
                      <w:marTop w:val="0"/>
                      <w:marBottom w:val="0"/>
                      <w:divBdr>
                        <w:top w:val="none" w:sz="0" w:space="0" w:color="auto"/>
                        <w:left w:val="none" w:sz="0" w:space="0" w:color="auto"/>
                        <w:bottom w:val="none" w:sz="0" w:space="0" w:color="auto"/>
                        <w:right w:val="none" w:sz="0" w:space="0" w:color="auto"/>
                      </w:divBdr>
                    </w:div>
                  </w:divsChild>
                </w:div>
                <w:div w:id="276789577">
                  <w:marLeft w:val="0"/>
                  <w:marRight w:val="0"/>
                  <w:marTop w:val="0"/>
                  <w:marBottom w:val="0"/>
                  <w:divBdr>
                    <w:top w:val="none" w:sz="0" w:space="0" w:color="auto"/>
                    <w:left w:val="none" w:sz="0" w:space="0" w:color="auto"/>
                    <w:bottom w:val="none" w:sz="0" w:space="0" w:color="auto"/>
                    <w:right w:val="none" w:sz="0" w:space="0" w:color="auto"/>
                  </w:divBdr>
                  <w:divsChild>
                    <w:div w:id="1456674264">
                      <w:marLeft w:val="0"/>
                      <w:marRight w:val="0"/>
                      <w:marTop w:val="0"/>
                      <w:marBottom w:val="0"/>
                      <w:divBdr>
                        <w:top w:val="none" w:sz="0" w:space="0" w:color="auto"/>
                        <w:left w:val="none" w:sz="0" w:space="0" w:color="auto"/>
                        <w:bottom w:val="none" w:sz="0" w:space="0" w:color="auto"/>
                        <w:right w:val="none" w:sz="0" w:space="0" w:color="auto"/>
                      </w:divBdr>
                    </w:div>
                  </w:divsChild>
                </w:div>
                <w:div w:id="288245184">
                  <w:marLeft w:val="0"/>
                  <w:marRight w:val="0"/>
                  <w:marTop w:val="0"/>
                  <w:marBottom w:val="0"/>
                  <w:divBdr>
                    <w:top w:val="none" w:sz="0" w:space="0" w:color="auto"/>
                    <w:left w:val="none" w:sz="0" w:space="0" w:color="auto"/>
                    <w:bottom w:val="none" w:sz="0" w:space="0" w:color="auto"/>
                    <w:right w:val="none" w:sz="0" w:space="0" w:color="auto"/>
                  </w:divBdr>
                  <w:divsChild>
                    <w:div w:id="885795807">
                      <w:marLeft w:val="0"/>
                      <w:marRight w:val="0"/>
                      <w:marTop w:val="0"/>
                      <w:marBottom w:val="0"/>
                      <w:divBdr>
                        <w:top w:val="none" w:sz="0" w:space="0" w:color="auto"/>
                        <w:left w:val="none" w:sz="0" w:space="0" w:color="auto"/>
                        <w:bottom w:val="none" w:sz="0" w:space="0" w:color="auto"/>
                        <w:right w:val="none" w:sz="0" w:space="0" w:color="auto"/>
                      </w:divBdr>
                    </w:div>
                  </w:divsChild>
                </w:div>
                <w:div w:id="296490043">
                  <w:marLeft w:val="0"/>
                  <w:marRight w:val="0"/>
                  <w:marTop w:val="0"/>
                  <w:marBottom w:val="0"/>
                  <w:divBdr>
                    <w:top w:val="none" w:sz="0" w:space="0" w:color="auto"/>
                    <w:left w:val="none" w:sz="0" w:space="0" w:color="auto"/>
                    <w:bottom w:val="none" w:sz="0" w:space="0" w:color="auto"/>
                    <w:right w:val="none" w:sz="0" w:space="0" w:color="auto"/>
                  </w:divBdr>
                  <w:divsChild>
                    <w:div w:id="1450128658">
                      <w:marLeft w:val="0"/>
                      <w:marRight w:val="0"/>
                      <w:marTop w:val="0"/>
                      <w:marBottom w:val="0"/>
                      <w:divBdr>
                        <w:top w:val="none" w:sz="0" w:space="0" w:color="auto"/>
                        <w:left w:val="none" w:sz="0" w:space="0" w:color="auto"/>
                        <w:bottom w:val="none" w:sz="0" w:space="0" w:color="auto"/>
                        <w:right w:val="none" w:sz="0" w:space="0" w:color="auto"/>
                      </w:divBdr>
                    </w:div>
                  </w:divsChild>
                </w:div>
                <w:div w:id="533272773">
                  <w:marLeft w:val="0"/>
                  <w:marRight w:val="0"/>
                  <w:marTop w:val="0"/>
                  <w:marBottom w:val="0"/>
                  <w:divBdr>
                    <w:top w:val="none" w:sz="0" w:space="0" w:color="auto"/>
                    <w:left w:val="none" w:sz="0" w:space="0" w:color="auto"/>
                    <w:bottom w:val="none" w:sz="0" w:space="0" w:color="auto"/>
                    <w:right w:val="none" w:sz="0" w:space="0" w:color="auto"/>
                  </w:divBdr>
                  <w:divsChild>
                    <w:div w:id="1863981118">
                      <w:marLeft w:val="0"/>
                      <w:marRight w:val="0"/>
                      <w:marTop w:val="0"/>
                      <w:marBottom w:val="0"/>
                      <w:divBdr>
                        <w:top w:val="none" w:sz="0" w:space="0" w:color="auto"/>
                        <w:left w:val="none" w:sz="0" w:space="0" w:color="auto"/>
                        <w:bottom w:val="none" w:sz="0" w:space="0" w:color="auto"/>
                        <w:right w:val="none" w:sz="0" w:space="0" w:color="auto"/>
                      </w:divBdr>
                    </w:div>
                  </w:divsChild>
                </w:div>
                <w:div w:id="541752860">
                  <w:marLeft w:val="0"/>
                  <w:marRight w:val="0"/>
                  <w:marTop w:val="0"/>
                  <w:marBottom w:val="0"/>
                  <w:divBdr>
                    <w:top w:val="none" w:sz="0" w:space="0" w:color="auto"/>
                    <w:left w:val="none" w:sz="0" w:space="0" w:color="auto"/>
                    <w:bottom w:val="none" w:sz="0" w:space="0" w:color="auto"/>
                    <w:right w:val="none" w:sz="0" w:space="0" w:color="auto"/>
                  </w:divBdr>
                  <w:divsChild>
                    <w:div w:id="1965842039">
                      <w:marLeft w:val="0"/>
                      <w:marRight w:val="0"/>
                      <w:marTop w:val="0"/>
                      <w:marBottom w:val="0"/>
                      <w:divBdr>
                        <w:top w:val="none" w:sz="0" w:space="0" w:color="auto"/>
                        <w:left w:val="none" w:sz="0" w:space="0" w:color="auto"/>
                        <w:bottom w:val="none" w:sz="0" w:space="0" w:color="auto"/>
                        <w:right w:val="none" w:sz="0" w:space="0" w:color="auto"/>
                      </w:divBdr>
                    </w:div>
                  </w:divsChild>
                </w:div>
                <w:div w:id="656498540">
                  <w:marLeft w:val="0"/>
                  <w:marRight w:val="0"/>
                  <w:marTop w:val="0"/>
                  <w:marBottom w:val="0"/>
                  <w:divBdr>
                    <w:top w:val="none" w:sz="0" w:space="0" w:color="auto"/>
                    <w:left w:val="none" w:sz="0" w:space="0" w:color="auto"/>
                    <w:bottom w:val="none" w:sz="0" w:space="0" w:color="auto"/>
                    <w:right w:val="none" w:sz="0" w:space="0" w:color="auto"/>
                  </w:divBdr>
                  <w:divsChild>
                    <w:div w:id="120727472">
                      <w:marLeft w:val="0"/>
                      <w:marRight w:val="0"/>
                      <w:marTop w:val="0"/>
                      <w:marBottom w:val="0"/>
                      <w:divBdr>
                        <w:top w:val="none" w:sz="0" w:space="0" w:color="auto"/>
                        <w:left w:val="none" w:sz="0" w:space="0" w:color="auto"/>
                        <w:bottom w:val="none" w:sz="0" w:space="0" w:color="auto"/>
                        <w:right w:val="none" w:sz="0" w:space="0" w:color="auto"/>
                      </w:divBdr>
                    </w:div>
                  </w:divsChild>
                </w:div>
                <w:div w:id="678850530">
                  <w:marLeft w:val="0"/>
                  <w:marRight w:val="0"/>
                  <w:marTop w:val="0"/>
                  <w:marBottom w:val="0"/>
                  <w:divBdr>
                    <w:top w:val="none" w:sz="0" w:space="0" w:color="auto"/>
                    <w:left w:val="none" w:sz="0" w:space="0" w:color="auto"/>
                    <w:bottom w:val="none" w:sz="0" w:space="0" w:color="auto"/>
                    <w:right w:val="none" w:sz="0" w:space="0" w:color="auto"/>
                  </w:divBdr>
                  <w:divsChild>
                    <w:div w:id="38209504">
                      <w:marLeft w:val="0"/>
                      <w:marRight w:val="0"/>
                      <w:marTop w:val="0"/>
                      <w:marBottom w:val="0"/>
                      <w:divBdr>
                        <w:top w:val="none" w:sz="0" w:space="0" w:color="auto"/>
                        <w:left w:val="none" w:sz="0" w:space="0" w:color="auto"/>
                        <w:bottom w:val="none" w:sz="0" w:space="0" w:color="auto"/>
                        <w:right w:val="none" w:sz="0" w:space="0" w:color="auto"/>
                      </w:divBdr>
                    </w:div>
                  </w:divsChild>
                </w:div>
                <w:div w:id="694354844">
                  <w:marLeft w:val="0"/>
                  <w:marRight w:val="0"/>
                  <w:marTop w:val="0"/>
                  <w:marBottom w:val="0"/>
                  <w:divBdr>
                    <w:top w:val="none" w:sz="0" w:space="0" w:color="auto"/>
                    <w:left w:val="none" w:sz="0" w:space="0" w:color="auto"/>
                    <w:bottom w:val="none" w:sz="0" w:space="0" w:color="auto"/>
                    <w:right w:val="none" w:sz="0" w:space="0" w:color="auto"/>
                  </w:divBdr>
                  <w:divsChild>
                    <w:div w:id="1695380616">
                      <w:marLeft w:val="0"/>
                      <w:marRight w:val="0"/>
                      <w:marTop w:val="0"/>
                      <w:marBottom w:val="0"/>
                      <w:divBdr>
                        <w:top w:val="none" w:sz="0" w:space="0" w:color="auto"/>
                        <w:left w:val="none" w:sz="0" w:space="0" w:color="auto"/>
                        <w:bottom w:val="none" w:sz="0" w:space="0" w:color="auto"/>
                        <w:right w:val="none" w:sz="0" w:space="0" w:color="auto"/>
                      </w:divBdr>
                    </w:div>
                  </w:divsChild>
                </w:div>
                <w:div w:id="702678839">
                  <w:marLeft w:val="0"/>
                  <w:marRight w:val="0"/>
                  <w:marTop w:val="0"/>
                  <w:marBottom w:val="0"/>
                  <w:divBdr>
                    <w:top w:val="none" w:sz="0" w:space="0" w:color="auto"/>
                    <w:left w:val="none" w:sz="0" w:space="0" w:color="auto"/>
                    <w:bottom w:val="none" w:sz="0" w:space="0" w:color="auto"/>
                    <w:right w:val="none" w:sz="0" w:space="0" w:color="auto"/>
                  </w:divBdr>
                  <w:divsChild>
                    <w:div w:id="461268663">
                      <w:marLeft w:val="0"/>
                      <w:marRight w:val="0"/>
                      <w:marTop w:val="0"/>
                      <w:marBottom w:val="0"/>
                      <w:divBdr>
                        <w:top w:val="none" w:sz="0" w:space="0" w:color="auto"/>
                        <w:left w:val="none" w:sz="0" w:space="0" w:color="auto"/>
                        <w:bottom w:val="none" w:sz="0" w:space="0" w:color="auto"/>
                        <w:right w:val="none" w:sz="0" w:space="0" w:color="auto"/>
                      </w:divBdr>
                    </w:div>
                  </w:divsChild>
                </w:div>
                <w:div w:id="751198854">
                  <w:marLeft w:val="0"/>
                  <w:marRight w:val="0"/>
                  <w:marTop w:val="0"/>
                  <w:marBottom w:val="0"/>
                  <w:divBdr>
                    <w:top w:val="none" w:sz="0" w:space="0" w:color="auto"/>
                    <w:left w:val="none" w:sz="0" w:space="0" w:color="auto"/>
                    <w:bottom w:val="none" w:sz="0" w:space="0" w:color="auto"/>
                    <w:right w:val="none" w:sz="0" w:space="0" w:color="auto"/>
                  </w:divBdr>
                  <w:divsChild>
                    <w:div w:id="1275943793">
                      <w:marLeft w:val="0"/>
                      <w:marRight w:val="0"/>
                      <w:marTop w:val="0"/>
                      <w:marBottom w:val="0"/>
                      <w:divBdr>
                        <w:top w:val="none" w:sz="0" w:space="0" w:color="auto"/>
                        <w:left w:val="none" w:sz="0" w:space="0" w:color="auto"/>
                        <w:bottom w:val="none" w:sz="0" w:space="0" w:color="auto"/>
                        <w:right w:val="none" w:sz="0" w:space="0" w:color="auto"/>
                      </w:divBdr>
                    </w:div>
                  </w:divsChild>
                </w:div>
                <w:div w:id="854147593">
                  <w:marLeft w:val="0"/>
                  <w:marRight w:val="0"/>
                  <w:marTop w:val="0"/>
                  <w:marBottom w:val="0"/>
                  <w:divBdr>
                    <w:top w:val="none" w:sz="0" w:space="0" w:color="auto"/>
                    <w:left w:val="none" w:sz="0" w:space="0" w:color="auto"/>
                    <w:bottom w:val="none" w:sz="0" w:space="0" w:color="auto"/>
                    <w:right w:val="none" w:sz="0" w:space="0" w:color="auto"/>
                  </w:divBdr>
                  <w:divsChild>
                    <w:div w:id="1407805482">
                      <w:marLeft w:val="0"/>
                      <w:marRight w:val="0"/>
                      <w:marTop w:val="0"/>
                      <w:marBottom w:val="0"/>
                      <w:divBdr>
                        <w:top w:val="none" w:sz="0" w:space="0" w:color="auto"/>
                        <w:left w:val="none" w:sz="0" w:space="0" w:color="auto"/>
                        <w:bottom w:val="none" w:sz="0" w:space="0" w:color="auto"/>
                        <w:right w:val="none" w:sz="0" w:space="0" w:color="auto"/>
                      </w:divBdr>
                    </w:div>
                  </w:divsChild>
                </w:div>
                <w:div w:id="1039624386">
                  <w:marLeft w:val="0"/>
                  <w:marRight w:val="0"/>
                  <w:marTop w:val="0"/>
                  <w:marBottom w:val="0"/>
                  <w:divBdr>
                    <w:top w:val="none" w:sz="0" w:space="0" w:color="auto"/>
                    <w:left w:val="none" w:sz="0" w:space="0" w:color="auto"/>
                    <w:bottom w:val="none" w:sz="0" w:space="0" w:color="auto"/>
                    <w:right w:val="none" w:sz="0" w:space="0" w:color="auto"/>
                  </w:divBdr>
                  <w:divsChild>
                    <w:div w:id="1312248612">
                      <w:marLeft w:val="0"/>
                      <w:marRight w:val="0"/>
                      <w:marTop w:val="0"/>
                      <w:marBottom w:val="0"/>
                      <w:divBdr>
                        <w:top w:val="none" w:sz="0" w:space="0" w:color="auto"/>
                        <w:left w:val="none" w:sz="0" w:space="0" w:color="auto"/>
                        <w:bottom w:val="none" w:sz="0" w:space="0" w:color="auto"/>
                        <w:right w:val="none" w:sz="0" w:space="0" w:color="auto"/>
                      </w:divBdr>
                    </w:div>
                  </w:divsChild>
                </w:div>
                <w:div w:id="1046173411">
                  <w:marLeft w:val="0"/>
                  <w:marRight w:val="0"/>
                  <w:marTop w:val="0"/>
                  <w:marBottom w:val="0"/>
                  <w:divBdr>
                    <w:top w:val="none" w:sz="0" w:space="0" w:color="auto"/>
                    <w:left w:val="none" w:sz="0" w:space="0" w:color="auto"/>
                    <w:bottom w:val="none" w:sz="0" w:space="0" w:color="auto"/>
                    <w:right w:val="none" w:sz="0" w:space="0" w:color="auto"/>
                  </w:divBdr>
                  <w:divsChild>
                    <w:div w:id="1709908996">
                      <w:marLeft w:val="0"/>
                      <w:marRight w:val="0"/>
                      <w:marTop w:val="0"/>
                      <w:marBottom w:val="0"/>
                      <w:divBdr>
                        <w:top w:val="none" w:sz="0" w:space="0" w:color="auto"/>
                        <w:left w:val="none" w:sz="0" w:space="0" w:color="auto"/>
                        <w:bottom w:val="none" w:sz="0" w:space="0" w:color="auto"/>
                        <w:right w:val="none" w:sz="0" w:space="0" w:color="auto"/>
                      </w:divBdr>
                    </w:div>
                  </w:divsChild>
                </w:div>
                <w:div w:id="1237084017">
                  <w:marLeft w:val="0"/>
                  <w:marRight w:val="0"/>
                  <w:marTop w:val="0"/>
                  <w:marBottom w:val="0"/>
                  <w:divBdr>
                    <w:top w:val="none" w:sz="0" w:space="0" w:color="auto"/>
                    <w:left w:val="none" w:sz="0" w:space="0" w:color="auto"/>
                    <w:bottom w:val="none" w:sz="0" w:space="0" w:color="auto"/>
                    <w:right w:val="none" w:sz="0" w:space="0" w:color="auto"/>
                  </w:divBdr>
                  <w:divsChild>
                    <w:div w:id="1338268076">
                      <w:marLeft w:val="0"/>
                      <w:marRight w:val="0"/>
                      <w:marTop w:val="0"/>
                      <w:marBottom w:val="0"/>
                      <w:divBdr>
                        <w:top w:val="none" w:sz="0" w:space="0" w:color="auto"/>
                        <w:left w:val="none" w:sz="0" w:space="0" w:color="auto"/>
                        <w:bottom w:val="none" w:sz="0" w:space="0" w:color="auto"/>
                        <w:right w:val="none" w:sz="0" w:space="0" w:color="auto"/>
                      </w:divBdr>
                    </w:div>
                  </w:divsChild>
                </w:div>
                <w:div w:id="1320771075">
                  <w:marLeft w:val="0"/>
                  <w:marRight w:val="0"/>
                  <w:marTop w:val="0"/>
                  <w:marBottom w:val="0"/>
                  <w:divBdr>
                    <w:top w:val="none" w:sz="0" w:space="0" w:color="auto"/>
                    <w:left w:val="none" w:sz="0" w:space="0" w:color="auto"/>
                    <w:bottom w:val="none" w:sz="0" w:space="0" w:color="auto"/>
                    <w:right w:val="none" w:sz="0" w:space="0" w:color="auto"/>
                  </w:divBdr>
                  <w:divsChild>
                    <w:div w:id="1938126024">
                      <w:marLeft w:val="0"/>
                      <w:marRight w:val="0"/>
                      <w:marTop w:val="0"/>
                      <w:marBottom w:val="0"/>
                      <w:divBdr>
                        <w:top w:val="none" w:sz="0" w:space="0" w:color="auto"/>
                        <w:left w:val="none" w:sz="0" w:space="0" w:color="auto"/>
                        <w:bottom w:val="none" w:sz="0" w:space="0" w:color="auto"/>
                        <w:right w:val="none" w:sz="0" w:space="0" w:color="auto"/>
                      </w:divBdr>
                    </w:div>
                  </w:divsChild>
                </w:div>
                <w:div w:id="1348217380">
                  <w:marLeft w:val="0"/>
                  <w:marRight w:val="0"/>
                  <w:marTop w:val="0"/>
                  <w:marBottom w:val="0"/>
                  <w:divBdr>
                    <w:top w:val="none" w:sz="0" w:space="0" w:color="auto"/>
                    <w:left w:val="none" w:sz="0" w:space="0" w:color="auto"/>
                    <w:bottom w:val="none" w:sz="0" w:space="0" w:color="auto"/>
                    <w:right w:val="none" w:sz="0" w:space="0" w:color="auto"/>
                  </w:divBdr>
                  <w:divsChild>
                    <w:div w:id="1962298265">
                      <w:marLeft w:val="0"/>
                      <w:marRight w:val="0"/>
                      <w:marTop w:val="0"/>
                      <w:marBottom w:val="0"/>
                      <w:divBdr>
                        <w:top w:val="none" w:sz="0" w:space="0" w:color="auto"/>
                        <w:left w:val="none" w:sz="0" w:space="0" w:color="auto"/>
                        <w:bottom w:val="none" w:sz="0" w:space="0" w:color="auto"/>
                        <w:right w:val="none" w:sz="0" w:space="0" w:color="auto"/>
                      </w:divBdr>
                    </w:div>
                  </w:divsChild>
                </w:div>
                <w:div w:id="1534271359">
                  <w:marLeft w:val="0"/>
                  <w:marRight w:val="0"/>
                  <w:marTop w:val="0"/>
                  <w:marBottom w:val="0"/>
                  <w:divBdr>
                    <w:top w:val="none" w:sz="0" w:space="0" w:color="auto"/>
                    <w:left w:val="none" w:sz="0" w:space="0" w:color="auto"/>
                    <w:bottom w:val="none" w:sz="0" w:space="0" w:color="auto"/>
                    <w:right w:val="none" w:sz="0" w:space="0" w:color="auto"/>
                  </w:divBdr>
                  <w:divsChild>
                    <w:div w:id="1667901655">
                      <w:marLeft w:val="0"/>
                      <w:marRight w:val="0"/>
                      <w:marTop w:val="0"/>
                      <w:marBottom w:val="0"/>
                      <w:divBdr>
                        <w:top w:val="none" w:sz="0" w:space="0" w:color="auto"/>
                        <w:left w:val="none" w:sz="0" w:space="0" w:color="auto"/>
                        <w:bottom w:val="none" w:sz="0" w:space="0" w:color="auto"/>
                        <w:right w:val="none" w:sz="0" w:space="0" w:color="auto"/>
                      </w:divBdr>
                    </w:div>
                  </w:divsChild>
                </w:div>
                <w:div w:id="1601330628">
                  <w:marLeft w:val="0"/>
                  <w:marRight w:val="0"/>
                  <w:marTop w:val="0"/>
                  <w:marBottom w:val="0"/>
                  <w:divBdr>
                    <w:top w:val="none" w:sz="0" w:space="0" w:color="auto"/>
                    <w:left w:val="none" w:sz="0" w:space="0" w:color="auto"/>
                    <w:bottom w:val="none" w:sz="0" w:space="0" w:color="auto"/>
                    <w:right w:val="none" w:sz="0" w:space="0" w:color="auto"/>
                  </w:divBdr>
                  <w:divsChild>
                    <w:div w:id="2053655440">
                      <w:marLeft w:val="0"/>
                      <w:marRight w:val="0"/>
                      <w:marTop w:val="0"/>
                      <w:marBottom w:val="0"/>
                      <w:divBdr>
                        <w:top w:val="none" w:sz="0" w:space="0" w:color="auto"/>
                        <w:left w:val="none" w:sz="0" w:space="0" w:color="auto"/>
                        <w:bottom w:val="none" w:sz="0" w:space="0" w:color="auto"/>
                        <w:right w:val="none" w:sz="0" w:space="0" w:color="auto"/>
                      </w:divBdr>
                    </w:div>
                  </w:divsChild>
                </w:div>
                <w:div w:id="1989087660">
                  <w:marLeft w:val="0"/>
                  <w:marRight w:val="0"/>
                  <w:marTop w:val="0"/>
                  <w:marBottom w:val="0"/>
                  <w:divBdr>
                    <w:top w:val="none" w:sz="0" w:space="0" w:color="auto"/>
                    <w:left w:val="none" w:sz="0" w:space="0" w:color="auto"/>
                    <w:bottom w:val="none" w:sz="0" w:space="0" w:color="auto"/>
                    <w:right w:val="none" w:sz="0" w:space="0" w:color="auto"/>
                  </w:divBdr>
                  <w:divsChild>
                    <w:div w:id="165633998">
                      <w:marLeft w:val="0"/>
                      <w:marRight w:val="0"/>
                      <w:marTop w:val="0"/>
                      <w:marBottom w:val="0"/>
                      <w:divBdr>
                        <w:top w:val="none" w:sz="0" w:space="0" w:color="auto"/>
                        <w:left w:val="none" w:sz="0" w:space="0" w:color="auto"/>
                        <w:bottom w:val="none" w:sz="0" w:space="0" w:color="auto"/>
                        <w:right w:val="none" w:sz="0" w:space="0" w:color="auto"/>
                      </w:divBdr>
                    </w:div>
                  </w:divsChild>
                </w:div>
                <w:div w:id="2125270596">
                  <w:marLeft w:val="0"/>
                  <w:marRight w:val="0"/>
                  <w:marTop w:val="0"/>
                  <w:marBottom w:val="0"/>
                  <w:divBdr>
                    <w:top w:val="none" w:sz="0" w:space="0" w:color="auto"/>
                    <w:left w:val="none" w:sz="0" w:space="0" w:color="auto"/>
                    <w:bottom w:val="none" w:sz="0" w:space="0" w:color="auto"/>
                    <w:right w:val="none" w:sz="0" w:space="0" w:color="auto"/>
                  </w:divBdr>
                  <w:divsChild>
                    <w:div w:id="835803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081762">
          <w:marLeft w:val="0"/>
          <w:marRight w:val="0"/>
          <w:marTop w:val="0"/>
          <w:marBottom w:val="0"/>
          <w:divBdr>
            <w:top w:val="none" w:sz="0" w:space="0" w:color="auto"/>
            <w:left w:val="none" w:sz="0" w:space="0" w:color="auto"/>
            <w:bottom w:val="none" w:sz="0" w:space="0" w:color="auto"/>
            <w:right w:val="none" w:sz="0" w:space="0" w:color="auto"/>
          </w:divBdr>
        </w:div>
        <w:div w:id="219249094">
          <w:marLeft w:val="0"/>
          <w:marRight w:val="0"/>
          <w:marTop w:val="0"/>
          <w:marBottom w:val="0"/>
          <w:divBdr>
            <w:top w:val="none" w:sz="0" w:space="0" w:color="auto"/>
            <w:left w:val="none" w:sz="0" w:space="0" w:color="auto"/>
            <w:bottom w:val="none" w:sz="0" w:space="0" w:color="auto"/>
            <w:right w:val="none" w:sz="0" w:space="0" w:color="auto"/>
          </w:divBdr>
        </w:div>
        <w:div w:id="357122231">
          <w:marLeft w:val="0"/>
          <w:marRight w:val="0"/>
          <w:marTop w:val="0"/>
          <w:marBottom w:val="0"/>
          <w:divBdr>
            <w:top w:val="none" w:sz="0" w:space="0" w:color="auto"/>
            <w:left w:val="none" w:sz="0" w:space="0" w:color="auto"/>
            <w:bottom w:val="none" w:sz="0" w:space="0" w:color="auto"/>
            <w:right w:val="none" w:sz="0" w:space="0" w:color="auto"/>
          </w:divBdr>
          <w:divsChild>
            <w:div w:id="116684729">
              <w:marLeft w:val="0"/>
              <w:marRight w:val="0"/>
              <w:marTop w:val="0"/>
              <w:marBottom w:val="0"/>
              <w:divBdr>
                <w:top w:val="none" w:sz="0" w:space="0" w:color="auto"/>
                <w:left w:val="none" w:sz="0" w:space="0" w:color="auto"/>
                <w:bottom w:val="none" w:sz="0" w:space="0" w:color="auto"/>
                <w:right w:val="none" w:sz="0" w:space="0" w:color="auto"/>
              </w:divBdr>
            </w:div>
            <w:div w:id="370154666">
              <w:marLeft w:val="0"/>
              <w:marRight w:val="0"/>
              <w:marTop w:val="0"/>
              <w:marBottom w:val="0"/>
              <w:divBdr>
                <w:top w:val="none" w:sz="0" w:space="0" w:color="auto"/>
                <w:left w:val="none" w:sz="0" w:space="0" w:color="auto"/>
                <w:bottom w:val="none" w:sz="0" w:space="0" w:color="auto"/>
                <w:right w:val="none" w:sz="0" w:space="0" w:color="auto"/>
              </w:divBdr>
            </w:div>
            <w:div w:id="386759032">
              <w:marLeft w:val="0"/>
              <w:marRight w:val="0"/>
              <w:marTop w:val="0"/>
              <w:marBottom w:val="0"/>
              <w:divBdr>
                <w:top w:val="none" w:sz="0" w:space="0" w:color="auto"/>
                <w:left w:val="none" w:sz="0" w:space="0" w:color="auto"/>
                <w:bottom w:val="none" w:sz="0" w:space="0" w:color="auto"/>
                <w:right w:val="none" w:sz="0" w:space="0" w:color="auto"/>
              </w:divBdr>
            </w:div>
            <w:div w:id="445084142">
              <w:marLeft w:val="0"/>
              <w:marRight w:val="0"/>
              <w:marTop w:val="0"/>
              <w:marBottom w:val="0"/>
              <w:divBdr>
                <w:top w:val="none" w:sz="0" w:space="0" w:color="auto"/>
                <w:left w:val="none" w:sz="0" w:space="0" w:color="auto"/>
                <w:bottom w:val="none" w:sz="0" w:space="0" w:color="auto"/>
                <w:right w:val="none" w:sz="0" w:space="0" w:color="auto"/>
              </w:divBdr>
            </w:div>
            <w:div w:id="662973555">
              <w:marLeft w:val="0"/>
              <w:marRight w:val="0"/>
              <w:marTop w:val="0"/>
              <w:marBottom w:val="0"/>
              <w:divBdr>
                <w:top w:val="none" w:sz="0" w:space="0" w:color="auto"/>
                <w:left w:val="none" w:sz="0" w:space="0" w:color="auto"/>
                <w:bottom w:val="none" w:sz="0" w:space="0" w:color="auto"/>
                <w:right w:val="none" w:sz="0" w:space="0" w:color="auto"/>
              </w:divBdr>
            </w:div>
            <w:div w:id="779564231">
              <w:marLeft w:val="0"/>
              <w:marRight w:val="0"/>
              <w:marTop w:val="0"/>
              <w:marBottom w:val="0"/>
              <w:divBdr>
                <w:top w:val="none" w:sz="0" w:space="0" w:color="auto"/>
                <w:left w:val="none" w:sz="0" w:space="0" w:color="auto"/>
                <w:bottom w:val="none" w:sz="0" w:space="0" w:color="auto"/>
                <w:right w:val="none" w:sz="0" w:space="0" w:color="auto"/>
              </w:divBdr>
            </w:div>
            <w:div w:id="797143700">
              <w:marLeft w:val="0"/>
              <w:marRight w:val="0"/>
              <w:marTop w:val="0"/>
              <w:marBottom w:val="0"/>
              <w:divBdr>
                <w:top w:val="none" w:sz="0" w:space="0" w:color="auto"/>
                <w:left w:val="none" w:sz="0" w:space="0" w:color="auto"/>
                <w:bottom w:val="none" w:sz="0" w:space="0" w:color="auto"/>
                <w:right w:val="none" w:sz="0" w:space="0" w:color="auto"/>
              </w:divBdr>
            </w:div>
            <w:div w:id="810513549">
              <w:marLeft w:val="0"/>
              <w:marRight w:val="0"/>
              <w:marTop w:val="0"/>
              <w:marBottom w:val="0"/>
              <w:divBdr>
                <w:top w:val="none" w:sz="0" w:space="0" w:color="auto"/>
                <w:left w:val="none" w:sz="0" w:space="0" w:color="auto"/>
                <w:bottom w:val="none" w:sz="0" w:space="0" w:color="auto"/>
                <w:right w:val="none" w:sz="0" w:space="0" w:color="auto"/>
              </w:divBdr>
            </w:div>
            <w:div w:id="976640368">
              <w:marLeft w:val="0"/>
              <w:marRight w:val="0"/>
              <w:marTop w:val="0"/>
              <w:marBottom w:val="0"/>
              <w:divBdr>
                <w:top w:val="none" w:sz="0" w:space="0" w:color="auto"/>
                <w:left w:val="none" w:sz="0" w:space="0" w:color="auto"/>
                <w:bottom w:val="none" w:sz="0" w:space="0" w:color="auto"/>
                <w:right w:val="none" w:sz="0" w:space="0" w:color="auto"/>
              </w:divBdr>
            </w:div>
            <w:div w:id="1129207865">
              <w:marLeft w:val="0"/>
              <w:marRight w:val="0"/>
              <w:marTop w:val="0"/>
              <w:marBottom w:val="0"/>
              <w:divBdr>
                <w:top w:val="none" w:sz="0" w:space="0" w:color="auto"/>
                <w:left w:val="none" w:sz="0" w:space="0" w:color="auto"/>
                <w:bottom w:val="none" w:sz="0" w:space="0" w:color="auto"/>
                <w:right w:val="none" w:sz="0" w:space="0" w:color="auto"/>
              </w:divBdr>
            </w:div>
            <w:div w:id="1152989287">
              <w:marLeft w:val="0"/>
              <w:marRight w:val="0"/>
              <w:marTop w:val="0"/>
              <w:marBottom w:val="0"/>
              <w:divBdr>
                <w:top w:val="none" w:sz="0" w:space="0" w:color="auto"/>
                <w:left w:val="none" w:sz="0" w:space="0" w:color="auto"/>
                <w:bottom w:val="none" w:sz="0" w:space="0" w:color="auto"/>
                <w:right w:val="none" w:sz="0" w:space="0" w:color="auto"/>
              </w:divBdr>
            </w:div>
            <w:div w:id="1293290520">
              <w:marLeft w:val="0"/>
              <w:marRight w:val="0"/>
              <w:marTop w:val="0"/>
              <w:marBottom w:val="0"/>
              <w:divBdr>
                <w:top w:val="none" w:sz="0" w:space="0" w:color="auto"/>
                <w:left w:val="none" w:sz="0" w:space="0" w:color="auto"/>
                <w:bottom w:val="none" w:sz="0" w:space="0" w:color="auto"/>
                <w:right w:val="none" w:sz="0" w:space="0" w:color="auto"/>
              </w:divBdr>
            </w:div>
            <w:div w:id="1431509465">
              <w:marLeft w:val="0"/>
              <w:marRight w:val="0"/>
              <w:marTop w:val="0"/>
              <w:marBottom w:val="0"/>
              <w:divBdr>
                <w:top w:val="none" w:sz="0" w:space="0" w:color="auto"/>
                <w:left w:val="none" w:sz="0" w:space="0" w:color="auto"/>
                <w:bottom w:val="none" w:sz="0" w:space="0" w:color="auto"/>
                <w:right w:val="none" w:sz="0" w:space="0" w:color="auto"/>
              </w:divBdr>
            </w:div>
            <w:div w:id="1561405534">
              <w:marLeft w:val="0"/>
              <w:marRight w:val="0"/>
              <w:marTop w:val="0"/>
              <w:marBottom w:val="0"/>
              <w:divBdr>
                <w:top w:val="none" w:sz="0" w:space="0" w:color="auto"/>
                <w:left w:val="none" w:sz="0" w:space="0" w:color="auto"/>
                <w:bottom w:val="none" w:sz="0" w:space="0" w:color="auto"/>
                <w:right w:val="none" w:sz="0" w:space="0" w:color="auto"/>
              </w:divBdr>
            </w:div>
            <w:div w:id="1668510544">
              <w:marLeft w:val="0"/>
              <w:marRight w:val="0"/>
              <w:marTop w:val="0"/>
              <w:marBottom w:val="0"/>
              <w:divBdr>
                <w:top w:val="none" w:sz="0" w:space="0" w:color="auto"/>
                <w:left w:val="none" w:sz="0" w:space="0" w:color="auto"/>
                <w:bottom w:val="none" w:sz="0" w:space="0" w:color="auto"/>
                <w:right w:val="none" w:sz="0" w:space="0" w:color="auto"/>
              </w:divBdr>
            </w:div>
            <w:div w:id="1799060145">
              <w:marLeft w:val="0"/>
              <w:marRight w:val="0"/>
              <w:marTop w:val="0"/>
              <w:marBottom w:val="0"/>
              <w:divBdr>
                <w:top w:val="none" w:sz="0" w:space="0" w:color="auto"/>
                <w:left w:val="none" w:sz="0" w:space="0" w:color="auto"/>
                <w:bottom w:val="none" w:sz="0" w:space="0" w:color="auto"/>
                <w:right w:val="none" w:sz="0" w:space="0" w:color="auto"/>
              </w:divBdr>
            </w:div>
            <w:div w:id="1869297231">
              <w:marLeft w:val="0"/>
              <w:marRight w:val="0"/>
              <w:marTop w:val="0"/>
              <w:marBottom w:val="0"/>
              <w:divBdr>
                <w:top w:val="none" w:sz="0" w:space="0" w:color="auto"/>
                <w:left w:val="none" w:sz="0" w:space="0" w:color="auto"/>
                <w:bottom w:val="none" w:sz="0" w:space="0" w:color="auto"/>
                <w:right w:val="none" w:sz="0" w:space="0" w:color="auto"/>
              </w:divBdr>
            </w:div>
            <w:div w:id="1933582797">
              <w:marLeft w:val="0"/>
              <w:marRight w:val="0"/>
              <w:marTop w:val="0"/>
              <w:marBottom w:val="0"/>
              <w:divBdr>
                <w:top w:val="none" w:sz="0" w:space="0" w:color="auto"/>
                <w:left w:val="none" w:sz="0" w:space="0" w:color="auto"/>
                <w:bottom w:val="none" w:sz="0" w:space="0" w:color="auto"/>
                <w:right w:val="none" w:sz="0" w:space="0" w:color="auto"/>
              </w:divBdr>
            </w:div>
            <w:div w:id="1935088765">
              <w:marLeft w:val="0"/>
              <w:marRight w:val="0"/>
              <w:marTop w:val="0"/>
              <w:marBottom w:val="0"/>
              <w:divBdr>
                <w:top w:val="none" w:sz="0" w:space="0" w:color="auto"/>
                <w:left w:val="none" w:sz="0" w:space="0" w:color="auto"/>
                <w:bottom w:val="none" w:sz="0" w:space="0" w:color="auto"/>
                <w:right w:val="none" w:sz="0" w:space="0" w:color="auto"/>
              </w:divBdr>
            </w:div>
            <w:div w:id="2094692897">
              <w:marLeft w:val="0"/>
              <w:marRight w:val="0"/>
              <w:marTop w:val="0"/>
              <w:marBottom w:val="0"/>
              <w:divBdr>
                <w:top w:val="none" w:sz="0" w:space="0" w:color="auto"/>
                <w:left w:val="none" w:sz="0" w:space="0" w:color="auto"/>
                <w:bottom w:val="none" w:sz="0" w:space="0" w:color="auto"/>
                <w:right w:val="none" w:sz="0" w:space="0" w:color="auto"/>
              </w:divBdr>
            </w:div>
          </w:divsChild>
        </w:div>
        <w:div w:id="358892706">
          <w:marLeft w:val="0"/>
          <w:marRight w:val="0"/>
          <w:marTop w:val="0"/>
          <w:marBottom w:val="0"/>
          <w:divBdr>
            <w:top w:val="none" w:sz="0" w:space="0" w:color="auto"/>
            <w:left w:val="none" w:sz="0" w:space="0" w:color="auto"/>
            <w:bottom w:val="none" w:sz="0" w:space="0" w:color="auto"/>
            <w:right w:val="none" w:sz="0" w:space="0" w:color="auto"/>
          </w:divBdr>
        </w:div>
        <w:div w:id="438110617">
          <w:marLeft w:val="0"/>
          <w:marRight w:val="0"/>
          <w:marTop w:val="0"/>
          <w:marBottom w:val="0"/>
          <w:divBdr>
            <w:top w:val="none" w:sz="0" w:space="0" w:color="auto"/>
            <w:left w:val="none" w:sz="0" w:space="0" w:color="auto"/>
            <w:bottom w:val="none" w:sz="0" w:space="0" w:color="auto"/>
            <w:right w:val="none" w:sz="0" w:space="0" w:color="auto"/>
          </w:divBdr>
        </w:div>
        <w:div w:id="485362323">
          <w:marLeft w:val="0"/>
          <w:marRight w:val="0"/>
          <w:marTop w:val="0"/>
          <w:marBottom w:val="0"/>
          <w:divBdr>
            <w:top w:val="none" w:sz="0" w:space="0" w:color="auto"/>
            <w:left w:val="none" w:sz="0" w:space="0" w:color="auto"/>
            <w:bottom w:val="none" w:sz="0" w:space="0" w:color="auto"/>
            <w:right w:val="none" w:sz="0" w:space="0" w:color="auto"/>
          </w:divBdr>
        </w:div>
        <w:div w:id="501434226">
          <w:marLeft w:val="0"/>
          <w:marRight w:val="0"/>
          <w:marTop w:val="0"/>
          <w:marBottom w:val="0"/>
          <w:divBdr>
            <w:top w:val="none" w:sz="0" w:space="0" w:color="auto"/>
            <w:left w:val="none" w:sz="0" w:space="0" w:color="auto"/>
            <w:bottom w:val="none" w:sz="0" w:space="0" w:color="auto"/>
            <w:right w:val="none" w:sz="0" w:space="0" w:color="auto"/>
          </w:divBdr>
        </w:div>
        <w:div w:id="616372885">
          <w:marLeft w:val="0"/>
          <w:marRight w:val="0"/>
          <w:marTop w:val="0"/>
          <w:marBottom w:val="0"/>
          <w:divBdr>
            <w:top w:val="none" w:sz="0" w:space="0" w:color="auto"/>
            <w:left w:val="none" w:sz="0" w:space="0" w:color="auto"/>
            <w:bottom w:val="none" w:sz="0" w:space="0" w:color="auto"/>
            <w:right w:val="none" w:sz="0" w:space="0" w:color="auto"/>
          </w:divBdr>
          <w:divsChild>
            <w:div w:id="238953487">
              <w:marLeft w:val="0"/>
              <w:marRight w:val="0"/>
              <w:marTop w:val="0"/>
              <w:marBottom w:val="0"/>
              <w:divBdr>
                <w:top w:val="none" w:sz="0" w:space="0" w:color="auto"/>
                <w:left w:val="none" w:sz="0" w:space="0" w:color="auto"/>
                <w:bottom w:val="none" w:sz="0" w:space="0" w:color="auto"/>
                <w:right w:val="none" w:sz="0" w:space="0" w:color="auto"/>
              </w:divBdr>
            </w:div>
            <w:div w:id="676660698">
              <w:marLeft w:val="0"/>
              <w:marRight w:val="0"/>
              <w:marTop w:val="0"/>
              <w:marBottom w:val="0"/>
              <w:divBdr>
                <w:top w:val="none" w:sz="0" w:space="0" w:color="auto"/>
                <w:left w:val="none" w:sz="0" w:space="0" w:color="auto"/>
                <w:bottom w:val="none" w:sz="0" w:space="0" w:color="auto"/>
                <w:right w:val="none" w:sz="0" w:space="0" w:color="auto"/>
              </w:divBdr>
            </w:div>
            <w:div w:id="786706380">
              <w:marLeft w:val="0"/>
              <w:marRight w:val="0"/>
              <w:marTop w:val="0"/>
              <w:marBottom w:val="0"/>
              <w:divBdr>
                <w:top w:val="none" w:sz="0" w:space="0" w:color="auto"/>
                <w:left w:val="none" w:sz="0" w:space="0" w:color="auto"/>
                <w:bottom w:val="none" w:sz="0" w:space="0" w:color="auto"/>
                <w:right w:val="none" w:sz="0" w:space="0" w:color="auto"/>
              </w:divBdr>
            </w:div>
            <w:div w:id="807476951">
              <w:marLeft w:val="0"/>
              <w:marRight w:val="0"/>
              <w:marTop w:val="0"/>
              <w:marBottom w:val="0"/>
              <w:divBdr>
                <w:top w:val="none" w:sz="0" w:space="0" w:color="auto"/>
                <w:left w:val="none" w:sz="0" w:space="0" w:color="auto"/>
                <w:bottom w:val="none" w:sz="0" w:space="0" w:color="auto"/>
                <w:right w:val="none" w:sz="0" w:space="0" w:color="auto"/>
              </w:divBdr>
            </w:div>
            <w:div w:id="1053384299">
              <w:marLeft w:val="0"/>
              <w:marRight w:val="0"/>
              <w:marTop w:val="0"/>
              <w:marBottom w:val="0"/>
              <w:divBdr>
                <w:top w:val="none" w:sz="0" w:space="0" w:color="auto"/>
                <w:left w:val="none" w:sz="0" w:space="0" w:color="auto"/>
                <w:bottom w:val="none" w:sz="0" w:space="0" w:color="auto"/>
                <w:right w:val="none" w:sz="0" w:space="0" w:color="auto"/>
              </w:divBdr>
            </w:div>
            <w:div w:id="1092167467">
              <w:marLeft w:val="0"/>
              <w:marRight w:val="0"/>
              <w:marTop w:val="0"/>
              <w:marBottom w:val="0"/>
              <w:divBdr>
                <w:top w:val="none" w:sz="0" w:space="0" w:color="auto"/>
                <w:left w:val="none" w:sz="0" w:space="0" w:color="auto"/>
                <w:bottom w:val="none" w:sz="0" w:space="0" w:color="auto"/>
                <w:right w:val="none" w:sz="0" w:space="0" w:color="auto"/>
              </w:divBdr>
            </w:div>
            <w:div w:id="1442720517">
              <w:marLeft w:val="0"/>
              <w:marRight w:val="0"/>
              <w:marTop w:val="0"/>
              <w:marBottom w:val="0"/>
              <w:divBdr>
                <w:top w:val="none" w:sz="0" w:space="0" w:color="auto"/>
                <w:left w:val="none" w:sz="0" w:space="0" w:color="auto"/>
                <w:bottom w:val="none" w:sz="0" w:space="0" w:color="auto"/>
                <w:right w:val="none" w:sz="0" w:space="0" w:color="auto"/>
              </w:divBdr>
            </w:div>
            <w:div w:id="2089956110">
              <w:marLeft w:val="0"/>
              <w:marRight w:val="0"/>
              <w:marTop w:val="0"/>
              <w:marBottom w:val="0"/>
              <w:divBdr>
                <w:top w:val="none" w:sz="0" w:space="0" w:color="auto"/>
                <w:left w:val="none" w:sz="0" w:space="0" w:color="auto"/>
                <w:bottom w:val="none" w:sz="0" w:space="0" w:color="auto"/>
                <w:right w:val="none" w:sz="0" w:space="0" w:color="auto"/>
              </w:divBdr>
            </w:div>
          </w:divsChild>
        </w:div>
        <w:div w:id="950430376">
          <w:marLeft w:val="0"/>
          <w:marRight w:val="0"/>
          <w:marTop w:val="0"/>
          <w:marBottom w:val="0"/>
          <w:divBdr>
            <w:top w:val="none" w:sz="0" w:space="0" w:color="auto"/>
            <w:left w:val="none" w:sz="0" w:space="0" w:color="auto"/>
            <w:bottom w:val="none" w:sz="0" w:space="0" w:color="auto"/>
            <w:right w:val="none" w:sz="0" w:space="0" w:color="auto"/>
          </w:divBdr>
        </w:div>
        <w:div w:id="966393955">
          <w:marLeft w:val="0"/>
          <w:marRight w:val="0"/>
          <w:marTop w:val="0"/>
          <w:marBottom w:val="0"/>
          <w:divBdr>
            <w:top w:val="none" w:sz="0" w:space="0" w:color="auto"/>
            <w:left w:val="none" w:sz="0" w:space="0" w:color="auto"/>
            <w:bottom w:val="none" w:sz="0" w:space="0" w:color="auto"/>
            <w:right w:val="none" w:sz="0" w:space="0" w:color="auto"/>
          </w:divBdr>
        </w:div>
        <w:div w:id="996962469">
          <w:marLeft w:val="0"/>
          <w:marRight w:val="0"/>
          <w:marTop w:val="0"/>
          <w:marBottom w:val="0"/>
          <w:divBdr>
            <w:top w:val="none" w:sz="0" w:space="0" w:color="auto"/>
            <w:left w:val="none" w:sz="0" w:space="0" w:color="auto"/>
            <w:bottom w:val="none" w:sz="0" w:space="0" w:color="auto"/>
            <w:right w:val="none" w:sz="0" w:space="0" w:color="auto"/>
          </w:divBdr>
        </w:div>
        <w:div w:id="1018579807">
          <w:marLeft w:val="0"/>
          <w:marRight w:val="0"/>
          <w:marTop w:val="0"/>
          <w:marBottom w:val="0"/>
          <w:divBdr>
            <w:top w:val="none" w:sz="0" w:space="0" w:color="auto"/>
            <w:left w:val="none" w:sz="0" w:space="0" w:color="auto"/>
            <w:bottom w:val="none" w:sz="0" w:space="0" w:color="auto"/>
            <w:right w:val="none" w:sz="0" w:space="0" w:color="auto"/>
          </w:divBdr>
        </w:div>
        <w:div w:id="1038508485">
          <w:marLeft w:val="0"/>
          <w:marRight w:val="0"/>
          <w:marTop w:val="0"/>
          <w:marBottom w:val="0"/>
          <w:divBdr>
            <w:top w:val="none" w:sz="0" w:space="0" w:color="auto"/>
            <w:left w:val="none" w:sz="0" w:space="0" w:color="auto"/>
            <w:bottom w:val="none" w:sz="0" w:space="0" w:color="auto"/>
            <w:right w:val="none" w:sz="0" w:space="0" w:color="auto"/>
          </w:divBdr>
        </w:div>
        <w:div w:id="1057779976">
          <w:marLeft w:val="0"/>
          <w:marRight w:val="0"/>
          <w:marTop w:val="0"/>
          <w:marBottom w:val="0"/>
          <w:divBdr>
            <w:top w:val="none" w:sz="0" w:space="0" w:color="auto"/>
            <w:left w:val="none" w:sz="0" w:space="0" w:color="auto"/>
            <w:bottom w:val="none" w:sz="0" w:space="0" w:color="auto"/>
            <w:right w:val="none" w:sz="0" w:space="0" w:color="auto"/>
          </w:divBdr>
        </w:div>
        <w:div w:id="1087535115">
          <w:marLeft w:val="0"/>
          <w:marRight w:val="0"/>
          <w:marTop w:val="0"/>
          <w:marBottom w:val="0"/>
          <w:divBdr>
            <w:top w:val="none" w:sz="0" w:space="0" w:color="auto"/>
            <w:left w:val="none" w:sz="0" w:space="0" w:color="auto"/>
            <w:bottom w:val="none" w:sz="0" w:space="0" w:color="auto"/>
            <w:right w:val="none" w:sz="0" w:space="0" w:color="auto"/>
          </w:divBdr>
        </w:div>
        <w:div w:id="1295452613">
          <w:marLeft w:val="0"/>
          <w:marRight w:val="0"/>
          <w:marTop w:val="0"/>
          <w:marBottom w:val="0"/>
          <w:divBdr>
            <w:top w:val="none" w:sz="0" w:space="0" w:color="auto"/>
            <w:left w:val="none" w:sz="0" w:space="0" w:color="auto"/>
            <w:bottom w:val="none" w:sz="0" w:space="0" w:color="auto"/>
            <w:right w:val="none" w:sz="0" w:space="0" w:color="auto"/>
          </w:divBdr>
        </w:div>
        <w:div w:id="1374424819">
          <w:marLeft w:val="0"/>
          <w:marRight w:val="0"/>
          <w:marTop w:val="0"/>
          <w:marBottom w:val="0"/>
          <w:divBdr>
            <w:top w:val="none" w:sz="0" w:space="0" w:color="auto"/>
            <w:left w:val="none" w:sz="0" w:space="0" w:color="auto"/>
            <w:bottom w:val="none" w:sz="0" w:space="0" w:color="auto"/>
            <w:right w:val="none" w:sz="0" w:space="0" w:color="auto"/>
          </w:divBdr>
        </w:div>
        <w:div w:id="1541474853">
          <w:marLeft w:val="0"/>
          <w:marRight w:val="0"/>
          <w:marTop w:val="0"/>
          <w:marBottom w:val="0"/>
          <w:divBdr>
            <w:top w:val="none" w:sz="0" w:space="0" w:color="auto"/>
            <w:left w:val="none" w:sz="0" w:space="0" w:color="auto"/>
            <w:bottom w:val="none" w:sz="0" w:space="0" w:color="auto"/>
            <w:right w:val="none" w:sz="0" w:space="0" w:color="auto"/>
          </w:divBdr>
        </w:div>
        <w:div w:id="1541625954">
          <w:marLeft w:val="0"/>
          <w:marRight w:val="0"/>
          <w:marTop w:val="0"/>
          <w:marBottom w:val="0"/>
          <w:divBdr>
            <w:top w:val="none" w:sz="0" w:space="0" w:color="auto"/>
            <w:left w:val="none" w:sz="0" w:space="0" w:color="auto"/>
            <w:bottom w:val="none" w:sz="0" w:space="0" w:color="auto"/>
            <w:right w:val="none" w:sz="0" w:space="0" w:color="auto"/>
          </w:divBdr>
        </w:div>
        <w:div w:id="1553033658">
          <w:marLeft w:val="0"/>
          <w:marRight w:val="0"/>
          <w:marTop w:val="0"/>
          <w:marBottom w:val="0"/>
          <w:divBdr>
            <w:top w:val="none" w:sz="0" w:space="0" w:color="auto"/>
            <w:left w:val="none" w:sz="0" w:space="0" w:color="auto"/>
            <w:bottom w:val="none" w:sz="0" w:space="0" w:color="auto"/>
            <w:right w:val="none" w:sz="0" w:space="0" w:color="auto"/>
          </w:divBdr>
        </w:div>
        <w:div w:id="1596091755">
          <w:marLeft w:val="0"/>
          <w:marRight w:val="0"/>
          <w:marTop w:val="0"/>
          <w:marBottom w:val="0"/>
          <w:divBdr>
            <w:top w:val="none" w:sz="0" w:space="0" w:color="auto"/>
            <w:left w:val="none" w:sz="0" w:space="0" w:color="auto"/>
            <w:bottom w:val="none" w:sz="0" w:space="0" w:color="auto"/>
            <w:right w:val="none" w:sz="0" w:space="0" w:color="auto"/>
          </w:divBdr>
        </w:div>
        <w:div w:id="1813668919">
          <w:marLeft w:val="0"/>
          <w:marRight w:val="0"/>
          <w:marTop w:val="0"/>
          <w:marBottom w:val="0"/>
          <w:divBdr>
            <w:top w:val="none" w:sz="0" w:space="0" w:color="auto"/>
            <w:left w:val="none" w:sz="0" w:space="0" w:color="auto"/>
            <w:bottom w:val="none" w:sz="0" w:space="0" w:color="auto"/>
            <w:right w:val="none" w:sz="0" w:space="0" w:color="auto"/>
          </w:divBdr>
        </w:div>
        <w:div w:id="1832022163">
          <w:marLeft w:val="0"/>
          <w:marRight w:val="0"/>
          <w:marTop w:val="0"/>
          <w:marBottom w:val="0"/>
          <w:divBdr>
            <w:top w:val="none" w:sz="0" w:space="0" w:color="auto"/>
            <w:left w:val="none" w:sz="0" w:space="0" w:color="auto"/>
            <w:bottom w:val="none" w:sz="0" w:space="0" w:color="auto"/>
            <w:right w:val="none" w:sz="0" w:space="0" w:color="auto"/>
          </w:divBdr>
        </w:div>
        <w:div w:id="2014642756">
          <w:marLeft w:val="0"/>
          <w:marRight w:val="0"/>
          <w:marTop w:val="0"/>
          <w:marBottom w:val="0"/>
          <w:divBdr>
            <w:top w:val="none" w:sz="0" w:space="0" w:color="auto"/>
            <w:left w:val="none" w:sz="0" w:space="0" w:color="auto"/>
            <w:bottom w:val="none" w:sz="0" w:space="0" w:color="auto"/>
            <w:right w:val="none" w:sz="0" w:space="0" w:color="auto"/>
          </w:divBdr>
        </w:div>
        <w:div w:id="2038655300">
          <w:marLeft w:val="0"/>
          <w:marRight w:val="0"/>
          <w:marTop w:val="0"/>
          <w:marBottom w:val="0"/>
          <w:divBdr>
            <w:top w:val="none" w:sz="0" w:space="0" w:color="auto"/>
            <w:left w:val="none" w:sz="0" w:space="0" w:color="auto"/>
            <w:bottom w:val="none" w:sz="0" w:space="0" w:color="auto"/>
            <w:right w:val="none" w:sz="0" w:space="0" w:color="auto"/>
          </w:divBdr>
        </w:div>
        <w:div w:id="2083526111">
          <w:marLeft w:val="0"/>
          <w:marRight w:val="0"/>
          <w:marTop w:val="0"/>
          <w:marBottom w:val="0"/>
          <w:divBdr>
            <w:top w:val="none" w:sz="0" w:space="0" w:color="auto"/>
            <w:left w:val="none" w:sz="0" w:space="0" w:color="auto"/>
            <w:bottom w:val="none" w:sz="0" w:space="0" w:color="auto"/>
            <w:right w:val="none" w:sz="0" w:space="0" w:color="auto"/>
          </w:divBdr>
        </w:div>
        <w:div w:id="2084453467">
          <w:marLeft w:val="0"/>
          <w:marRight w:val="0"/>
          <w:marTop w:val="0"/>
          <w:marBottom w:val="0"/>
          <w:divBdr>
            <w:top w:val="none" w:sz="0" w:space="0" w:color="auto"/>
            <w:left w:val="none" w:sz="0" w:space="0" w:color="auto"/>
            <w:bottom w:val="none" w:sz="0" w:space="0" w:color="auto"/>
            <w:right w:val="none" w:sz="0" w:space="0" w:color="auto"/>
          </w:divBdr>
        </w:div>
        <w:div w:id="2133786939">
          <w:marLeft w:val="0"/>
          <w:marRight w:val="0"/>
          <w:marTop w:val="0"/>
          <w:marBottom w:val="0"/>
          <w:divBdr>
            <w:top w:val="none" w:sz="0" w:space="0" w:color="auto"/>
            <w:left w:val="none" w:sz="0" w:space="0" w:color="auto"/>
            <w:bottom w:val="none" w:sz="0" w:space="0" w:color="auto"/>
            <w:right w:val="none" w:sz="0" w:space="0" w:color="auto"/>
          </w:divBdr>
        </w:div>
      </w:divsChild>
    </w:div>
    <w:div w:id="828132038">
      <w:bodyDiv w:val="1"/>
      <w:marLeft w:val="0"/>
      <w:marRight w:val="0"/>
      <w:marTop w:val="0"/>
      <w:marBottom w:val="0"/>
      <w:divBdr>
        <w:top w:val="none" w:sz="0" w:space="0" w:color="auto"/>
        <w:left w:val="none" w:sz="0" w:space="0" w:color="auto"/>
        <w:bottom w:val="none" w:sz="0" w:space="0" w:color="auto"/>
        <w:right w:val="none" w:sz="0" w:space="0" w:color="auto"/>
      </w:divBdr>
    </w:div>
    <w:div w:id="874738511">
      <w:bodyDiv w:val="1"/>
      <w:marLeft w:val="0"/>
      <w:marRight w:val="0"/>
      <w:marTop w:val="0"/>
      <w:marBottom w:val="0"/>
      <w:divBdr>
        <w:top w:val="none" w:sz="0" w:space="0" w:color="auto"/>
        <w:left w:val="none" w:sz="0" w:space="0" w:color="auto"/>
        <w:bottom w:val="none" w:sz="0" w:space="0" w:color="auto"/>
        <w:right w:val="none" w:sz="0" w:space="0" w:color="auto"/>
      </w:divBdr>
    </w:div>
    <w:div w:id="906961843">
      <w:bodyDiv w:val="1"/>
      <w:marLeft w:val="0"/>
      <w:marRight w:val="0"/>
      <w:marTop w:val="0"/>
      <w:marBottom w:val="0"/>
      <w:divBdr>
        <w:top w:val="none" w:sz="0" w:space="0" w:color="auto"/>
        <w:left w:val="none" w:sz="0" w:space="0" w:color="auto"/>
        <w:bottom w:val="none" w:sz="0" w:space="0" w:color="auto"/>
        <w:right w:val="none" w:sz="0" w:space="0" w:color="auto"/>
      </w:divBdr>
    </w:div>
    <w:div w:id="917448170">
      <w:bodyDiv w:val="1"/>
      <w:marLeft w:val="0"/>
      <w:marRight w:val="0"/>
      <w:marTop w:val="0"/>
      <w:marBottom w:val="0"/>
      <w:divBdr>
        <w:top w:val="none" w:sz="0" w:space="0" w:color="auto"/>
        <w:left w:val="none" w:sz="0" w:space="0" w:color="auto"/>
        <w:bottom w:val="none" w:sz="0" w:space="0" w:color="auto"/>
        <w:right w:val="none" w:sz="0" w:space="0" w:color="auto"/>
      </w:divBdr>
    </w:div>
    <w:div w:id="955672318">
      <w:bodyDiv w:val="1"/>
      <w:marLeft w:val="0"/>
      <w:marRight w:val="0"/>
      <w:marTop w:val="0"/>
      <w:marBottom w:val="0"/>
      <w:divBdr>
        <w:top w:val="none" w:sz="0" w:space="0" w:color="auto"/>
        <w:left w:val="none" w:sz="0" w:space="0" w:color="auto"/>
        <w:bottom w:val="none" w:sz="0" w:space="0" w:color="auto"/>
        <w:right w:val="none" w:sz="0" w:space="0" w:color="auto"/>
      </w:divBdr>
    </w:div>
    <w:div w:id="957762666">
      <w:bodyDiv w:val="1"/>
      <w:marLeft w:val="0"/>
      <w:marRight w:val="0"/>
      <w:marTop w:val="0"/>
      <w:marBottom w:val="0"/>
      <w:divBdr>
        <w:top w:val="none" w:sz="0" w:space="0" w:color="auto"/>
        <w:left w:val="none" w:sz="0" w:space="0" w:color="auto"/>
        <w:bottom w:val="none" w:sz="0" w:space="0" w:color="auto"/>
        <w:right w:val="none" w:sz="0" w:space="0" w:color="auto"/>
      </w:divBdr>
    </w:div>
    <w:div w:id="969552065">
      <w:bodyDiv w:val="1"/>
      <w:marLeft w:val="0"/>
      <w:marRight w:val="0"/>
      <w:marTop w:val="0"/>
      <w:marBottom w:val="0"/>
      <w:divBdr>
        <w:top w:val="none" w:sz="0" w:space="0" w:color="auto"/>
        <w:left w:val="none" w:sz="0" w:space="0" w:color="auto"/>
        <w:bottom w:val="none" w:sz="0" w:space="0" w:color="auto"/>
        <w:right w:val="none" w:sz="0" w:space="0" w:color="auto"/>
      </w:divBdr>
    </w:div>
    <w:div w:id="1026325778">
      <w:bodyDiv w:val="1"/>
      <w:marLeft w:val="0"/>
      <w:marRight w:val="0"/>
      <w:marTop w:val="0"/>
      <w:marBottom w:val="0"/>
      <w:divBdr>
        <w:top w:val="none" w:sz="0" w:space="0" w:color="auto"/>
        <w:left w:val="none" w:sz="0" w:space="0" w:color="auto"/>
        <w:bottom w:val="none" w:sz="0" w:space="0" w:color="auto"/>
        <w:right w:val="none" w:sz="0" w:space="0" w:color="auto"/>
      </w:divBdr>
    </w:div>
    <w:div w:id="1049567736">
      <w:bodyDiv w:val="1"/>
      <w:marLeft w:val="0"/>
      <w:marRight w:val="0"/>
      <w:marTop w:val="0"/>
      <w:marBottom w:val="0"/>
      <w:divBdr>
        <w:top w:val="none" w:sz="0" w:space="0" w:color="auto"/>
        <w:left w:val="none" w:sz="0" w:space="0" w:color="auto"/>
        <w:bottom w:val="none" w:sz="0" w:space="0" w:color="auto"/>
        <w:right w:val="none" w:sz="0" w:space="0" w:color="auto"/>
      </w:divBdr>
    </w:div>
    <w:div w:id="1083330652">
      <w:bodyDiv w:val="1"/>
      <w:marLeft w:val="0"/>
      <w:marRight w:val="0"/>
      <w:marTop w:val="0"/>
      <w:marBottom w:val="0"/>
      <w:divBdr>
        <w:top w:val="none" w:sz="0" w:space="0" w:color="auto"/>
        <w:left w:val="none" w:sz="0" w:space="0" w:color="auto"/>
        <w:bottom w:val="none" w:sz="0" w:space="0" w:color="auto"/>
        <w:right w:val="none" w:sz="0" w:space="0" w:color="auto"/>
      </w:divBdr>
    </w:div>
    <w:div w:id="1101681124">
      <w:bodyDiv w:val="1"/>
      <w:marLeft w:val="0"/>
      <w:marRight w:val="0"/>
      <w:marTop w:val="0"/>
      <w:marBottom w:val="0"/>
      <w:divBdr>
        <w:top w:val="none" w:sz="0" w:space="0" w:color="auto"/>
        <w:left w:val="none" w:sz="0" w:space="0" w:color="auto"/>
        <w:bottom w:val="none" w:sz="0" w:space="0" w:color="auto"/>
        <w:right w:val="none" w:sz="0" w:space="0" w:color="auto"/>
      </w:divBdr>
    </w:div>
    <w:div w:id="1170867941">
      <w:bodyDiv w:val="1"/>
      <w:marLeft w:val="0"/>
      <w:marRight w:val="0"/>
      <w:marTop w:val="0"/>
      <w:marBottom w:val="0"/>
      <w:divBdr>
        <w:top w:val="none" w:sz="0" w:space="0" w:color="auto"/>
        <w:left w:val="none" w:sz="0" w:space="0" w:color="auto"/>
        <w:bottom w:val="none" w:sz="0" w:space="0" w:color="auto"/>
        <w:right w:val="none" w:sz="0" w:space="0" w:color="auto"/>
      </w:divBdr>
    </w:div>
    <w:div w:id="1183087832">
      <w:bodyDiv w:val="1"/>
      <w:marLeft w:val="0"/>
      <w:marRight w:val="0"/>
      <w:marTop w:val="0"/>
      <w:marBottom w:val="0"/>
      <w:divBdr>
        <w:top w:val="none" w:sz="0" w:space="0" w:color="auto"/>
        <w:left w:val="none" w:sz="0" w:space="0" w:color="auto"/>
        <w:bottom w:val="none" w:sz="0" w:space="0" w:color="auto"/>
        <w:right w:val="none" w:sz="0" w:space="0" w:color="auto"/>
      </w:divBdr>
      <w:divsChild>
        <w:div w:id="5790711">
          <w:marLeft w:val="0"/>
          <w:marRight w:val="0"/>
          <w:marTop w:val="0"/>
          <w:marBottom w:val="0"/>
          <w:divBdr>
            <w:top w:val="none" w:sz="0" w:space="0" w:color="auto"/>
            <w:left w:val="none" w:sz="0" w:space="0" w:color="auto"/>
            <w:bottom w:val="none" w:sz="0" w:space="0" w:color="auto"/>
            <w:right w:val="none" w:sz="0" w:space="0" w:color="auto"/>
          </w:divBdr>
        </w:div>
        <w:div w:id="7611148">
          <w:marLeft w:val="0"/>
          <w:marRight w:val="0"/>
          <w:marTop w:val="0"/>
          <w:marBottom w:val="0"/>
          <w:divBdr>
            <w:top w:val="none" w:sz="0" w:space="0" w:color="auto"/>
            <w:left w:val="none" w:sz="0" w:space="0" w:color="auto"/>
            <w:bottom w:val="none" w:sz="0" w:space="0" w:color="auto"/>
            <w:right w:val="none" w:sz="0" w:space="0" w:color="auto"/>
          </w:divBdr>
        </w:div>
        <w:div w:id="17853174">
          <w:marLeft w:val="0"/>
          <w:marRight w:val="0"/>
          <w:marTop w:val="0"/>
          <w:marBottom w:val="0"/>
          <w:divBdr>
            <w:top w:val="none" w:sz="0" w:space="0" w:color="auto"/>
            <w:left w:val="none" w:sz="0" w:space="0" w:color="auto"/>
            <w:bottom w:val="none" w:sz="0" w:space="0" w:color="auto"/>
            <w:right w:val="none" w:sz="0" w:space="0" w:color="auto"/>
          </w:divBdr>
        </w:div>
        <w:div w:id="232274850">
          <w:marLeft w:val="0"/>
          <w:marRight w:val="0"/>
          <w:marTop w:val="0"/>
          <w:marBottom w:val="0"/>
          <w:divBdr>
            <w:top w:val="none" w:sz="0" w:space="0" w:color="auto"/>
            <w:left w:val="none" w:sz="0" w:space="0" w:color="auto"/>
            <w:bottom w:val="none" w:sz="0" w:space="0" w:color="auto"/>
            <w:right w:val="none" w:sz="0" w:space="0" w:color="auto"/>
          </w:divBdr>
        </w:div>
        <w:div w:id="253587577">
          <w:marLeft w:val="0"/>
          <w:marRight w:val="0"/>
          <w:marTop w:val="0"/>
          <w:marBottom w:val="0"/>
          <w:divBdr>
            <w:top w:val="none" w:sz="0" w:space="0" w:color="auto"/>
            <w:left w:val="none" w:sz="0" w:space="0" w:color="auto"/>
            <w:bottom w:val="none" w:sz="0" w:space="0" w:color="auto"/>
            <w:right w:val="none" w:sz="0" w:space="0" w:color="auto"/>
          </w:divBdr>
        </w:div>
        <w:div w:id="411439180">
          <w:marLeft w:val="0"/>
          <w:marRight w:val="0"/>
          <w:marTop w:val="0"/>
          <w:marBottom w:val="0"/>
          <w:divBdr>
            <w:top w:val="none" w:sz="0" w:space="0" w:color="auto"/>
            <w:left w:val="none" w:sz="0" w:space="0" w:color="auto"/>
            <w:bottom w:val="none" w:sz="0" w:space="0" w:color="auto"/>
            <w:right w:val="none" w:sz="0" w:space="0" w:color="auto"/>
          </w:divBdr>
        </w:div>
        <w:div w:id="491915880">
          <w:marLeft w:val="0"/>
          <w:marRight w:val="0"/>
          <w:marTop w:val="0"/>
          <w:marBottom w:val="0"/>
          <w:divBdr>
            <w:top w:val="none" w:sz="0" w:space="0" w:color="auto"/>
            <w:left w:val="none" w:sz="0" w:space="0" w:color="auto"/>
            <w:bottom w:val="none" w:sz="0" w:space="0" w:color="auto"/>
            <w:right w:val="none" w:sz="0" w:space="0" w:color="auto"/>
          </w:divBdr>
        </w:div>
        <w:div w:id="569266984">
          <w:marLeft w:val="0"/>
          <w:marRight w:val="0"/>
          <w:marTop w:val="0"/>
          <w:marBottom w:val="0"/>
          <w:divBdr>
            <w:top w:val="none" w:sz="0" w:space="0" w:color="auto"/>
            <w:left w:val="none" w:sz="0" w:space="0" w:color="auto"/>
            <w:bottom w:val="none" w:sz="0" w:space="0" w:color="auto"/>
            <w:right w:val="none" w:sz="0" w:space="0" w:color="auto"/>
          </w:divBdr>
        </w:div>
        <w:div w:id="581372558">
          <w:marLeft w:val="0"/>
          <w:marRight w:val="0"/>
          <w:marTop w:val="0"/>
          <w:marBottom w:val="0"/>
          <w:divBdr>
            <w:top w:val="none" w:sz="0" w:space="0" w:color="auto"/>
            <w:left w:val="none" w:sz="0" w:space="0" w:color="auto"/>
            <w:bottom w:val="none" w:sz="0" w:space="0" w:color="auto"/>
            <w:right w:val="none" w:sz="0" w:space="0" w:color="auto"/>
          </w:divBdr>
        </w:div>
        <w:div w:id="612633662">
          <w:marLeft w:val="0"/>
          <w:marRight w:val="0"/>
          <w:marTop w:val="0"/>
          <w:marBottom w:val="0"/>
          <w:divBdr>
            <w:top w:val="none" w:sz="0" w:space="0" w:color="auto"/>
            <w:left w:val="none" w:sz="0" w:space="0" w:color="auto"/>
            <w:bottom w:val="none" w:sz="0" w:space="0" w:color="auto"/>
            <w:right w:val="none" w:sz="0" w:space="0" w:color="auto"/>
          </w:divBdr>
        </w:div>
        <w:div w:id="638149672">
          <w:marLeft w:val="0"/>
          <w:marRight w:val="0"/>
          <w:marTop w:val="0"/>
          <w:marBottom w:val="0"/>
          <w:divBdr>
            <w:top w:val="none" w:sz="0" w:space="0" w:color="auto"/>
            <w:left w:val="none" w:sz="0" w:space="0" w:color="auto"/>
            <w:bottom w:val="none" w:sz="0" w:space="0" w:color="auto"/>
            <w:right w:val="none" w:sz="0" w:space="0" w:color="auto"/>
          </w:divBdr>
        </w:div>
        <w:div w:id="668364877">
          <w:marLeft w:val="0"/>
          <w:marRight w:val="0"/>
          <w:marTop w:val="0"/>
          <w:marBottom w:val="0"/>
          <w:divBdr>
            <w:top w:val="none" w:sz="0" w:space="0" w:color="auto"/>
            <w:left w:val="none" w:sz="0" w:space="0" w:color="auto"/>
            <w:bottom w:val="none" w:sz="0" w:space="0" w:color="auto"/>
            <w:right w:val="none" w:sz="0" w:space="0" w:color="auto"/>
          </w:divBdr>
        </w:div>
        <w:div w:id="687485234">
          <w:marLeft w:val="0"/>
          <w:marRight w:val="0"/>
          <w:marTop w:val="0"/>
          <w:marBottom w:val="0"/>
          <w:divBdr>
            <w:top w:val="none" w:sz="0" w:space="0" w:color="auto"/>
            <w:left w:val="none" w:sz="0" w:space="0" w:color="auto"/>
            <w:bottom w:val="none" w:sz="0" w:space="0" w:color="auto"/>
            <w:right w:val="none" w:sz="0" w:space="0" w:color="auto"/>
          </w:divBdr>
        </w:div>
        <w:div w:id="721948002">
          <w:marLeft w:val="0"/>
          <w:marRight w:val="0"/>
          <w:marTop w:val="0"/>
          <w:marBottom w:val="0"/>
          <w:divBdr>
            <w:top w:val="none" w:sz="0" w:space="0" w:color="auto"/>
            <w:left w:val="none" w:sz="0" w:space="0" w:color="auto"/>
            <w:bottom w:val="none" w:sz="0" w:space="0" w:color="auto"/>
            <w:right w:val="none" w:sz="0" w:space="0" w:color="auto"/>
          </w:divBdr>
        </w:div>
        <w:div w:id="754283387">
          <w:marLeft w:val="0"/>
          <w:marRight w:val="0"/>
          <w:marTop w:val="0"/>
          <w:marBottom w:val="0"/>
          <w:divBdr>
            <w:top w:val="none" w:sz="0" w:space="0" w:color="auto"/>
            <w:left w:val="none" w:sz="0" w:space="0" w:color="auto"/>
            <w:bottom w:val="none" w:sz="0" w:space="0" w:color="auto"/>
            <w:right w:val="none" w:sz="0" w:space="0" w:color="auto"/>
          </w:divBdr>
        </w:div>
        <w:div w:id="881138963">
          <w:marLeft w:val="0"/>
          <w:marRight w:val="0"/>
          <w:marTop w:val="0"/>
          <w:marBottom w:val="0"/>
          <w:divBdr>
            <w:top w:val="none" w:sz="0" w:space="0" w:color="auto"/>
            <w:left w:val="none" w:sz="0" w:space="0" w:color="auto"/>
            <w:bottom w:val="none" w:sz="0" w:space="0" w:color="auto"/>
            <w:right w:val="none" w:sz="0" w:space="0" w:color="auto"/>
          </w:divBdr>
        </w:div>
        <w:div w:id="938828509">
          <w:marLeft w:val="0"/>
          <w:marRight w:val="0"/>
          <w:marTop w:val="0"/>
          <w:marBottom w:val="0"/>
          <w:divBdr>
            <w:top w:val="none" w:sz="0" w:space="0" w:color="auto"/>
            <w:left w:val="none" w:sz="0" w:space="0" w:color="auto"/>
            <w:bottom w:val="none" w:sz="0" w:space="0" w:color="auto"/>
            <w:right w:val="none" w:sz="0" w:space="0" w:color="auto"/>
          </w:divBdr>
        </w:div>
        <w:div w:id="975525815">
          <w:marLeft w:val="0"/>
          <w:marRight w:val="0"/>
          <w:marTop w:val="0"/>
          <w:marBottom w:val="0"/>
          <w:divBdr>
            <w:top w:val="none" w:sz="0" w:space="0" w:color="auto"/>
            <w:left w:val="none" w:sz="0" w:space="0" w:color="auto"/>
            <w:bottom w:val="none" w:sz="0" w:space="0" w:color="auto"/>
            <w:right w:val="none" w:sz="0" w:space="0" w:color="auto"/>
          </w:divBdr>
        </w:div>
        <w:div w:id="1265919859">
          <w:marLeft w:val="0"/>
          <w:marRight w:val="0"/>
          <w:marTop w:val="0"/>
          <w:marBottom w:val="0"/>
          <w:divBdr>
            <w:top w:val="none" w:sz="0" w:space="0" w:color="auto"/>
            <w:left w:val="none" w:sz="0" w:space="0" w:color="auto"/>
            <w:bottom w:val="none" w:sz="0" w:space="0" w:color="auto"/>
            <w:right w:val="none" w:sz="0" w:space="0" w:color="auto"/>
          </w:divBdr>
        </w:div>
        <w:div w:id="1296175394">
          <w:marLeft w:val="0"/>
          <w:marRight w:val="0"/>
          <w:marTop w:val="0"/>
          <w:marBottom w:val="0"/>
          <w:divBdr>
            <w:top w:val="none" w:sz="0" w:space="0" w:color="auto"/>
            <w:left w:val="none" w:sz="0" w:space="0" w:color="auto"/>
            <w:bottom w:val="none" w:sz="0" w:space="0" w:color="auto"/>
            <w:right w:val="none" w:sz="0" w:space="0" w:color="auto"/>
          </w:divBdr>
        </w:div>
        <w:div w:id="1332568277">
          <w:marLeft w:val="0"/>
          <w:marRight w:val="0"/>
          <w:marTop w:val="0"/>
          <w:marBottom w:val="0"/>
          <w:divBdr>
            <w:top w:val="none" w:sz="0" w:space="0" w:color="auto"/>
            <w:left w:val="none" w:sz="0" w:space="0" w:color="auto"/>
            <w:bottom w:val="none" w:sz="0" w:space="0" w:color="auto"/>
            <w:right w:val="none" w:sz="0" w:space="0" w:color="auto"/>
          </w:divBdr>
        </w:div>
        <w:div w:id="1344281350">
          <w:marLeft w:val="0"/>
          <w:marRight w:val="0"/>
          <w:marTop w:val="0"/>
          <w:marBottom w:val="0"/>
          <w:divBdr>
            <w:top w:val="none" w:sz="0" w:space="0" w:color="auto"/>
            <w:left w:val="none" w:sz="0" w:space="0" w:color="auto"/>
            <w:bottom w:val="none" w:sz="0" w:space="0" w:color="auto"/>
            <w:right w:val="none" w:sz="0" w:space="0" w:color="auto"/>
          </w:divBdr>
        </w:div>
        <w:div w:id="1355351762">
          <w:marLeft w:val="0"/>
          <w:marRight w:val="0"/>
          <w:marTop w:val="0"/>
          <w:marBottom w:val="0"/>
          <w:divBdr>
            <w:top w:val="none" w:sz="0" w:space="0" w:color="auto"/>
            <w:left w:val="none" w:sz="0" w:space="0" w:color="auto"/>
            <w:bottom w:val="none" w:sz="0" w:space="0" w:color="auto"/>
            <w:right w:val="none" w:sz="0" w:space="0" w:color="auto"/>
          </w:divBdr>
        </w:div>
        <w:div w:id="1381974449">
          <w:marLeft w:val="0"/>
          <w:marRight w:val="0"/>
          <w:marTop w:val="0"/>
          <w:marBottom w:val="0"/>
          <w:divBdr>
            <w:top w:val="none" w:sz="0" w:space="0" w:color="auto"/>
            <w:left w:val="none" w:sz="0" w:space="0" w:color="auto"/>
            <w:bottom w:val="none" w:sz="0" w:space="0" w:color="auto"/>
            <w:right w:val="none" w:sz="0" w:space="0" w:color="auto"/>
          </w:divBdr>
        </w:div>
        <w:div w:id="1406997660">
          <w:marLeft w:val="0"/>
          <w:marRight w:val="0"/>
          <w:marTop w:val="0"/>
          <w:marBottom w:val="0"/>
          <w:divBdr>
            <w:top w:val="none" w:sz="0" w:space="0" w:color="auto"/>
            <w:left w:val="none" w:sz="0" w:space="0" w:color="auto"/>
            <w:bottom w:val="none" w:sz="0" w:space="0" w:color="auto"/>
            <w:right w:val="none" w:sz="0" w:space="0" w:color="auto"/>
          </w:divBdr>
        </w:div>
        <w:div w:id="1461025474">
          <w:marLeft w:val="0"/>
          <w:marRight w:val="0"/>
          <w:marTop w:val="0"/>
          <w:marBottom w:val="0"/>
          <w:divBdr>
            <w:top w:val="none" w:sz="0" w:space="0" w:color="auto"/>
            <w:left w:val="none" w:sz="0" w:space="0" w:color="auto"/>
            <w:bottom w:val="none" w:sz="0" w:space="0" w:color="auto"/>
            <w:right w:val="none" w:sz="0" w:space="0" w:color="auto"/>
          </w:divBdr>
        </w:div>
        <w:div w:id="1480076389">
          <w:marLeft w:val="0"/>
          <w:marRight w:val="0"/>
          <w:marTop w:val="0"/>
          <w:marBottom w:val="0"/>
          <w:divBdr>
            <w:top w:val="none" w:sz="0" w:space="0" w:color="auto"/>
            <w:left w:val="none" w:sz="0" w:space="0" w:color="auto"/>
            <w:bottom w:val="none" w:sz="0" w:space="0" w:color="auto"/>
            <w:right w:val="none" w:sz="0" w:space="0" w:color="auto"/>
          </w:divBdr>
        </w:div>
        <w:div w:id="1500581678">
          <w:marLeft w:val="0"/>
          <w:marRight w:val="0"/>
          <w:marTop w:val="0"/>
          <w:marBottom w:val="0"/>
          <w:divBdr>
            <w:top w:val="none" w:sz="0" w:space="0" w:color="auto"/>
            <w:left w:val="none" w:sz="0" w:space="0" w:color="auto"/>
            <w:bottom w:val="none" w:sz="0" w:space="0" w:color="auto"/>
            <w:right w:val="none" w:sz="0" w:space="0" w:color="auto"/>
          </w:divBdr>
        </w:div>
        <w:div w:id="1536960055">
          <w:marLeft w:val="0"/>
          <w:marRight w:val="0"/>
          <w:marTop w:val="0"/>
          <w:marBottom w:val="0"/>
          <w:divBdr>
            <w:top w:val="none" w:sz="0" w:space="0" w:color="auto"/>
            <w:left w:val="none" w:sz="0" w:space="0" w:color="auto"/>
            <w:bottom w:val="none" w:sz="0" w:space="0" w:color="auto"/>
            <w:right w:val="none" w:sz="0" w:space="0" w:color="auto"/>
          </w:divBdr>
        </w:div>
        <w:div w:id="1562517013">
          <w:marLeft w:val="0"/>
          <w:marRight w:val="0"/>
          <w:marTop w:val="0"/>
          <w:marBottom w:val="0"/>
          <w:divBdr>
            <w:top w:val="none" w:sz="0" w:space="0" w:color="auto"/>
            <w:left w:val="none" w:sz="0" w:space="0" w:color="auto"/>
            <w:bottom w:val="none" w:sz="0" w:space="0" w:color="auto"/>
            <w:right w:val="none" w:sz="0" w:space="0" w:color="auto"/>
          </w:divBdr>
        </w:div>
        <w:div w:id="1626423006">
          <w:marLeft w:val="0"/>
          <w:marRight w:val="0"/>
          <w:marTop w:val="0"/>
          <w:marBottom w:val="0"/>
          <w:divBdr>
            <w:top w:val="none" w:sz="0" w:space="0" w:color="auto"/>
            <w:left w:val="none" w:sz="0" w:space="0" w:color="auto"/>
            <w:bottom w:val="none" w:sz="0" w:space="0" w:color="auto"/>
            <w:right w:val="none" w:sz="0" w:space="0" w:color="auto"/>
          </w:divBdr>
        </w:div>
        <w:div w:id="1628782690">
          <w:marLeft w:val="0"/>
          <w:marRight w:val="0"/>
          <w:marTop w:val="0"/>
          <w:marBottom w:val="0"/>
          <w:divBdr>
            <w:top w:val="none" w:sz="0" w:space="0" w:color="auto"/>
            <w:left w:val="none" w:sz="0" w:space="0" w:color="auto"/>
            <w:bottom w:val="none" w:sz="0" w:space="0" w:color="auto"/>
            <w:right w:val="none" w:sz="0" w:space="0" w:color="auto"/>
          </w:divBdr>
        </w:div>
        <w:div w:id="1727603057">
          <w:marLeft w:val="0"/>
          <w:marRight w:val="0"/>
          <w:marTop w:val="0"/>
          <w:marBottom w:val="0"/>
          <w:divBdr>
            <w:top w:val="none" w:sz="0" w:space="0" w:color="auto"/>
            <w:left w:val="none" w:sz="0" w:space="0" w:color="auto"/>
            <w:bottom w:val="none" w:sz="0" w:space="0" w:color="auto"/>
            <w:right w:val="none" w:sz="0" w:space="0" w:color="auto"/>
          </w:divBdr>
        </w:div>
        <w:div w:id="1884172803">
          <w:marLeft w:val="0"/>
          <w:marRight w:val="0"/>
          <w:marTop w:val="0"/>
          <w:marBottom w:val="0"/>
          <w:divBdr>
            <w:top w:val="none" w:sz="0" w:space="0" w:color="auto"/>
            <w:left w:val="none" w:sz="0" w:space="0" w:color="auto"/>
            <w:bottom w:val="none" w:sz="0" w:space="0" w:color="auto"/>
            <w:right w:val="none" w:sz="0" w:space="0" w:color="auto"/>
          </w:divBdr>
        </w:div>
        <w:div w:id="1922328970">
          <w:marLeft w:val="0"/>
          <w:marRight w:val="0"/>
          <w:marTop w:val="0"/>
          <w:marBottom w:val="0"/>
          <w:divBdr>
            <w:top w:val="none" w:sz="0" w:space="0" w:color="auto"/>
            <w:left w:val="none" w:sz="0" w:space="0" w:color="auto"/>
            <w:bottom w:val="none" w:sz="0" w:space="0" w:color="auto"/>
            <w:right w:val="none" w:sz="0" w:space="0" w:color="auto"/>
          </w:divBdr>
        </w:div>
        <w:div w:id="1965040891">
          <w:marLeft w:val="0"/>
          <w:marRight w:val="0"/>
          <w:marTop w:val="0"/>
          <w:marBottom w:val="0"/>
          <w:divBdr>
            <w:top w:val="none" w:sz="0" w:space="0" w:color="auto"/>
            <w:left w:val="none" w:sz="0" w:space="0" w:color="auto"/>
            <w:bottom w:val="none" w:sz="0" w:space="0" w:color="auto"/>
            <w:right w:val="none" w:sz="0" w:space="0" w:color="auto"/>
          </w:divBdr>
        </w:div>
        <w:div w:id="1997148151">
          <w:marLeft w:val="0"/>
          <w:marRight w:val="0"/>
          <w:marTop w:val="0"/>
          <w:marBottom w:val="0"/>
          <w:divBdr>
            <w:top w:val="none" w:sz="0" w:space="0" w:color="auto"/>
            <w:left w:val="none" w:sz="0" w:space="0" w:color="auto"/>
            <w:bottom w:val="none" w:sz="0" w:space="0" w:color="auto"/>
            <w:right w:val="none" w:sz="0" w:space="0" w:color="auto"/>
          </w:divBdr>
        </w:div>
        <w:div w:id="2005012533">
          <w:marLeft w:val="0"/>
          <w:marRight w:val="0"/>
          <w:marTop w:val="0"/>
          <w:marBottom w:val="0"/>
          <w:divBdr>
            <w:top w:val="none" w:sz="0" w:space="0" w:color="auto"/>
            <w:left w:val="none" w:sz="0" w:space="0" w:color="auto"/>
            <w:bottom w:val="none" w:sz="0" w:space="0" w:color="auto"/>
            <w:right w:val="none" w:sz="0" w:space="0" w:color="auto"/>
          </w:divBdr>
        </w:div>
        <w:div w:id="2062745761">
          <w:marLeft w:val="0"/>
          <w:marRight w:val="0"/>
          <w:marTop w:val="0"/>
          <w:marBottom w:val="0"/>
          <w:divBdr>
            <w:top w:val="none" w:sz="0" w:space="0" w:color="auto"/>
            <w:left w:val="none" w:sz="0" w:space="0" w:color="auto"/>
            <w:bottom w:val="none" w:sz="0" w:space="0" w:color="auto"/>
            <w:right w:val="none" w:sz="0" w:space="0" w:color="auto"/>
          </w:divBdr>
        </w:div>
        <w:div w:id="2124615487">
          <w:marLeft w:val="0"/>
          <w:marRight w:val="0"/>
          <w:marTop w:val="0"/>
          <w:marBottom w:val="0"/>
          <w:divBdr>
            <w:top w:val="none" w:sz="0" w:space="0" w:color="auto"/>
            <w:left w:val="none" w:sz="0" w:space="0" w:color="auto"/>
            <w:bottom w:val="none" w:sz="0" w:space="0" w:color="auto"/>
            <w:right w:val="none" w:sz="0" w:space="0" w:color="auto"/>
          </w:divBdr>
        </w:div>
        <w:div w:id="2145658688">
          <w:marLeft w:val="0"/>
          <w:marRight w:val="0"/>
          <w:marTop w:val="0"/>
          <w:marBottom w:val="0"/>
          <w:divBdr>
            <w:top w:val="none" w:sz="0" w:space="0" w:color="auto"/>
            <w:left w:val="none" w:sz="0" w:space="0" w:color="auto"/>
            <w:bottom w:val="none" w:sz="0" w:space="0" w:color="auto"/>
            <w:right w:val="none" w:sz="0" w:space="0" w:color="auto"/>
          </w:divBdr>
        </w:div>
      </w:divsChild>
    </w:div>
    <w:div w:id="1205171007">
      <w:bodyDiv w:val="1"/>
      <w:marLeft w:val="0"/>
      <w:marRight w:val="0"/>
      <w:marTop w:val="0"/>
      <w:marBottom w:val="0"/>
      <w:divBdr>
        <w:top w:val="none" w:sz="0" w:space="0" w:color="auto"/>
        <w:left w:val="none" w:sz="0" w:space="0" w:color="auto"/>
        <w:bottom w:val="none" w:sz="0" w:space="0" w:color="auto"/>
        <w:right w:val="none" w:sz="0" w:space="0" w:color="auto"/>
      </w:divBdr>
    </w:div>
    <w:div w:id="1237858550">
      <w:bodyDiv w:val="1"/>
      <w:marLeft w:val="0"/>
      <w:marRight w:val="0"/>
      <w:marTop w:val="0"/>
      <w:marBottom w:val="0"/>
      <w:divBdr>
        <w:top w:val="none" w:sz="0" w:space="0" w:color="auto"/>
        <w:left w:val="none" w:sz="0" w:space="0" w:color="auto"/>
        <w:bottom w:val="none" w:sz="0" w:space="0" w:color="auto"/>
        <w:right w:val="none" w:sz="0" w:space="0" w:color="auto"/>
      </w:divBdr>
      <w:divsChild>
        <w:div w:id="113836638">
          <w:marLeft w:val="0"/>
          <w:marRight w:val="0"/>
          <w:marTop w:val="0"/>
          <w:marBottom w:val="0"/>
          <w:divBdr>
            <w:top w:val="none" w:sz="0" w:space="0" w:color="auto"/>
            <w:left w:val="none" w:sz="0" w:space="0" w:color="auto"/>
            <w:bottom w:val="none" w:sz="0" w:space="0" w:color="auto"/>
            <w:right w:val="none" w:sz="0" w:space="0" w:color="auto"/>
          </w:divBdr>
        </w:div>
      </w:divsChild>
    </w:div>
    <w:div w:id="1315066355">
      <w:bodyDiv w:val="1"/>
      <w:marLeft w:val="0"/>
      <w:marRight w:val="0"/>
      <w:marTop w:val="0"/>
      <w:marBottom w:val="0"/>
      <w:divBdr>
        <w:top w:val="none" w:sz="0" w:space="0" w:color="auto"/>
        <w:left w:val="none" w:sz="0" w:space="0" w:color="auto"/>
        <w:bottom w:val="none" w:sz="0" w:space="0" w:color="auto"/>
        <w:right w:val="none" w:sz="0" w:space="0" w:color="auto"/>
      </w:divBdr>
    </w:div>
    <w:div w:id="1321809873">
      <w:bodyDiv w:val="1"/>
      <w:marLeft w:val="0"/>
      <w:marRight w:val="0"/>
      <w:marTop w:val="0"/>
      <w:marBottom w:val="0"/>
      <w:divBdr>
        <w:top w:val="none" w:sz="0" w:space="0" w:color="auto"/>
        <w:left w:val="none" w:sz="0" w:space="0" w:color="auto"/>
        <w:bottom w:val="none" w:sz="0" w:space="0" w:color="auto"/>
        <w:right w:val="none" w:sz="0" w:space="0" w:color="auto"/>
      </w:divBdr>
    </w:div>
    <w:div w:id="1328558231">
      <w:bodyDiv w:val="1"/>
      <w:marLeft w:val="0"/>
      <w:marRight w:val="0"/>
      <w:marTop w:val="0"/>
      <w:marBottom w:val="0"/>
      <w:divBdr>
        <w:top w:val="none" w:sz="0" w:space="0" w:color="auto"/>
        <w:left w:val="none" w:sz="0" w:space="0" w:color="auto"/>
        <w:bottom w:val="none" w:sz="0" w:space="0" w:color="auto"/>
        <w:right w:val="none" w:sz="0" w:space="0" w:color="auto"/>
      </w:divBdr>
    </w:div>
    <w:div w:id="1450126637">
      <w:bodyDiv w:val="1"/>
      <w:marLeft w:val="0"/>
      <w:marRight w:val="0"/>
      <w:marTop w:val="0"/>
      <w:marBottom w:val="0"/>
      <w:divBdr>
        <w:top w:val="none" w:sz="0" w:space="0" w:color="auto"/>
        <w:left w:val="none" w:sz="0" w:space="0" w:color="auto"/>
        <w:bottom w:val="none" w:sz="0" w:space="0" w:color="auto"/>
        <w:right w:val="none" w:sz="0" w:space="0" w:color="auto"/>
      </w:divBdr>
    </w:div>
    <w:div w:id="1508904106">
      <w:bodyDiv w:val="1"/>
      <w:marLeft w:val="0"/>
      <w:marRight w:val="0"/>
      <w:marTop w:val="0"/>
      <w:marBottom w:val="0"/>
      <w:divBdr>
        <w:top w:val="none" w:sz="0" w:space="0" w:color="auto"/>
        <w:left w:val="none" w:sz="0" w:space="0" w:color="auto"/>
        <w:bottom w:val="none" w:sz="0" w:space="0" w:color="auto"/>
        <w:right w:val="none" w:sz="0" w:space="0" w:color="auto"/>
      </w:divBdr>
    </w:div>
    <w:div w:id="1532569208">
      <w:bodyDiv w:val="1"/>
      <w:marLeft w:val="0"/>
      <w:marRight w:val="0"/>
      <w:marTop w:val="0"/>
      <w:marBottom w:val="0"/>
      <w:divBdr>
        <w:top w:val="none" w:sz="0" w:space="0" w:color="auto"/>
        <w:left w:val="none" w:sz="0" w:space="0" w:color="auto"/>
        <w:bottom w:val="none" w:sz="0" w:space="0" w:color="auto"/>
        <w:right w:val="none" w:sz="0" w:space="0" w:color="auto"/>
      </w:divBdr>
    </w:div>
    <w:div w:id="1582720649">
      <w:bodyDiv w:val="1"/>
      <w:marLeft w:val="0"/>
      <w:marRight w:val="0"/>
      <w:marTop w:val="0"/>
      <w:marBottom w:val="0"/>
      <w:divBdr>
        <w:top w:val="none" w:sz="0" w:space="0" w:color="auto"/>
        <w:left w:val="none" w:sz="0" w:space="0" w:color="auto"/>
        <w:bottom w:val="none" w:sz="0" w:space="0" w:color="auto"/>
        <w:right w:val="none" w:sz="0" w:space="0" w:color="auto"/>
      </w:divBdr>
    </w:div>
    <w:div w:id="1618491195">
      <w:bodyDiv w:val="1"/>
      <w:marLeft w:val="0"/>
      <w:marRight w:val="0"/>
      <w:marTop w:val="0"/>
      <w:marBottom w:val="0"/>
      <w:divBdr>
        <w:top w:val="none" w:sz="0" w:space="0" w:color="auto"/>
        <w:left w:val="none" w:sz="0" w:space="0" w:color="auto"/>
        <w:bottom w:val="none" w:sz="0" w:space="0" w:color="auto"/>
        <w:right w:val="none" w:sz="0" w:space="0" w:color="auto"/>
      </w:divBdr>
    </w:div>
    <w:div w:id="1624653022">
      <w:bodyDiv w:val="1"/>
      <w:marLeft w:val="0"/>
      <w:marRight w:val="0"/>
      <w:marTop w:val="0"/>
      <w:marBottom w:val="0"/>
      <w:divBdr>
        <w:top w:val="none" w:sz="0" w:space="0" w:color="auto"/>
        <w:left w:val="none" w:sz="0" w:space="0" w:color="auto"/>
        <w:bottom w:val="none" w:sz="0" w:space="0" w:color="auto"/>
        <w:right w:val="none" w:sz="0" w:space="0" w:color="auto"/>
      </w:divBdr>
    </w:div>
    <w:div w:id="1768387438">
      <w:bodyDiv w:val="1"/>
      <w:marLeft w:val="0"/>
      <w:marRight w:val="0"/>
      <w:marTop w:val="0"/>
      <w:marBottom w:val="0"/>
      <w:divBdr>
        <w:top w:val="none" w:sz="0" w:space="0" w:color="auto"/>
        <w:left w:val="none" w:sz="0" w:space="0" w:color="auto"/>
        <w:bottom w:val="none" w:sz="0" w:space="0" w:color="auto"/>
        <w:right w:val="none" w:sz="0" w:space="0" w:color="auto"/>
      </w:divBdr>
    </w:div>
    <w:div w:id="1820075840">
      <w:bodyDiv w:val="1"/>
      <w:marLeft w:val="0"/>
      <w:marRight w:val="0"/>
      <w:marTop w:val="0"/>
      <w:marBottom w:val="0"/>
      <w:divBdr>
        <w:top w:val="none" w:sz="0" w:space="0" w:color="auto"/>
        <w:left w:val="none" w:sz="0" w:space="0" w:color="auto"/>
        <w:bottom w:val="none" w:sz="0" w:space="0" w:color="auto"/>
        <w:right w:val="none" w:sz="0" w:space="0" w:color="auto"/>
      </w:divBdr>
    </w:div>
    <w:div w:id="1921862098">
      <w:bodyDiv w:val="1"/>
      <w:marLeft w:val="0"/>
      <w:marRight w:val="0"/>
      <w:marTop w:val="0"/>
      <w:marBottom w:val="0"/>
      <w:divBdr>
        <w:top w:val="none" w:sz="0" w:space="0" w:color="auto"/>
        <w:left w:val="none" w:sz="0" w:space="0" w:color="auto"/>
        <w:bottom w:val="none" w:sz="0" w:space="0" w:color="auto"/>
        <w:right w:val="none" w:sz="0" w:space="0" w:color="auto"/>
      </w:divBdr>
    </w:div>
    <w:div w:id="1936788168">
      <w:bodyDiv w:val="1"/>
      <w:marLeft w:val="0"/>
      <w:marRight w:val="0"/>
      <w:marTop w:val="0"/>
      <w:marBottom w:val="0"/>
      <w:divBdr>
        <w:top w:val="none" w:sz="0" w:space="0" w:color="auto"/>
        <w:left w:val="none" w:sz="0" w:space="0" w:color="auto"/>
        <w:bottom w:val="none" w:sz="0" w:space="0" w:color="auto"/>
        <w:right w:val="none" w:sz="0" w:space="0" w:color="auto"/>
      </w:divBdr>
    </w:div>
    <w:div w:id="1937445376">
      <w:bodyDiv w:val="1"/>
      <w:marLeft w:val="0"/>
      <w:marRight w:val="0"/>
      <w:marTop w:val="0"/>
      <w:marBottom w:val="0"/>
      <w:divBdr>
        <w:top w:val="none" w:sz="0" w:space="0" w:color="auto"/>
        <w:left w:val="none" w:sz="0" w:space="0" w:color="auto"/>
        <w:bottom w:val="none" w:sz="0" w:space="0" w:color="auto"/>
        <w:right w:val="none" w:sz="0" w:space="0" w:color="auto"/>
      </w:divBdr>
    </w:div>
    <w:div w:id="1965305954">
      <w:bodyDiv w:val="1"/>
      <w:marLeft w:val="0"/>
      <w:marRight w:val="0"/>
      <w:marTop w:val="0"/>
      <w:marBottom w:val="0"/>
      <w:divBdr>
        <w:top w:val="none" w:sz="0" w:space="0" w:color="auto"/>
        <w:left w:val="none" w:sz="0" w:space="0" w:color="auto"/>
        <w:bottom w:val="none" w:sz="0" w:space="0" w:color="auto"/>
        <w:right w:val="none" w:sz="0" w:space="0" w:color="auto"/>
      </w:divBdr>
    </w:div>
    <w:div w:id="1969776012">
      <w:bodyDiv w:val="1"/>
      <w:marLeft w:val="0"/>
      <w:marRight w:val="0"/>
      <w:marTop w:val="0"/>
      <w:marBottom w:val="0"/>
      <w:divBdr>
        <w:top w:val="none" w:sz="0" w:space="0" w:color="auto"/>
        <w:left w:val="none" w:sz="0" w:space="0" w:color="auto"/>
        <w:bottom w:val="none" w:sz="0" w:space="0" w:color="auto"/>
        <w:right w:val="none" w:sz="0" w:space="0" w:color="auto"/>
      </w:divBdr>
    </w:div>
    <w:div w:id="1990672070">
      <w:bodyDiv w:val="1"/>
      <w:marLeft w:val="0"/>
      <w:marRight w:val="0"/>
      <w:marTop w:val="0"/>
      <w:marBottom w:val="0"/>
      <w:divBdr>
        <w:top w:val="none" w:sz="0" w:space="0" w:color="auto"/>
        <w:left w:val="none" w:sz="0" w:space="0" w:color="auto"/>
        <w:bottom w:val="none" w:sz="0" w:space="0" w:color="auto"/>
        <w:right w:val="none" w:sz="0" w:space="0" w:color="auto"/>
      </w:divBdr>
    </w:div>
    <w:div w:id="2018995817">
      <w:bodyDiv w:val="1"/>
      <w:marLeft w:val="0"/>
      <w:marRight w:val="0"/>
      <w:marTop w:val="0"/>
      <w:marBottom w:val="0"/>
      <w:divBdr>
        <w:top w:val="none" w:sz="0" w:space="0" w:color="auto"/>
        <w:left w:val="none" w:sz="0" w:space="0" w:color="auto"/>
        <w:bottom w:val="none" w:sz="0" w:space="0" w:color="auto"/>
        <w:right w:val="none" w:sz="0" w:space="0" w:color="auto"/>
      </w:divBdr>
    </w:div>
    <w:div w:id="20487528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image" Target="media/image4.png"/><Relationship Id="rId26" Type="http://schemas.microsoft.com/office/2011/relationships/people" Target="people.xml"/><Relationship Id="rId3" Type="http://schemas.openxmlformats.org/officeDocument/2006/relationships/customXml" Target="../customXml/item3.xml"/><Relationship Id="rId21" Type="http://schemas.openxmlformats.org/officeDocument/2006/relationships/chart" Target="charts/chart1.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image" Target="media/image3.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image" Target="media/image6.jpe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24" Type="http://schemas.openxmlformats.org/officeDocument/2006/relationships/chart" Target="charts/chart4.xml"/><Relationship Id="rId5" Type="http://schemas.openxmlformats.org/officeDocument/2006/relationships/numbering" Target="numbering.xml"/><Relationship Id="rId15" Type="http://schemas.openxmlformats.org/officeDocument/2006/relationships/image" Target="media/image1.png"/><Relationship Id="rId23" Type="http://schemas.openxmlformats.org/officeDocument/2006/relationships/chart" Target="charts/chart3.xml"/><Relationship Id="rId10" Type="http://schemas.openxmlformats.org/officeDocument/2006/relationships/endnotes" Target="endnotes.xml"/><Relationship Id="rId19" Type="http://schemas.openxmlformats.org/officeDocument/2006/relationships/image" Target="media/image5.png"/><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openxmlformats.org/officeDocument/2006/relationships/chart" Target="charts/chart2.xml"/><Relationship Id="rId27" Type="http://schemas.openxmlformats.org/officeDocument/2006/relationships/theme" Target="theme/theme1.xml"/></Relationships>
</file>

<file path=word/_rels/footnotes.xml.rels><?xml version='1.0' encoding='UTF-8' standalone='yes'?>
<Relationships xmlns="http://schemas.openxmlformats.org/package/2006/relationships"><Relationship Id="rId2" Type="http://schemas.openxmlformats.org/officeDocument/2006/relationships/hyperlink" Target="https://www.placer.ca.gov/3396/Housing" TargetMode="External"/><Relationship Id="rId1" Type="http://schemas.openxmlformats.org/officeDocument/2006/relationships/hyperlink" Target="https://tahoe.ca.gov/programs/tahoe-livable-communities/asset-land-sales/" TargetMode="External"/></Relationships>
</file>

<file path=word/charts/_rels/chart1.xml.rels><?xml version='1.0' encoding='UTF-8' standalone='yes'?>
<Relationships xmlns="http://schemas.openxmlformats.org/package/2006/relationships"><Relationship Id="rId3" Type="http://schemas.openxmlformats.org/officeDocument/2006/relationships/oleObject" Target="file:///C:\Users\kkasman\Documents\All-Docs\Reno%20Tahoe%20Airport%20Stats%202006-2023.xlsx" TargetMode="External"/><Relationship Id="rId2" Type="http://schemas.microsoft.com/office/2011/relationships/chartColorStyle" Target="colors1.xml"/><Relationship Id="rId1" Type="http://schemas.microsoft.com/office/2011/relationships/chartStyle" Target="style1.xml"/><Relationship Id="rId4" Type="http://schemas.openxmlformats.org/officeDocument/2006/relationships/chartUserShapes" Target="../drawings/drawing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jschmid\Documents\Data%20Trends%20Report\SDE_SchoolEnrollment.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C:\Users\jschmid\Documents\Data%20Trends%20Report\SDE_SchoolEnrollment.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C:\Users\jschmid\Documents\Data%20Trends%20Report\CensusDemographics_20241010.xlsx" TargetMode="External"/><Relationship Id="rId2" Type="http://schemas.microsoft.com/office/2011/relationships/chartColorStyle" Target="colors4.xml"/><Relationship Id="rId1" Type="http://schemas.microsoft.com/office/2011/relationships/chartStyle" Target="style4.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Reno Tahoe International Airport: Total Passengers</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manualLayout>
          <c:layoutTarget val="inner"/>
          <c:xMode val="edge"/>
          <c:yMode val="edge"/>
          <c:x val="9.5722152378011571E-2"/>
          <c:y val="0.15211156906726522"/>
          <c:w val="0.88373629766867379"/>
          <c:h val="0.65857333612490321"/>
        </c:manualLayout>
      </c:layout>
      <c:barChart>
        <c:barDir val="col"/>
        <c:grouping val="clustered"/>
        <c:varyColors val="0"/>
        <c:ser>
          <c:idx val="0"/>
          <c:order val="0"/>
          <c:tx>
            <c:strRef>
              <c:f>'Annual Summary - Passengers'!$A$4</c:f>
              <c:strCache>
                <c:ptCount val="1"/>
                <c:pt idx="0">
                  <c:v>Total Passengers</c:v>
                </c:pt>
              </c:strCache>
            </c:strRef>
          </c:tx>
          <c:spPr>
            <a:solidFill>
              <a:schemeClr val="accent1"/>
            </a:solidFill>
            <a:ln>
              <a:noFill/>
            </a:ln>
            <a:effectLst/>
          </c:spPr>
          <c:invertIfNegative val="0"/>
          <c:cat>
            <c:numRef>
              <c:f>'Annual Summary - Passengers'!$B$3:$S$3</c:f>
              <c:numCache>
                <c:formatCode>General</c:formatCode>
                <c:ptCount val="18"/>
                <c:pt idx="0">
                  <c:v>2006</c:v>
                </c:pt>
                <c:pt idx="1">
                  <c:v>2007</c:v>
                </c:pt>
                <c:pt idx="2">
                  <c:v>2008</c:v>
                </c:pt>
                <c:pt idx="3">
                  <c:v>2009</c:v>
                </c:pt>
                <c:pt idx="4">
                  <c:v>2010</c:v>
                </c:pt>
                <c:pt idx="5">
                  <c:v>2011</c:v>
                </c:pt>
                <c:pt idx="6">
                  <c:v>2012</c:v>
                </c:pt>
                <c:pt idx="7">
                  <c:v>2013</c:v>
                </c:pt>
                <c:pt idx="8">
                  <c:v>2014</c:v>
                </c:pt>
                <c:pt idx="9">
                  <c:v>2015</c:v>
                </c:pt>
                <c:pt idx="10">
                  <c:v>2016</c:v>
                </c:pt>
                <c:pt idx="11">
                  <c:v>2017</c:v>
                </c:pt>
                <c:pt idx="12">
                  <c:v>2018</c:v>
                </c:pt>
                <c:pt idx="13">
                  <c:v>2019</c:v>
                </c:pt>
                <c:pt idx="14">
                  <c:v>2020</c:v>
                </c:pt>
                <c:pt idx="15">
                  <c:v>2021</c:v>
                </c:pt>
                <c:pt idx="16">
                  <c:v>2022</c:v>
                </c:pt>
                <c:pt idx="17">
                  <c:v>2023</c:v>
                </c:pt>
              </c:numCache>
            </c:numRef>
          </c:cat>
          <c:val>
            <c:numRef>
              <c:f>'Annual Summary - Passengers'!$B$4:$S$4</c:f>
              <c:numCache>
                <c:formatCode>#,##0</c:formatCode>
                <c:ptCount val="18"/>
                <c:pt idx="0">
                  <c:v>5000663</c:v>
                </c:pt>
                <c:pt idx="1">
                  <c:v>5044087</c:v>
                </c:pt>
                <c:pt idx="2">
                  <c:v>4434638</c:v>
                </c:pt>
                <c:pt idx="3">
                  <c:v>3755935</c:v>
                </c:pt>
                <c:pt idx="4">
                  <c:v>3823393</c:v>
                </c:pt>
                <c:pt idx="5">
                  <c:v>3754394</c:v>
                </c:pt>
                <c:pt idx="6">
                  <c:v>3479290</c:v>
                </c:pt>
                <c:pt idx="7">
                  <c:v>3432311</c:v>
                </c:pt>
                <c:pt idx="8">
                  <c:v>3305090</c:v>
                </c:pt>
                <c:pt idx="9">
                  <c:v>3432330</c:v>
                </c:pt>
                <c:pt idx="10">
                  <c:v>3650830</c:v>
                </c:pt>
                <c:pt idx="11">
                  <c:v>4015381</c:v>
                </c:pt>
                <c:pt idx="12">
                  <c:v>4210095</c:v>
                </c:pt>
                <c:pt idx="13">
                  <c:v>4450673</c:v>
                </c:pt>
                <c:pt idx="14">
                  <c:v>2006420</c:v>
                </c:pt>
                <c:pt idx="15">
                  <c:v>3623458</c:v>
                </c:pt>
                <c:pt idx="16">
                  <c:v>4310958</c:v>
                </c:pt>
                <c:pt idx="17">
                  <c:v>4573384</c:v>
                </c:pt>
              </c:numCache>
            </c:numRef>
          </c:val>
          <c:extLst>
            <c:ext xmlns:c16="http://schemas.microsoft.com/office/drawing/2014/chart" uri="{C3380CC4-5D6E-409C-BE32-E72D297353CC}">
              <c16:uniqueId val="{00000000-5D24-4434-AD86-1530CF3E7551}"/>
            </c:ext>
          </c:extLst>
        </c:ser>
        <c:dLbls>
          <c:showLegendKey val="0"/>
          <c:showVal val="0"/>
          <c:showCatName val="0"/>
          <c:showSerName val="0"/>
          <c:showPercent val="0"/>
          <c:showBubbleSize val="0"/>
        </c:dLbls>
        <c:gapWidth val="219"/>
        <c:overlap val="-27"/>
        <c:axId val="393807104"/>
        <c:axId val="393807760"/>
      </c:barChart>
      <c:catAx>
        <c:axId val="39380710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93807760"/>
        <c:crosses val="autoZero"/>
        <c:auto val="1"/>
        <c:lblAlgn val="ctr"/>
        <c:lblOffset val="100"/>
        <c:noMultiLvlLbl val="0"/>
      </c:catAx>
      <c:valAx>
        <c:axId val="393807760"/>
        <c:scaling>
          <c:orientation val="minMax"/>
        </c:scaling>
        <c:delete val="0"/>
        <c:axPos val="l"/>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93807104"/>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userShapes r:id="rId4"/>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baseline="0"/>
              <a:t>Tahoe Nevada School Enrollment, 2003-2023</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spPr>
            <a:solidFill>
              <a:schemeClr val="accent1"/>
            </a:solidFill>
            <a:ln>
              <a:noFill/>
            </a:ln>
            <a:effectLst/>
          </c:spPr>
          <c:invertIfNegative val="0"/>
          <c:cat>
            <c:strRef>
              <c:f>Sheet1!$G$5:$G$24</c:f>
              <c:strCache>
                <c:ptCount val="20"/>
                <c:pt idx="0">
                  <c:v>2003-2004</c:v>
                </c:pt>
                <c:pt idx="1">
                  <c:v>2004-2005</c:v>
                </c:pt>
                <c:pt idx="2">
                  <c:v>2005-2006</c:v>
                </c:pt>
                <c:pt idx="3">
                  <c:v>2006-2007</c:v>
                </c:pt>
                <c:pt idx="4">
                  <c:v>2007-2008</c:v>
                </c:pt>
                <c:pt idx="5">
                  <c:v>2008-2009</c:v>
                </c:pt>
                <c:pt idx="6">
                  <c:v>2009-2010</c:v>
                </c:pt>
                <c:pt idx="7">
                  <c:v>2010-2011</c:v>
                </c:pt>
                <c:pt idx="8">
                  <c:v>2011-2012</c:v>
                </c:pt>
                <c:pt idx="9">
                  <c:v>2012-2013</c:v>
                </c:pt>
                <c:pt idx="10">
                  <c:v>2013-2014</c:v>
                </c:pt>
                <c:pt idx="11">
                  <c:v>2014-2015</c:v>
                </c:pt>
                <c:pt idx="12">
                  <c:v>2015-2016</c:v>
                </c:pt>
                <c:pt idx="13">
                  <c:v>2016-2017</c:v>
                </c:pt>
                <c:pt idx="14">
                  <c:v>2017-2018</c:v>
                </c:pt>
                <c:pt idx="15">
                  <c:v>2018-2019</c:v>
                </c:pt>
                <c:pt idx="16">
                  <c:v>2019-2020</c:v>
                </c:pt>
                <c:pt idx="17">
                  <c:v>2020-2021</c:v>
                </c:pt>
                <c:pt idx="18">
                  <c:v>2021-2022</c:v>
                </c:pt>
                <c:pt idx="19">
                  <c:v>2022-2023</c:v>
                </c:pt>
              </c:strCache>
            </c:strRef>
          </c:cat>
          <c:val>
            <c:numRef>
              <c:f>Sheet1!$H$5:$H$24</c:f>
              <c:numCache>
                <c:formatCode>General</c:formatCode>
                <c:ptCount val="20"/>
                <c:pt idx="0">
                  <c:v>1852</c:v>
                </c:pt>
                <c:pt idx="1">
                  <c:v>1735</c:v>
                </c:pt>
                <c:pt idx="2">
                  <c:v>1701</c:v>
                </c:pt>
                <c:pt idx="3">
                  <c:v>1634</c:v>
                </c:pt>
                <c:pt idx="4">
                  <c:v>1548</c:v>
                </c:pt>
                <c:pt idx="5">
                  <c:v>1462</c:v>
                </c:pt>
                <c:pt idx="6">
                  <c:v>1404</c:v>
                </c:pt>
                <c:pt idx="7">
                  <c:v>1436</c:v>
                </c:pt>
                <c:pt idx="8">
                  <c:v>1380</c:v>
                </c:pt>
                <c:pt idx="9">
                  <c:v>1366</c:v>
                </c:pt>
                <c:pt idx="10">
                  <c:v>1340</c:v>
                </c:pt>
                <c:pt idx="11">
                  <c:v>1345</c:v>
                </c:pt>
                <c:pt idx="12">
                  <c:v>1315</c:v>
                </c:pt>
                <c:pt idx="13">
                  <c:v>1299</c:v>
                </c:pt>
                <c:pt idx="14">
                  <c:v>1189</c:v>
                </c:pt>
                <c:pt idx="15">
                  <c:v>1160</c:v>
                </c:pt>
                <c:pt idx="16">
                  <c:v>1117</c:v>
                </c:pt>
                <c:pt idx="17">
                  <c:v>1061</c:v>
                </c:pt>
                <c:pt idx="18">
                  <c:v>1056</c:v>
                </c:pt>
                <c:pt idx="19">
                  <c:v>1008</c:v>
                </c:pt>
              </c:numCache>
            </c:numRef>
          </c:val>
          <c:extLst>
            <c:ext xmlns:c16="http://schemas.microsoft.com/office/drawing/2014/chart" uri="{C3380CC4-5D6E-409C-BE32-E72D297353CC}">
              <c16:uniqueId val="{00000000-346B-46C1-9AE3-DE239082BC7E}"/>
            </c:ext>
          </c:extLst>
        </c:ser>
        <c:dLbls>
          <c:showLegendKey val="0"/>
          <c:showVal val="0"/>
          <c:showCatName val="0"/>
          <c:showSerName val="0"/>
          <c:showPercent val="0"/>
          <c:showBubbleSize val="0"/>
        </c:dLbls>
        <c:gapWidth val="70"/>
        <c:overlap val="-27"/>
        <c:axId val="1067323728"/>
        <c:axId val="1067325168"/>
      </c:barChart>
      <c:catAx>
        <c:axId val="106732372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067325168"/>
        <c:crosses val="autoZero"/>
        <c:auto val="1"/>
        <c:lblAlgn val="ctr"/>
        <c:lblOffset val="100"/>
        <c:noMultiLvlLbl val="0"/>
      </c:catAx>
      <c:valAx>
        <c:axId val="1067325168"/>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067323728"/>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400" baseline="0"/>
              <a:t>Tahoe California School Enrollment, 2003-2023</a:t>
            </a:r>
            <a:endParaRPr lang="en-US" sz="1400"/>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spPr>
            <a:solidFill>
              <a:schemeClr val="accent1"/>
            </a:solidFill>
            <a:ln>
              <a:noFill/>
            </a:ln>
            <a:effectLst/>
          </c:spPr>
          <c:invertIfNegative val="0"/>
          <c:cat>
            <c:strRef>
              <c:f>Sheet1!$D$5:$D$24</c:f>
              <c:strCache>
                <c:ptCount val="20"/>
                <c:pt idx="0">
                  <c:v>2003-2004</c:v>
                </c:pt>
                <c:pt idx="1">
                  <c:v>2004-2005</c:v>
                </c:pt>
                <c:pt idx="2">
                  <c:v>2005-2006</c:v>
                </c:pt>
                <c:pt idx="3">
                  <c:v>2006-2007</c:v>
                </c:pt>
                <c:pt idx="4">
                  <c:v>2007-2008</c:v>
                </c:pt>
                <c:pt idx="5">
                  <c:v>2008-2009</c:v>
                </c:pt>
                <c:pt idx="6">
                  <c:v>2009-2010</c:v>
                </c:pt>
                <c:pt idx="7">
                  <c:v>2010-2011</c:v>
                </c:pt>
                <c:pt idx="8">
                  <c:v>2011-2012</c:v>
                </c:pt>
                <c:pt idx="9">
                  <c:v>2012-2013</c:v>
                </c:pt>
                <c:pt idx="10">
                  <c:v>2013-2014</c:v>
                </c:pt>
                <c:pt idx="11">
                  <c:v>2014-2015</c:v>
                </c:pt>
                <c:pt idx="12">
                  <c:v>2015-2016</c:v>
                </c:pt>
                <c:pt idx="13">
                  <c:v>2016-2017</c:v>
                </c:pt>
                <c:pt idx="14">
                  <c:v>2017-2018</c:v>
                </c:pt>
                <c:pt idx="15">
                  <c:v>2018-2019</c:v>
                </c:pt>
                <c:pt idx="16">
                  <c:v>2019-2020</c:v>
                </c:pt>
                <c:pt idx="17">
                  <c:v>2020-2021</c:v>
                </c:pt>
                <c:pt idx="18">
                  <c:v>2021-2022</c:v>
                </c:pt>
                <c:pt idx="19">
                  <c:v>2022-2023</c:v>
                </c:pt>
              </c:strCache>
            </c:strRef>
          </c:cat>
          <c:val>
            <c:numRef>
              <c:f>Sheet1!$E$5:$E$24</c:f>
              <c:numCache>
                <c:formatCode>General</c:formatCode>
                <c:ptCount val="20"/>
                <c:pt idx="0">
                  <c:v>6228</c:v>
                </c:pt>
                <c:pt idx="1">
                  <c:v>6027</c:v>
                </c:pt>
                <c:pt idx="2">
                  <c:v>5772</c:v>
                </c:pt>
                <c:pt idx="3">
                  <c:v>5485</c:v>
                </c:pt>
                <c:pt idx="4">
                  <c:v>5454</c:v>
                </c:pt>
                <c:pt idx="5">
                  <c:v>5504</c:v>
                </c:pt>
                <c:pt idx="6">
                  <c:v>5321</c:v>
                </c:pt>
                <c:pt idx="7">
                  <c:v>5263</c:v>
                </c:pt>
                <c:pt idx="8">
                  <c:v>5190</c:v>
                </c:pt>
                <c:pt idx="9">
                  <c:v>5329</c:v>
                </c:pt>
                <c:pt idx="10">
                  <c:v>5379</c:v>
                </c:pt>
                <c:pt idx="11">
                  <c:v>5427</c:v>
                </c:pt>
                <c:pt idx="12">
                  <c:v>5469</c:v>
                </c:pt>
                <c:pt idx="13">
                  <c:v>5650</c:v>
                </c:pt>
                <c:pt idx="14">
                  <c:v>5622</c:v>
                </c:pt>
                <c:pt idx="15">
                  <c:v>5686</c:v>
                </c:pt>
                <c:pt idx="16">
                  <c:v>5399</c:v>
                </c:pt>
                <c:pt idx="17">
                  <c:v>5219</c:v>
                </c:pt>
                <c:pt idx="18">
                  <c:v>5145</c:v>
                </c:pt>
                <c:pt idx="19">
                  <c:v>5134</c:v>
                </c:pt>
              </c:numCache>
            </c:numRef>
          </c:val>
          <c:extLst>
            <c:ext xmlns:c16="http://schemas.microsoft.com/office/drawing/2014/chart" uri="{C3380CC4-5D6E-409C-BE32-E72D297353CC}">
              <c16:uniqueId val="{00000000-1841-4AD4-838E-7881837647E3}"/>
            </c:ext>
          </c:extLst>
        </c:ser>
        <c:dLbls>
          <c:showLegendKey val="0"/>
          <c:showVal val="0"/>
          <c:showCatName val="0"/>
          <c:showSerName val="0"/>
          <c:showPercent val="0"/>
          <c:showBubbleSize val="0"/>
        </c:dLbls>
        <c:gapWidth val="70"/>
        <c:overlap val="-27"/>
        <c:axId val="1067494416"/>
        <c:axId val="1067494896"/>
      </c:barChart>
      <c:catAx>
        <c:axId val="106749441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067494896"/>
        <c:crosses val="autoZero"/>
        <c:auto val="1"/>
        <c:lblAlgn val="ctr"/>
        <c:lblOffset val="100"/>
        <c:noMultiLvlLbl val="0"/>
      </c:catAx>
      <c:valAx>
        <c:axId val="1067494896"/>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067494416"/>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300" b="0" i="0" u="none" strike="noStrike" kern="1200" spc="0" baseline="0">
                <a:solidFill>
                  <a:sysClr val="windowText" lastClr="000000">
                    <a:lumMod val="65000"/>
                    <a:lumOff val="35000"/>
                  </a:sysClr>
                </a:solidFill>
              </a:rPr>
              <a:t>Household Income Categories (% of Households, ACS 2010-2022</a:t>
            </a:r>
            <a:r>
              <a:rPr lang="en-US" sz="1200" b="0" i="0" u="none" strike="noStrike" kern="1200" spc="0" baseline="0">
                <a:solidFill>
                  <a:sysClr val="windowText" lastClr="000000">
                    <a:lumMod val="65000"/>
                    <a:lumOff val="35000"/>
                  </a:sysClr>
                </a:solidFill>
              </a:rPr>
              <a:t>) </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percentStacked"/>
        <c:varyColors val="0"/>
        <c:ser>
          <c:idx val="0"/>
          <c:order val="0"/>
          <c:tx>
            <c:strRef>
              <c:f>HHIncome!$A$20</c:f>
              <c:strCache>
                <c:ptCount val="1"/>
                <c:pt idx="0">
                  <c:v>Less than $25k</c:v>
                </c:pt>
              </c:strCache>
            </c:strRef>
          </c:tx>
          <c:spPr>
            <a:solidFill>
              <a:schemeClr val="accent1"/>
            </a:solidFill>
            <a:ln>
              <a:noFill/>
            </a:ln>
            <a:effectLst/>
          </c:spPr>
          <c:invertIfNegative val="0"/>
          <c:dLbls>
            <c:dLbl>
              <c:idx val="0"/>
              <c:tx>
                <c:rich>
                  <a:bodyPr/>
                  <a:lstStyle/>
                  <a:p>
                    <a:fld id="{38990A7B-5639-441A-A5AD-025914D4DD7F}" type="CELLRANGE">
                      <a:rPr lang="en-US"/>
                      <a:pPr/>
                      <a:t>[CELLRANGE]</a:t>
                    </a:fld>
                    <a:endParaRPr lang="en-US"/>
                  </a:p>
                </c:rich>
              </c:tx>
              <c:dLblPos val="ctr"/>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00-4483-4F48-9F0E-8373DE6362A5}"/>
                </c:ext>
              </c:extLst>
            </c:dLbl>
            <c:dLbl>
              <c:idx val="1"/>
              <c:tx>
                <c:rich>
                  <a:bodyPr/>
                  <a:lstStyle/>
                  <a:p>
                    <a:fld id="{78739C0E-F994-4710-9D16-01B393D506D6}" type="CELLRANGE">
                      <a:rPr lang="en-US"/>
                      <a:pPr/>
                      <a:t>[CELLRANGE]</a:t>
                    </a:fld>
                    <a:endParaRPr lang="en-US"/>
                  </a:p>
                </c:rich>
              </c:tx>
              <c:dLblPos val="ctr"/>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01-4483-4F48-9F0E-8373DE6362A5}"/>
                </c:ext>
              </c:extLst>
            </c:dLbl>
            <c:dLbl>
              <c:idx val="2"/>
              <c:tx>
                <c:rich>
                  <a:bodyPr/>
                  <a:lstStyle/>
                  <a:p>
                    <a:fld id="{CA6C0CE4-5444-479E-AB1E-09C41C7C448A}" type="CELLRANGE">
                      <a:rPr lang="en-US"/>
                      <a:pPr/>
                      <a:t>[CELLRANGE]</a:t>
                    </a:fld>
                    <a:endParaRPr lang="en-US"/>
                  </a:p>
                </c:rich>
              </c:tx>
              <c:dLblPos val="ctr"/>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02-4483-4F48-9F0E-8373DE6362A5}"/>
                </c:ext>
              </c:extLst>
            </c:dLbl>
            <c:dLbl>
              <c:idx val="3"/>
              <c:tx>
                <c:rich>
                  <a:bodyPr/>
                  <a:lstStyle/>
                  <a:p>
                    <a:fld id="{90251B7D-0455-4184-A5DA-E6F35BE1FFD1}" type="CELLRANGE">
                      <a:rPr lang="en-US"/>
                      <a:pPr/>
                      <a:t>[CELLRANGE]</a:t>
                    </a:fld>
                    <a:endParaRPr lang="en-US"/>
                  </a:p>
                </c:rich>
              </c:tx>
              <c:dLblPos val="ctr"/>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03-4483-4F48-9F0E-8373DE6362A5}"/>
                </c:ext>
              </c:extLst>
            </c:dLbl>
            <c:dLbl>
              <c:idx val="4"/>
              <c:tx>
                <c:rich>
                  <a:bodyPr/>
                  <a:lstStyle/>
                  <a:p>
                    <a:fld id="{BB5FA708-EC94-445D-AA68-31EDD349A70E}" type="CELLRANGE">
                      <a:rPr lang="en-US"/>
                      <a:pPr/>
                      <a:t>[CELLRANGE]</a:t>
                    </a:fld>
                    <a:endParaRPr lang="en-US"/>
                  </a:p>
                </c:rich>
              </c:tx>
              <c:dLblPos val="ctr"/>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04-4483-4F48-9F0E-8373DE6362A5}"/>
                </c:ext>
              </c:extLst>
            </c:dLbl>
            <c:dLbl>
              <c:idx val="5"/>
              <c:tx>
                <c:rich>
                  <a:bodyPr/>
                  <a:lstStyle/>
                  <a:p>
                    <a:fld id="{B36AF9DB-3696-4A21-B441-E286904E1451}" type="CELLRANGE">
                      <a:rPr lang="en-US"/>
                      <a:pPr/>
                      <a:t>[CELLRANGE]</a:t>
                    </a:fld>
                    <a:endParaRPr lang="en-US"/>
                  </a:p>
                </c:rich>
              </c:tx>
              <c:dLblPos val="ctr"/>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05-4483-4F48-9F0E-8373DE6362A5}"/>
                </c:ext>
              </c:extLst>
            </c:dLbl>
            <c:dLbl>
              <c:idx val="6"/>
              <c:tx>
                <c:rich>
                  <a:bodyPr/>
                  <a:lstStyle/>
                  <a:p>
                    <a:fld id="{61EC7674-1036-4C7D-9355-F9837CDFEC10}" type="CELLRANGE">
                      <a:rPr lang="en-US"/>
                      <a:pPr/>
                      <a:t>[CELLRANGE]</a:t>
                    </a:fld>
                    <a:endParaRPr lang="en-US"/>
                  </a:p>
                </c:rich>
              </c:tx>
              <c:dLblPos val="ctr"/>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06-4483-4F48-9F0E-8373DE6362A5}"/>
                </c:ext>
              </c:extLst>
            </c:dLbl>
            <c:dLbl>
              <c:idx val="7"/>
              <c:tx>
                <c:rich>
                  <a:bodyPr/>
                  <a:lstStyle/>
                  <a:p>
                    <a:fld id="{E00D7FC8-40C2-47B4-ABF5-77626F4E9FC2}" type="CELLRANGE">
                      <a:rPr lang="en-US"/>
                      <a:pPr/>
                      <a:t>[CELLRANGE]</a:t>
                    </a:fld>
                    <a:endParaRPr lang="en-US"/>
                  </a:p>
                </c:rich>
              </c:tx>
              <c:dLblPos val="ctr"/>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07-4483-4F48-9F0E-8373DE6362A5}"/>
                </c:ext>
              </c:extLst>
            </c:dLbl>
            <c:dLbl>
              <c:idx val="8"/>
              <c:tx>
                <c:rich>
                  <a:bodyPr/>
                  <a:lstStyle/>
                  <a:p>
                    <a:fld id="{2DF851DE-10E4-459D-9479-A4F57BDEAD9D}" type="CELLRANGE">
                      <a:rPr lang="en-US"/>
                      <a:pPr/>
                      <a:t>[CELLRANGE]</a:t>
                    </a:fld>
                    <a:endParaRPr lang="en-US"/>
                  </a:p>
                </c:rich>
              </c:tx>
              <c:dLblPos val="ctr"/>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08-4483-4F48-9F0E-8373DE6362A5}"/>
                </c:ext>
              </c:extLst>
            </c:dLbl>
            <c:dLbl>
              <c:idx val="9"/>
              <c:tx>
                <c:rich>
                  <a:bodyPr/>
                  <a:lstStyle/>
                  <a:p>
                    <a:fld id="{527372B7-257B-435F-804E-6D8DBB2970AE}" type="CELLRANGE">
                      <a:rPr lang="en-US"/>
                      <a:pPr/>
                      <a:t>[CELLRANGE]</a:t>
                    </a:fld>
                    <a:endParaRPr lang="en-US"/>
                  </a:p>
                </c:rich>
              </c:tx>
              <c:dLblPos val="ctr"/>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09-4483-4F48-9F0E-8373DE6362A5}"/>
                </c:ext>
              </c:extLst>
            </c:dLbl>
            <c:dLbl>
              <c:idx val="10"/>
              <c:tx>
                <c:rich>
                  <a:bodyPr/>
                  <a:lstStyle/>
                  <a:p>
                    <a:fld id="{CDA41C26-56C3-4D0D-BD78-F088604F2099}" type="CELLRANGE">
                      <a:rPr lang="en-US"/>
                      <a:pPr/>
                      <a:t>[CELLRANGE]</a:t>
                    </a:fld>
                    <a:endParaRPr lang="en-US"/>
                  </a:p>
                </c:rich>
              </c:tx>
              <c:dLblPos val="ctr"/>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0A-4483-4F48-9F0E-8373DE6362A5}"/>
                </c:ext>
              </c:extLst>
            </c:dLbl>
            <c:dLbl>
              <c:idx val="11"/>
              <c:tx>
                <c:rich>
                  <a:bodyPr/>
                  <a:lstStyle/>
                  <a:p>
                    <a:fld id="{AC7276E3-AF87-4C47-9F21-AA0026E725CD}" type="CELLRANGE">
                      <a:rPr lang="en-US"/>
                      <a:pPr/>
                      <a:t>[CELLRANGE]</a:t>
                    </a:fld>
                    <a:endParaRPr lang="en-US"/>
                  </a:p>
                </c:rich>
              </c:tx>
              <c:dLblPos val="ctr"/>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0B-4483-4F48-9F0E-8373DE6362A5}"/>
                </c:ext>
              </c:extLst>
            </c:dLbl>
            <c:dLbl>
              <c:idx val="12"/>
              <c:tx>
                <c:rich>
                  <a:bodyPr/>
                  <a:lstStyle/>
                  <a:p>
                    <a:fld id="{AF95F4A2-BF4A-4ED6-9B7B-168BC3666444}" type="CELLRANGE">
                      <a:rPr lang="en-US"/>
                      <a:pPr/>
                      <a:t>[CELLRANGE]</a:t>
                    </a:fld>
                    <a:endParaRPr lang="en-US"/>
                  </a:p>
                </c:rich>
              </c:tx>
              <c:dLblPos val="ctr"/>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0C-4483-4F48-9F0E-8373DE6362A5}"/>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ctr"/>
            <c:showLegendKey val="0"/>
            <c:showVal val="0"/>
            <c:showCatName val="0"/>
            <c:showSerName val="0"/>
            <c:showPercent val="0"/>
            <c:showBubbleSize val="0"/>
            <c:showLeaderLines val="0"/>
            <c:extLst>
              <c:ext xmlns:c15="http://schemas.microsoft.com/office/drawing/2012/chart" uri="{CE6537A1-D6FC-4f65-9D91-7224C49458BB}">
                <c15:showDataLabelsRange val="1"/>
                <c15:showLeaderLines val="1"/>
                <c15:leaderLines>
                  <c:spPr>
                    <a:ln w="9525" cap="flat" cmpd="sng" algn="ctr">
                      <a:solidFill>
                        <a:schemeClr val="tx1">
                          <a:lumMod val="35000"/>
                          <a:lumOff val="65000"/>
                        </a:schemeClr>
                      </a:solidFill>
                      <a:round/>
                    </a:ln>
                    <a:effectLst/>
                  </c:spPr>
                </c15:leaderLines>
              </c:ext>
            </c:extLst>
          </c:dLbls>
          <c:cat>
            <c:numRef>
              <c:f>HHIncome!$B$19:$N$19</c:f>
              <c:numCache>
                <c:formatCode>General</c:formatCode>
                <c:ptCount val="13"/>
                <c:pt idx="0">
                  <c:v>2010</c:v>
                </c:pt>
                <c:pt idx="1">
                  <c:v>2011</c:v>
                </c:pt>
                <c:pt idx="2">
                  <c:v>2012</c:v>
                </c:pt>
                <c:pt idx="3">
                  <c:v>2013</c:v>
                </c:pt>
                <c:pt idx="4">
                  <c:v>2014</c:v>
                </c:pt>
                <c:pt idx="5">
                  <c:v>2015</c:v>
                </c:pt>
                <c:pt idx="6">
                  <c:v>2016</c:v>
                </c:pt>
                <c:pt idx="7">
                  <c:v>2017</c:v>
                </c:pt>
                <c:pt idx="8">
                  <c:v>2018</c:v>
                </c:pt>
                <c:pt idx="9">
                  <c:v>2019</c:v>
                </c:pt>
                <c:pt idx="10">
                  <c:v>2020</c:v>
                </c:pt>
                <c:pt idx="11">
                  <c:v>2021</c:v>
                </c:pt>
                <c:pt idx="12">
                  <c:v>2022</c:v>
                </c:pt>
              </c:numCache>
            </c:numRef>
          </c:cat>
          <c:val>
            <c:numRef>
              <c:f>HHIncome!$B$20:$N$20</c:f>
              <c:numCache>
                <c:formatCode>General</c:formatCode>
                <c:ptCount val="13"/>
                <c:pt idx="0">
                  <c:v>4389</c:v>
                </c:pt>
                <c:pt idx="1">
                  <c:v>4472</c:v>
                </c:pt>
                <c:pt idx="2">
                  <c:v>4286</c:v>
                </c:pt>
                <c:pt idx="3">
                  <c:v>4428</c:v>
                </c:pt>
                <c:pt idx="4">
                  <c:v>4490</c:v>
                </c:pt>
                <c:pt idx="5">
                  <c:v>4459</c:v>
                </c:pt>
                <c:pt idx="6">
                  <c:v>4083</c:v>
                </c:pt>
                <c:pt idx="7">
                  <c:v>4270</c:v>
                </c:pt>
                <c:pt idx="8">
                  <c:v>4030</c:v>
                </c:pt>
                <c:pt idx="9">
                  <c:v>3725</c:v>
                </c:pt>
                <c:pt idx="10">
                  <c:v>3646</c:v>
                </c:pt>
                <c:pt idx="11">
                  <c:v>3268</c:v>
                </c:pt>
                <c:pt idx="12">
                  <c:v>2869</c:v>
                </c:pt>
              </c:numCache>
            </c:numRef>
          </c:val>
          <c:extLst>
            <c:ext xmlns:c15="http://schemas.microsoft.com/office/drawing/2012/chart" uri="{02D57815-91ED-43cb-92C2-25804820EDAC}">
              <c15:datalabelsRange>
                <c15:f>HHIncome!$B$27:$N$27</c15:f>
                <c15:dlblRangeCache>
                  <c:ptCount val="13"/>
                  <c:pt idx="0">
                    <c:v>20%</c:v>
                  </c:pt>
                  <c:pt idx="1">
                    <c:v>21%</c:v>
                  </c:pt>
                  <c:pt idx="2">
                    <c:v>20%</c:v>
                  </c:pt>
                  <c:pt idx="3">
                    <c:v>20%</c:v>
                  </c:pt>
                  <c:pt idx="4">
                    <c:v>21%</c:v>
                  </c:pt>
                  <c:pt idx="5">
                    <c:v>20%</c:v>
                  </c:pt>
                  <c:pt idx="6">
                    <c:v>19%</c:v>
                  </c:pt>
                  <c:pt idx="7">
                    <c:v>20%</c:v>
                  </c:pt>
                  <c:pt idx="8">
                    <c:v>19%</c:v>
                  </c:pt>
                  <c:pt idx="9">
                    <c:v>17%</c:v>
                  </c:pt>
                  <c:pt idx="10">
                    <c:v>16%</c:v>
                  </c:pt>
                  <c:pt idx="11">
                    <c:v>14%</c:v>
                  </c:pt>
                  <c:pt idx="12">
                    <c:v>12%</c:v>
                  </c:pt>
                </c15:dlblRangeCache>
              </c15:datalabelsRange>
            </c:ext>
            <c:ext xmlns:c16="http://schemas.microsoft.com/office/drawing/2014/chart" uri="{C3380CC4-5D6E-409C-BE32-E72D297353CC}">
              <c16:uniqueId val="{0000000D-4483-4F48-9F0E-8373DE6362A5}"/>
            </c:ext>
          </c:extLst>
        </c:ser>
        <c:ser>
          <c:idx val="1"/>
          <c:order val="1"/>
          <c:tx>
            <c:strRef>
              <c:f>HHIncome!$A$21</c:f>
              <c:strCache>
                <c:ptCount val="1"/>
                <c:pt idx="0">
                  <c:v>$25-50k</c:v>
                </c:pt>
              </c:strCache>
            </c:strRef>
          </c:tx>
          <c:spPr>
            <a:solidFill>
              <a:schemeClr val="accent2"/>
            </a:solidFill>
            <a:ln>
              <a:noFill/>
            </a:ln>
            <a:effectLst/>
          </c:spPr>
          <c:invertIfNegative val="0"/>
          <c:dLbls>
            <c:dLbl>
              <c:idx val="0"/>
              <c:tx>
                <c:rich>
                  <a:bodyPr/>
                  <a:lstStyle/>
                  <a:p>
                    <a:fld id="{8E5F32FB-FA57-434F-A6F0-64C621F88D2C}" type="CELLRANGE">
                      <a:rPr lang="en-US"/>
                      <a:pPr/>
                      <a:t>[CELLRANGE]</a:t>
                    </a:fld>
                    <a:endParaRPr lang="en-US"/>
                  </a:p>
                </c:rich>
              </c:tx>
              <c:dLblPos val="ctr"/>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0E-4483-4F48-9F0E-8373DE6362A5}"/>
                </c:ext>
              </c:extLst>
            </c:dLbl>
            <c:dLbl>
              <c:idx val="1"/>
              <c:tx>
                <c:rich>
                  <a:bodyPr/>
                  <a:lstStyle/>
                  <a:p>
                    <a:fld id="{40DE140B-3CCE-4C3F-88FB-4A4DB41960D1}" type="CELLRANGE">
                      <a:rPr lang="en-US"/>
                      <a:pPr/>
                      <a:t>[CELLRANGE]</a:t>
                    </a:fld>
                    <a:endParaRPr lang="en-US"/>
                  </a:p>
                </c:rich>
              </c:tx>
              <c:dLblPos val="ctr"/>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0F-4483-4F48-9F0E-8373DE6362A5}"/>
                </c:ext>
              </c:extLst>
            </c:dLbl>
            <c:dLbl>
              <c:idx val="2"/>
              <c:tx>
                <c:rich>
                  <a:bodyPr/>
                  <a:lstStyle/>
                  <a:p>
                    <a:fld id="{2ED7854E-796C-4DEA-BABA-118E233719AC}" type="CELLRANGE">
                      <a:rPr lang="en-US"/>
                      <a:pPr/>
                      <a:t>[CELLRANGE]</a:t>
                    </a:fld>
                    <a:endParaRPr lang="en-US"/>
                  </a:p>
                </c:rich>
              </c:tx>
              <c:dLblPos val="ctr"/>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10-4483-4F48-9F0E-8373DE6362A5}"/>
                </c:ext>
              </c:extLst>
            </c:dLbl>
            <c:dLbl>
              <c:idx val="3"/>
              <c:tx>
                <c:rich>
                  <a:bodyPr/>
                  <a:lstStyle/>
                  <a:p>
                    <a:fld id="{682FA58E-1830-43F7-A38F-CF017E3E43D1}" type="CELLRANGE">
                      <a:rPr lang="en-US"/>
                      <a:pPr/>
                      <a:t>[CELLRANGE]</a:t>
                    </a:fld>
                    <a:endParaRPr lang="en-US"/>
                  </a:p>
                </c:rich>
              </c:tx>
              <c:dLblPos val="ctr"/>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11-4483-4F48-9F0E-8373DE6362A5}"/>
                </c:ext>
              </c:extLst>
            </c:dLbl>
            <c:dLbl>
              <c:idx val="4"/>
              <c:tx>
                <c:rich>
                  <a:bodyPr/>
                  <a:lstStyle/>
                  <a:p>
                    <a:fld id="{E9578CB2-2439-44B7-9EA0-81E6487999AD}" type="CELLRANGE">
                      <a:rPr lang="en-US"/>
                      <a:pPr/>
                      <a:t>[CELLRANGE]</a:t>
                    </a:fld>
                    <a:endParaRPr lang="en-US"/>
                  </a:p>
                </c:rich>
              </c:tx>
              <c:dLblPos val="ctr"/>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12-4483-4F48-9F0E-8373DE6362A5}"/>
                </c:ext>
              </c:extLst>
            </c:dLbl>
            <c:dLbl>
              <c:idx val="5"/>
              <c:tx>
                <c:rich>
                  <a:bodyPr/>
                  <a:lstStyle/>
                  <a:p>
                    <a:fld id="{69031C28-88EE-42AC-8AFC-5FF1FDFA93AD}" type="CELLRANGE">
                      <a:rPr lang="en-US"/>
                      <a:pPr/>
                      <a:t>[CELLRANGE]</a:t>
                    </a:fld>
                    <a:endParaRPr lang="en-US"/>
                  </a:p>
                </c:rich>
              </c:tx>
              <c:dLblPos val="ctr"/>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13-4483-4F48-9F0E-8373DE6362A5}"/>
                </c:ext>
              </c:extLst>
            </c:dLbl>
            <c:dLbl>
              <c:idx val="6"/>
              <c:tx>
                <c:rich>
                  <a:bodyPr/>
                  <a:lstStyle/>
                  <a:p>
                    <a:fld id="{F54215E3-1238-41FA-AD94-2BA0C4293545}" type="CELLRANGE">
                      <a:rPr lang="en-US"/>
                      <a:pPr/>
                      <a:t>[CELLRANGE]</a:t>
                    </a:fld>
                    <a:endParaRPr lang="en-US"/>
                  </a:p>
                </c:rich>
              </c:tx>
              <c:dLblPos val="ctr"/>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14-4483-4F48-9F0E-8373DE6362A5}"/>
                </c:ext>
              </c:extLst>
            </c:dLbl>
            <c:dLbl>
              <c:idx val="7"/>
              <c:tx>
                <c:rich>
                  <a:bodyPr/>
                  <a:lstStyle/>
                  <a:p>
                    <a:fld id="{74CB7647-9599-4613-B45B-ACFDE814A3F7}" type="CELLRANGE">
                      <a:rPr lang="en-US"/>
                      <a:pPr/>
                      <a:t>[CELLRANGE]</a:t>
                    </a:fld>
                    <a:endParaRPr lang="en-US"/>
                  </a:p>
                </c:rich>
              </c:tx>
              <c:dLblPos val="ctr"/>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15-4483-4F48-9F0E-8373DE6362A5}"/>
                </c:ext>
              </c:extLst>
            </c:dLbl>
            <c:dLbl>
              <c:idx val="8"/>
              <c:tx>
                <c:rich>
                  <a:bodyPr/>
                  <a:lstStyle/>
                  <a:p>
                    <a:fld id="{2503C74F-27F4-4816-9580-1D91D3426CAA}" type="CELLRANGE">
                      <a:rPr lang="en-US"/>
                      <a:pPr/>
                      <a:t>[CELLRANGE]</a:t>
                    </a:fld>
                    <a:endParaRPr lang="en-US"/>
                  </a:p>
                </c:rich>
              </c:tx>
              <c:dLblPos val="ctr"/>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16-4483-4F48-9F0E-8373DE6362A5}"/>
                </c:ext>
              </c:extLst>
            </c:dLbl>
            <c:dLbl>
              <c:idx val="9"/>
              <c:tx>
                <c:rich>
                  <a:bodyPr/>
                  <a:lstStyle/>
                  <a:p>
                    <a:fld id="{A2946CD2-64B0-4CA8-8AC4-6D1F7F1C92FB}" type="CELLRANGE">
                      <a:rPr lang="en-US"/>
                      <a:pPr/>
                      <a:t>[CELLRANGE]</a:t>
                    </a:fld>
                    <a:endParaRPr lang="en-US"/>
                  </a:p>
                </c:rich>
              </c:tx>
              <c:dLblPos val="ctr"/>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17-4483-4F48-9F0E-8373DE6362A5}"/>
                </c:ext>
              </c:extLst>
            </c:dLbl>
            <c:dLbl>
              <c:idx val="10"/>
              <c:tx>
                <c:rich>
                  <a:bodyPr/>
                  <a:lstStyle/>
                  <a:p>
                    <a:fld id="{BF3D7F47-761D-4482-B52B-F1549F111416}" type="CELLRANGE">
                      <a:rPr lang="en-US"/>
                      <a:pPr/>
                      <a:t>[CELLRANGE]</a:t>
                    </a:fld>
                    <a:endParaRPr lang="en-US"/>
                  </a:p>
                </c:rich>
              </c:tx>
              <c:dLblPos val="ctr"/>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18-4483-4F48-9F0E-8373DE6362A5}"/>
                </c:ext>
              </c:extLst>
            </c:dLbl>
            <c:dLbl>
              <c:idx val="11"/>
              <c:tx>
                <c:rich>
                  <a:bodyPr/>
                  <a:lstStyle/>
                  <a:p>
                    <a:fld id="{172CC32B-D63F-463D-8829-BC9568EB0E20}" type="CELLRANGE">
                      <a:rPr lang="en-US"/>
                      <a:pPr/>
                      <a:t>[CELLRANGE]</a:t>
                    </a:fld>
                    <a:endParaRPr lang="en-US"/>
                  </a:p>
                </c:rich>
              </c:tx>
              <c:dLblPos val="ctr"/>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19-4483-4F48-9F0E-8373DE6362A5}"/>
                </c:ext>
              </c:extLst>
            </c:dLbl>
            <c:dLbl>
              <c:idx val="12"/>
              <c:tx>
                <c:rich>
                  <a:bodyPr/>
                  <a:lstStyle/>
                  <a:p>
                    <a:fld id="{21162849-B4AC-4160-BA54-5BB5346E100D}" type="CELLRANGE">
                      <a:rPr lang="en-US"/>
                      <a:pPr/>
                      <a:t>[CELLRANGE]</a:t>
                    </a:fld>
                    <a:endParaRPr lang="en-US"/>
                  </a:p>
                </c:rich>
              </c:tx>
              <c:dLblPos val="ctr"/>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1A-4483-4F48-9F0E-8373DE6362A5}"/>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ctr"/>
            <c:showLegendKey val="0"/>
            <c:showVal val="0"/>
            <c:showCatName val="0"/>
            <c:showSerName val="0"/>
            <c:showPercent val="0"/>
            <c:showBubbleSize val="0"/>
            <c:showLeaderLines val="0"/>
            <c:extLst>
              <c:ext xmlns:c15="http://schemas.microsoft.com/office/drawing/2012/chart" uri="{CE6537A1-D6FC-4f65-9D91-7224C49458BB}">
                <c15:showDataLabelsRange val="1"/>
                <c15:showLeaderLines val="1"/>
                <c15:leaderLines>
                  <c:spPr>
                    <a:ln w="9525" cap="flat" cmpd="sng" algn="ctr">
                      <a:solidFill>
                        <a:schemeClr val="tx1">
                          <a:lumMod val="35000"/>
                          <a:lumOff val="65000"/>
                        </a:schemeClr>
                      </a:solidFill>
                      <a:round/>
                    </a:ln>
                    <a:effectLst/>
                  </c:spPr>
                </c15:leaderLines>
              </c:ext>
            </c:extLst>
          </c:dLbls>
          <c:cat>
            <c:numRef>
              <c:f>HHIncome!$B$19:$N$19</c:f>
              <c:numCache>
                <c:formatCode>General</c:formatCode>
                <c:ptCount val="13"/>
                <c:pt idx="0">
                  <c:v>2010</c:v>
                </c:pt>
                <c:pt idx="1">
                  <c:v>2011</c:v>
                </c:pt>
                <c:pt idx="2">
                  <c:v>2012</c:v>
                </c:pt>
                <c:pt idx="3">
                  <c:v>2013</c:v>
                </c:pt>
                <c:pt idx="4">
                  <c:v>2014</c:v>
                </c:pt>
                <c:pt idx="5">
                  <c:v>2015</c:v>
                </c:pt>
                <c:pt idx="6">
                  <c:v>2016</c:v>
                </c:pt>
                <c:pt idx="7">
                  <c:v>2017</c:v>
                </c:pt>
                <c:pt idx="8">
                  <c:v>2018</c:v>
                </c:pt>
                <c:pt idx="9">
                  <c:v>2019</c:v>
                </c:pt>
                <c:pt idx="10">
                  <c:v>2020</c:v>
                </c:pt>
                <c:pt idx="11">
                  <c:v>2021</c:v>
                </c:pt>
                <c:pt idx="12">
                  <c:v>2022</c:v>
                </c:pt>
              </c:numCache>
            </c:numRef>
          </c:cat>
          <c:val>
            <c:numRef>
              <c:f>HHIncome!$B$21:$N$21</c:f>
              <c:numCache>
                <c:formatCode>General</c:formatCode>
                <c:ptCount val="13"/>
                <c:pt idx="0">
                  <c:v>5448</c:v>
                </c:pt>
                <c:pt idx="1">
                  <c:v>5573</c:v>
                </c:pt>
                <c:pt idx="2">
                  <c:v>5672</c:v>
                </c:pt>
                <c:pt idx="3">
                  <c:v>5711</c:v>
                </c:pt>
                <c:pt idx="4">
                  <c:v>5716</c:v>
                </c:pt>
                <c:pt idx="5">
                  <c:v>5507</c:v>
                </c:pt>
                <c:pt idx="6">
                  <c:v>5235</c:v>
                </c:pt>
                <c:pt idx="7">
                  <c:v>4840</c:v>
                </c:pt>
                <c:pt idx="8">
                  <c:v>4637</c:v>
                </c:pt>
                <c:pt idx="9">
                  <c:v>4654</c:v>
                </c:pt>
                <c:pt idx="10">
                  <c:v>4614</c:v>
                </c:pt>
                <c:pt idx="11">
                  <c:v>4058</c:v>
                </c:pt>
                <c:pt idx="12">
                  <c:v>3774</c:v>
                </c:pt>
              </c:numCache>
            </c:numRef>
          </c:val>
          <c:extLst>
            <c:ext xmlns:c15="http://schemas.microsoft.com/office/drawing/2012/chart" uri="{02D57815-91ED-43cb-92C2-25804820EDAC}">
              <c15:datalabelsRange>
                <c15:f>HHIncome!$B$28:$N$28</c15:f>
                <c15:dlblRangeCache>
                  <c:ptCount val="13"/>
                  <c:pt idx="0">
                    <c:v>25%</c:v>
                  </c:pt>
                  <c:pt idx="1">
                    <c:v>26%</c:v>
                  </c:pt>
                  <c:pt idx="2">
                    <c:v>26%</c:v>
                  </c:pt>
                  <c:pt idx="3">
                    <c:v>26%</c:v>
                  </c:pt>
                  <c:pt idx="4">
                    <c:v>26%</c:v>
                  </c:pt>
                  <c:pt idx="5">
                    <c:v>25%</c:v>
                  </c:pt>
                  <c:pt idx="6">
                    <c:v>25%</c:v>
                  </c:pt>
                  <c:pt idx="7">
                    <c:v>22%</c:v>
                  </c:pt>
                  <c:pt idx="8">
                    <c:v>21%</c:v>
                  </c:pt>
                  <c:pt idx="9">
                    <c:v>21%</c:v>
                  </c:pt>
                  <c:pt idx="10">
                    <c:v>20%</c:v>
                  </c:pt>
                  <c:pt idx="11">
                    <c:v>17%</c:v>
                  </c:pt>
                  <c:pt idx="12">
                    <c:v>16%</c:v>
                  </c:pt>
                </c15:dlblRangeCache>
              </c15:datalabelsRange>
            </c:ext>
            <c:ext xmlns:c16="http://schemas.microsoft.com/office/drawing/2014/chart" uri="{C3380CC4-5D6E-409C-BE32-E72D297353CC}">
              <c16:uniqueId val="{0000001B-4483-4F48-9F0E-8373DE6362A5}"/>
            </c:ext>
          </c:extLst>
        </c:ser>
        <c:ser>
          <c:idx val="2"/>
          <c:order val="2"/>
          <c:tx>
            <c:strRef>
              <c:f>HHIncome!$A$22</c:f>
              <c:strCache>
                <c:ptCount val="1"/>
                <c:pt idx="0">
                  <c:v>$50-100k</c:v>
                </c:pt>
              </c:strCache>
            </c:strRef>
          </c:tx>
          <c:spPr>
            <a:solidFill>
              <a:schemeClr val="accent3"/>
            </a:solidFill>
            <a:ln>
              <a:noFill/>
            </a:ln>
            <a:effectLst/>
          </c:spPr>
          <c:invertIfNegative val="0"/>
          <c:dLbls>
            <c:dLbl>
              <c:idx val="0"/>
              <c:tx>
                <c:rich>
                  <a:bodyPr/>
                  <a:lstStyle/>
                  <a:p>
                    <a:fld id="{11B98C4C-3A26-48C9-A740-57012F8DD2C8}" type="CELLRANGE">
                      <a:rPr lang="en-US"/>
                      <a:pPr/>
                      <a:t>[CELLRANGE]</a:t>
                    </a:fld>
                    <a:endParaRPr lang="en-US"/>
                  </a:p>
                </c:rich>
              </c:tx>
              <c:dLblPos val="ctr"/>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1C-4483-4F48-9F0E-8373DE6362A5}"/>
                </c:ext>
              </c:extLst>
            </c:dLbl>
            <c:dLbl>
              <c:idx val="1"/>
              <c:tx>
                <c:rich>
                  <a:bodyPr/>
                  <a:lstStyle/>
                  <a:p>
                    <a:fld id="{35634800-BACE-4E35-BBDC-D79130B331B7}" type="CELLRANGE">
                      <a:rPr lang="en-US"/>
                      <a:pPr/>
                      <a:t>[CELLRANGE]</a:t>
                    </a:fld>
                    <a:endParaRPr lang="en-US"/>
                  </a:p>
                </c:rich>
              </c:tx>
              <c:dLblPos val="ctr"/>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1D-4483-4F48-9F0E-8373DE6362A5}"/>
                </c:ext>
              </c:extLst>
            </c:dLbl>
            <c:dLbl>
              <c:idx val="2"/>
              <c:tx>
                <c:rich>
                  <a:bodyPr/>
                  <a:lstStyle/>
                  <a:p>
                    <a:fld id="{00EE1C6C-098E-4183-9857-DA78D5427073}" type="CELLRANGE">
                      <a:rPr lang="en-US"/>
                      <a:pPr/>
                      <a:t>[CELLRANGE]</a:t>
                    </a:fld>
                    <a:endParaRPr lang="en-US"/>
                  </a:p>
                </c:rich>
              </c:tx>
              <c:dLblPos val="ctr"/>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1E-4483-4F48-9F0E-8373DE6362A5}"/>
                </c:ext>
              </c:extLst>
            </c:dLbl>
            <c:dLbl>
              <c:idx val="3"/>
              <c:tx>
                <c:rich>
                  <a:bodyPr/>
                  <a:lstStyle/>
                  <a:p>
                    <a:fld id="{E36D8013-5D67-412F-90FE-A67D9D5B70D6}" type="CELLRANGE">
                      <a:rPr lang="en-US"/>
                      <a:pPr/>
                      <a:t>[CELLRANGE]</a:t>
                    </a:fld>
                    <a:endParaRPr lang="en-US"/>
                  </a:p>
                </c:rich>
              </c:tx>
              <c:dLblPos val="ctr"/>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1F-4483-4F48-9F0E-8373DE6362A5}"/>
                </c:ext>
              </c:extLst>
            </c:dLbl>
            <c:dLbl>
              <c:idx val="4"/>
              <c:tx>
                <c:rich>
                  <a:bodyPr/>
                  <a:lstStyle/>
                  <a:p>
                    <a:fld id="{3A8E8306-06DE-497E-881E-B6FBFD49C16C}" type="CELLRANGE">
                      <a:rPr lang="en-US"/>
                      <a:pPr/>
                      <a:t>[CELLRANGE]</a:t>
                    </a:fld>
                    <a:endParaRPr lang="en-US"/>
                  </a:p>
                </c:rich>
              </c:tx>
              <c:dLblPos val="ctr"/>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20-4483-4F48-9F0E-8373DE6362A5}"/>
                </c:ext>
              </c:extLst>
            </c:dLbl>
            <c:dLbl>
              <c:idx val="5"/>
              <c:tx>
                <c:rich>
                  <a:bodyPr/>
                  <a:lstStyle/>
                  <a:p>
                    <a:fld id="{8D770977-9826-415B-8451-AD6D748E4540}" type="CELLRANGE">
                      <a:rPr lang="en-US"/>
                      <a:pPr/>
                      <a:t>[CELLRANGE]</a:t>
                    </a:fld>
                    <a:endParaRPr lang="en-US"/>
                  </a:p>
                </c:rich>
              </c:tx>
              <c:dLblPos val="ctr"/>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21-4483-4F48-9F0E-8373DE6362A5}"/>
                </c:ext>
              </c:extLst>
            </c:dLbl>
            <c:dLbl>
              <c:idx val="6"/>
              <c:tx>
                <c:rich>
                  <a:bodyPr/>
                  <a:lstStyle/>
                  <a:p>
                    <a:fld id="{760CA7A4-F165-43A6-8A53-A3A1FABCE74E}" type="CELLRANGE">
                      <a:rPr lang="en-US"/>
                      <a:pPr/>
                      <a:t>[CELLRANGE]</a:t>
                    </a:fld>
                    <a:endParaRPr lang="en-US"/>
                  </a:p>
                </c:rich>
              </c:tx>
              <c:dLblPos val="ctr"/>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22-4483-4F48-9F0E-8373DE6362A5}"/>
                </c:ext>
              </c:extLst>
            </c:dLbl>
            <c:dLbl>
              <c:idx val="7"/>
              <c:tx>
                <c:rich>
                  <a:bodyPr/>
                  <a:lstStyle/>
                  <a:p>
                    <a:fld id="{14867D40-5D1D-4301-BE33-EC0B6532454D}" type="CELLRANGE">
                      <a:rPr lang="en-US"/>
                      <a:pPr/>
                      <a:t>[CELLRANGE]</a:t>
                    </a:fld>
                    <a:endParaRPr lang="en-US"/>
                  </a:p>
                </c:rich>
              </c:tx>
              <c:dLblPos val="ctr"/>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23-4483-4F48-9F0E-8373DE6362A5}"/>
                </c:ext>
              </c:extLst>
            </c:dLbl>
            <c:dLbl>
              <c:idx val="8"/>
              <c:tx>
                <c:rich>
                  <a:bodyPr/>
                  <a:lstStyle/>
                  <a:p>
                    <a:fld id="{D25272A8-66CF-4A3D-BD6C-0C0050147F11}" type="CELLRANGE">
                      <a:rPr lang="en-US"/>
                      <a:pPr/>
                      <a:t>[CELLRANGE]</a:t>
                    </a:fld>
                    <a:endParaRPr lang="en-US"/>
                  </a:p>
                </c:rich>
              </c:tx>
              <c:dLblPos val="ctr"/>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24-4483-4F48-9F0E-8373DE6362A5}"/>
                </c:ext>
              </c:extLst>
            </c:dLbl>
            <c:dLbl>
              <c:idx val="9"/>
              <c:tx>
                <c:rich>
                  <a:bodyPr/>
                  <a:lstStyle/>
                  <a:p>
                    <a:fld id="{015BDF5A-BC11-4A0C-A072-947489E1789E}" type="CELLRANGE">
                      <a:rPr lang="en-US"/>
                      <a:pPr/>
                      <a:t>[CELLRANGE]</a:t>
                    </a:fld>
                    <a:endParaRPr lang="en-US"/>
                  </a:p>
                </c:rich>
              </c:tx>
              <c:dLblPos val="ctr"/>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25-4483-4F48-9F0E-8373DE6362A5}"/>
                </c:ext>
              </c:extLst>
            </c:dLbl>
            <c:dLbl>
              <c:idx val="10"/>
              <c:tx>
                <c:rich>
                  <a:bodyPr/>
                  <a:lstStyle/>
                  <a:p>
                    <a:fld id="{76E119C3-7F57-4826-BDC3-845813605CAD}" type="CELLRANGE">
                      <a:rPr lang="en-US"/>
                      <a:pPr/>
                      <a:t>[CELLRANGE]</a:t>
                    </a:fld>
                    <a:endParaRPr lang="en-US"/>
                  </a:p>
                </c:rich>
              </c:tx>
              <c:dLblPos val="ctr"/>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26-4483-4F48-9F0E-8373DE6362A5}"/>
                </c:ext>
              </c:extLst>
            </c:dLbl>
            <c:dLbl>
              <c:idx val="11"/>
              <c:tx>
                <c:rich>
                  <a:bodyPr/>
                  <a:lstStyle/>
                  <a:p>
                    <a:fld id="{E9708950-186E-4599-B372-D55EC1DAFB40}" type="CELLRANGE">
                      <a:rPr lang="en-US"/>
                      <a:pPr/>
                      <a:t>[CELLRANGE]</a:t>
                    </a:fld>
                    <a:endParaRPr lang="en-US"/>
                  </a:p>
                </c:rich>
              </c:tx>
              <c:dLblPos val="ctr"/>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27-4483-4F48-9F0E-8373DE6362A5}"/>
                </c:ext>
              </c:extLst>
            </c:dLbl>
            <c:dLbl>
              <c:idx val="12"/>
              <c:tx>
                <c:rich>
                  <a:bodyPr/>
                  <a:lstStyle/>
                  <a:p>
                    <a:fld id="{02C87F7F-BFF3-475D-AF26-766683523A58}" type="CELLRANGE">
                      <a:rPr lang="en-US"/>
                      <a:pPr/>
                      <a:t>[CELLRANGE]</a:t>
                    </a:fld>
                    <a:endParaRPr lang="en-US"/>
                  </a:p>
                </c:rich>
              </c:tx>
              <c:dLblPos val="ctr"/>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28-4483-4F48-9F0E-8373DE6362A5}"/>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ctr"/>
            <c:showLegendKey val="0"/>
            <c:showVal val="0"/>
            <c:showCatName val="0"/>
            <c:showSerName val="0"/>
            <c:showPercent val="0"/>
            <c:showBubbleSize val="0"/>
            <c:showLeaderLines val="0"/>
            <c:extLst>
              <c:ext xmlns:c15="http://schemas.microsoft.com/office/drawing/2012/chart" uri="{CE6537A1-D6FC-4f65-9D91-7224C49458BB}">
                <c15:showDataLabelsRange val="1"/>
                <c15:showLeaderLines val="1"/>
                <c15:leaderLines>
                  <c:spPr>
                    <a:ln w="9525" cap="flat" cmpd="sng" algn="ctr">
                      <a:solidFill>
                        <a:schemeClr val="tx1">
                          <a:lumMod val="35000"/>
                          <a:lumOff val="65000"/>
                        </a:schemeClr>
                      </a:solidFill>
                      <a:round/>
                    </a:ln>
                    <a:effectLst/>
                  </c:spPr>
                </c15:leaderLines>
              </c:ext>
            </c:extLst>
          </c:dLbls>
          <c:cat>
            <c:numRef>
              <c:f>HHIncome!$B$19:$N$19</c:f>
              <c:numCache>
                <c:formatCode>General</c:formatCode>
                <c:ptCount val="13"/>
                <c:pt idx="0">
                  <c:v>2010</c:v>
                </c:pt>
                <c:pt idx="1">
                  <c:v>2011</c:v>
                </c:pt>
                <c:pt idx="2">
                  <c:v>2012</c:v>
                </c:pt>
                <c:pt idx="3">
                  <c:v>2013</c:v>
                </c:pt>
                <c:pt idx="4">
                  <c:v>2014</c:v>
                </c:pt>
                <c:pt idx="5">
                  <c:v>2015</c:v>
                </c:pt>
                <c:pt idx="6">
                  <c:v>2016</c:v>
                </c:pt>
                <c:pt idx="7">
                  <c:v>2017</c:v>
                </c:pt>
                <c:pt idx="8">
                  <c:v>2018</c:v>
                </c:pt>
                <c:pt idx="9">
                  <c:v>2019</c:v>
                </c:pt>
                <c:pt idx="10">
                  <c:v>2020</c:v>
                </c:pt>
                <c:pt idx="11">
                  <c:v>2021</c:v>
                </c:pt>
                <c:pt idx="12">
                  <c:v>2022</c:v>
                </c:pt>
              </c:numCache>
            </c:numRef>
          </c:cat>
          <c:val>
            <c:numRef>
              <c:f>HHIncome!$B$22:$N$22</c:f>
              <c:numCache>
                <c:formatCode>General</c:formatCode>
                <c:ptCount val="13"/>
                <c:pt idx="0">
                  <c:v>7045</c:v>
                </c:pt>
                <c:pt idx="1">
                  <c:v>6755</c:v>
                </c:pt>
                <c:pt idx="2">
                  <c:v>6420</c:v>
                </c:pt>
                <c:pt idx="3">
                  <c:v>6448</c:v>
                </c:pt>
                <c:pt idx="4">
                  <c:v>6084</c:v>
                </c:pt>
                <c:pt idx="5">
                  <c:v>6061</c:v>
                </c:pt>
                <c:pt idx="6">
                  <c:v>5911</c:v>
                </c:pt>
                <c:pt idx="7">
                  <c:v>6531</c:v>
                </c:pt>
                <c:pt idx="8">
                  <c:v>6527</c:v>
                </c:pt>
                <c:pt idx="9">
                  <c:v>6763</c:v>
                </c:pt>
                <c:pt idx="10">
                  <c:v>6464</c:v>
                </c:pt>
                <c:pt idx="11">
                  <c:v>6385</c:v>
                </c:pt>
                <c:pt idx="12">
                  <c:v>6048</c:v>
                </c:pt>
              </c:numCache>
            </c:numRef>
          </c:val>
          <c:extLst>
            <c:ext xmlns:c15="http://schemas.microsoft.com/office/drawing/2012/chart" uri="{02D57815-91ED-43cb-92C2-25804820EDAC}">
              <c15:datalabelsRange>
                <c15:f>HHIncome!$B$29:$N$29</c15:f>
                <c15:dlblRangeCache>
                  <c:ptCount val="13"/>
                  <c:pt idx="0">
                    <c:v>32%</c:v>
                  </c:pt>
                  <c:pt idx="1">
                    <c:v>31%</c:v>
                  </c:pt>
                  <c:pt idx="2">
                    <c:v>30%</c:v>
                  </c:pt>
                  <c:pt idx="3">
                    <c:v>30%</c:v>
                  </c:pt>
                  <c:pt idx="4">
                    <c:v>28%</c:v>
                  </c:pt>
                  <c:pt idx="5">
                    <c:v>28%</c:v>
                  </c:pt>
                  <c:pt idx="6">
                    <c:v>28%</c:v>
                  </c:pt>
                  <c:pt idx="7">
                    <c:v>30%</c:v>
                  </c:pt>
                  <c:pt idx="8">
                    <c:v>30%</c:v>
                  </c:pt>
                  <c:pt idx="9">
                    <c:v>31%</c:v>
                  </c:pt>
                  <c:pt idx="10">
                    <c:v>28%</c:v>
                  </c:pt>
                  <c:pt idx="11">
                    <c:v>27%</c:v>
                  </c:pt>
                  <c:pt idx="12">
                    <c:v>26%</c:v>
                  </c:pt>
                </c15:dlblRangeCache>
              </c15:datalabelsRange>
            </c:ext>
            <c:ext xmlns:c16="http://schemas.microsoft.com/office/drawing/2014/chart" uri="{C3380CC4-5D6E-409C-BE32-E72D297353CC}">
              <c16:uniqueId val="{00000029-4483-4F48-9F0E-8373DE6362A5}"/>
            </c:ext>
          </c:extLst>
        </c:ser>
        <c:ser>
          <c:idx val="3"/>
          <c:order val="3"/>
          <c:tx>
            <c:strRef>
              <c:f>HHIncome!$A$23</c:f>
              <c:strCache>
                <c:ptCount val="1"/>
                <c:pt idx="0">
                  <c:v>$100-200k</c:v>
                </c:pt>
              </c:strCache>
            </c:strRef>
          </c:tx>
          <c:spPr>
            <a:solidFill>
              <a:schemeClr val="accent4"/>
            </a:solidFill>
            <a:ln>
              <a:noFill/>
            </a:ln>
            <a:effectLst/>
          </c:spPr>
          <c:invertIfNegative val="0"/>
          <c:dLbls>
            <c:dLbl>
              <c:idx val="0"/>
              <c:tx>
                <c:rich>
                  <a:bodyPr/>
                  <a:lstStyle/>
                  <a:p>
                    <a:fld id="{D7AFB218-D67D-4B01-964A-CAC597BDD3E8}" type="CELLRANGE">
                      <a:rPr lang="en-US"/>
                      <a:pPr/>
                      <a:t>[CELLRANGE]</a:t>
                    </a:fld>
                    <a:endParaRPr lang="en-US"/>
                  </a:p>
                </c:rich>
              </c:tx>
              <c:dLblPos val="ctr"/>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2A-4483-4F48-9F0E-8373DE6362A5}"/>
                </c:ext>
              </c:extLst>
            </c:dLbl>
            <c:dLbl>
              <c:idx val="1"/>
              <c:tx>
                <c:rich>
                  <a:bodyPr/>
                  <a:lstStyle/>
                  <a:p>
                    <a:fld id="{7A0895B2-D99B-443C-AF9A-D2862671E25D}" type="CELLRANGE">
                      <a:rPr lang="en-US"/>
                      <a:pPr/>
                      <a:t>[CELLRANGE]</a:t>
                    </a:fld>
                    <a:endParaRPr lang="en-US"/>
                  </a:p>
                </c:rich>
              </c:tx>
              <c:dLblPos val="ctr"/>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2B-4483-4F48-9F0E-8373DE6362A5}"/>
                </c:ext>
              </c:extLst>
            </c:dLbl>
            <c:dLbl>
              <c:idx val="2"/>
              <c:tx>
                <c:rich>
                  <a:bodyPr/>
                  <a:lstStyle/>
                  <a:p>
                    <a:fld id="{18636292-4CFA-4FDE-B2F7-C6C41CBE69CC}" type="CELLRANGE">
                      <a:rPr lang="en-US"/>
                      <a:pPr/>
                      <a:t>[CELLRANGE]</a:t>
                    </a:fld>
                    <a:endParaRPr lang="en-US"/>
                  </a:p>
                </c:rich>
              </c:tx>
              <c:dLblPos val="ctr"/>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2C-4483-4F48-9F0E-8373DE6362A5}"/>
                </c:ext>
              </c:extLst>
            </c:dLbl>
            <c:dLbl>
              <c:idx val="3"/>
              <c:tx>
                <c:rich>
                  <a:bodyPr/>
                  <a:lstStyle/>
                  <a:p>
                    <a:fld id="{275EDE43-B0A1-4716-934C-13781AC2F865}" type="CELLRANGE">
                      <a:rPr lang="en-US"/>
                      <a:pPr/>
                      <a:t>[CELLRANGE]</a:t>
                    </a:fld>
                    <a:endParaRPr lang="en-US"/>
                  </a:p>
                </c:rich>
              </c:tx>
              <c:dLblPos val="ctr"/>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2D-4483-4F48-9F0E-8373DE6362A5}"/>
                </c:ext>
              </c:extLst>
            </c:dLbl>
            <c:dLbl>
              <c:idx val="4"/>
              <c:tx>
                <c:rich>
                  <a:bodyPr/>
                  <a:lstStyle/>
                  <a:p>
                    <a:fld id="{01817108-9795-4428-B844-031F4A73127C}" type="CELLRANGE">
                      <a:rPr lang="en-US"/>
                      <a:pPr/>
                      <a:t>[CELLRANGE]</a:t>
                    </a:fld>
                    <a:endParaRPr lang="en-US"/>
                  </a:p>
                </c:rich>
              </c:tx>
              <c:dLblPos val="ctr"/>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2E-4483-4F48-9F0E-8373DE6362A5}"/>
                </c:ext>
              </c:extLst>
            </c:dLbl>
            <c:dLbl>
              <c:idx val="5"/>
              <c:tx>
                <c:rich>
                  <a:bodyPr/>
                  <a:lstStyle/>
                  <a:p>
                    <a:fld id="{23480A46-FDAC-48ED-BF30-488B146EBB6D}" type="CELLRANGE">
                      <a:rPr lang="en-US"/>
                      <a:pPr/>
                      <a:t>[CELLRANGE]</a:t>
                    </a:fld>
                    <a:endParaRPr lang="en-US"/>
                  </a:p>
                </c:rich>
              </c:tx>
              <c:dLblPos val="ctr"/>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2F-4483-4F48-9F0E-8373DE6362A5}"/>
                </c:ext>
              </c:extLst>
            </c:dLbl>
            <c:dLbl>
              <c:idx val="6"/>
              <c:tx>
                <c:rich>
                  <a:bodyPr/>
                  <a:lstStyle/>
                  <a:p>
                    <a:fld id="{1FC7848A-A7DC-4650-AEC9-A2DA6B34BB8F}" type="CELLRANGE">
                      <a:rPr lang="en-US"/>
                      <a:pPr/>
                      <a:t>[CELLRANGE]</a:t>
                    </a:fld>
                    <a:endParaRPr lang="en-US"/>
                  </a:p>
                </c:rich>
              </c:tx>
              <c:dLblPos val="ctr"/>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30-4483-4F48-9F0E-8373DE6362A5}"/>
                </c:ext>
              </c:extLst>
            </c:dLbl>
            <c:dLbl>
              <c:idx val="7"/>
              <c:tx>
                <c:rich>
                  <a:bodyPr/>
                  <a:lstStyle/>
                  <a:p>
                    <a:fld id="{8165FA76-0451-4BAF-8AEB-A14D3EFD5297}" type="CELLRANGE">
                      <a:rPr lang="en-US"/>
                      <a:pPr/>
                      <a:t>[CELLRANGE]</a:t>
                    </a:fld>
                    <a:endParaRPr lang="en-US"/>
                  </a:p>
                </c:rich>
              </c:tx>
              <c:dLblPos val="ctr"/>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31-4483-4F48-9F0E-8373DE6362A5}"/>
                </c:ext>
              </c:extLst>
            </c:dLbl>
            <c:dLbl>
              <c:idx val="8"/>
              <c:tx>
                <c:rich>
                  <a:bodyPr/>
                  <a:lstStyle/>
                  <a:p>
                    <a:fld id="{5DA39E6E-A31E-4B1A-B51A-7A92FAE5CEE6}" type="CELLRANGE">
                      <a:rPr lang="en-US"/>
                      <a:pPr/>
                      <a:t>[CELLRANGE]</a:t>
                    </a:fld>
                    <a:endParaRPr lang="en-US"/>
                  </a:p>
                </c:rich>
              </c:tx>
              <c:dLblPos val="ctr"/>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32-4483-4F48-9F0E-8373DE6362A5}"/>
                </c:ext>
              </c:extLst>
            </c:dLbl>
            <c:dLbl>
              <c:idx val="9"/>
              <c:tx>
                <c:rich>
                  <a:bodyPr/>
                  <a:lstStyle/>
                  <a:p>
                    <a:fld id="{47B8E7D1-1F6A-478C-B506-AF5F3D921F95}" type="CELLRANGE">
                      <a:rPr lang="en-US"/>
                      <a:pPr/>
                      <a:t>[CELLRANGE]</a:t>
                    </a:fld>
                    <a:endParaRPr lang="en-US"/>
                  </a:p>
                </c:rich>
              </c:tx>
              <c:dLblPos val="ctr"/>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33-4483-4F48-9F0E-8373DE6362A5}"/>
                </c:ext>
              </c:extLst>
            </c:dLbl>
            <c:dLbl>
              <c:idx val="10"/>
              <c:tx>
                <c:rich>
                  <a:bodyPr/>
                  <a:lstStyle/>
                  <a:p>
                    <a:fld id="{8E5D7D38-42FC-456F-B99C-5E7517A8415C}" type="CELLRANGE">
                      <a:rPr lang="en-US"/>
                      <a:pPr/>
                      <a:t>[CELLRANGE]</a:t>
                    </a:fld>
                    <a:endParaRPr lang="en-US"/>
                  </a:p>
                </c:rich>
              </c:tx>
              <c:dLblPos val="ctr"/>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34-4483-4F48-9F0E-8373DE6362A5}"/>
                </c:ext>
              </c:extLst>
            </c:dLbl>
            <c:dLbl>
              <c:idx val="11"/>
              <c:tx>
                <c:rich>
                  <a:bodyPr/>
                  <a:lstStyle/>
                  <a:p>
                    <a:fld id="{9DC22743-0B10-4CCD-8F14-4CA9E199F439}" type="CELLRANGE">
                      <a:rPr lang="en-US"/>
                      <a:pPr/>
                      <a:t>[CELLRANGE]</a:t>
                    </a:fld>
                    <a:endParaRPr lang="en-US"/>
                  </a:p>
                </c:rich>
              </c:tx>
              <c:dLblPos val="ctr"/>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35-4483-4F48-9F0E-8373DE6362A5}"/>
                </c:ext>
              </c:extLst>
            </c:dLbl>
            <c:dLbl>
              <c:idx val="12"/>
              <c:tx>
                <c:rich>
                  <a:bodyPr/>
                  <a:lstStyle/>
                  <a:p>
                    <a:fld id="{274DFDDB-5B23-494E-AFAD-2810E22A30DB}" type="CELLRANGE">
                      <a:rPr lang="en-US"/>
                      <a:pPr/>
                      <a:t>[CELLRANGE]</a:t>
                    </a:fld>
                    <a:endParaRPr lang="en-US"/>
                  </a:p>
                </c:rich>
              </c:tx>
              <c:dLblPos val="ctr"/>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36-4483-4F48-9F0E-8373DE6362A5}"/>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ctr"/>
            <c:showLegendKey val="0"/>
            <c:showVal val="0"/>
            <c:showCatName val="0"/>
            <c:showSerName val="0"/>
            <c:showPercent val="0"/>
            <c:showBubbleSize val="0"/>
            <c:showLeaderLines val="0"/>
            <c:extLst>
              <c:ext xmlns:c15="http://schemas.microsoft.com/office/drawing/2012/chart" uri="{CE6537A1-D6FC-4f65-9D91-7224C49458BB}">
                <c15:showDataLabelsRange val="1"/>
                <c15:showLeaderLines val="1"/>
                <c15:leaderLines>
                  <c:spPr>
                    <a:ln w="9525" cap="flat" cmpd="sng" algn="ctr">
                      <a:solidFill>
                        <a:schemeClr val="tx1">
                          <a:lumMod val="35000"/>
                          <a:lumOff val="65000"/>
                        </a:schemeClr>
                      </a:solidFill>
                      <a:round/>
                    </a:ln>
                    <a:effectLst/>
                  </c:spPr>
                </c15:leaderLines>
              </c:ext>
            </c:extLst>
          </c:dLbls>
          <c:cat>
            <c:numRef>
              <c:f>HHIncome!$B$19:$N$19</c:f>
              <c:numCache>
                <c:formatCode>General</c:formatCode>
                <c:ptCount val="13"/>
                <c:pt idx="0">
                  <c:v>2010</c:v>
                </c:pt>
                <c:pt idx="1">
                  <c:v>2011</c:v>
                </c:pt>
                <c:pt idx="2">
                  <c:v>2012</c:v>
                </c:pt>
                <c:pt idx="3">
                  <c:v>2013</c:v>
                </c:pt>
                <c:pt idx="4">
                  <c:v>2014</c:v>
                </c:pt>
                <c:pt idx="5">
                  <c:v>2015</c:v>
                </c:pt>
                <c:pt idx="6">
                  <c:v>2016</c:v>
                </c:pt>
                <c:pt idx="7">
                  <c:v>2017</c:v>
                </c:pt>
                <c:pt idx="8">
                  <c:v>2018</c:v>
                </c:pt>
                <c:pt idx="9">
                  <c:v>2019</c:v>
                </c:pt>
                <c:pt idx="10">
                  <c:v>2020</c:v>
                </c:pt>
                <c:pt idx="11">
                  <c:v>2021</c:v>
                </c:pt>
                <c:pt idx="12">
                  <c:v>2022</c:v>
                </c:pt>
              </c:numCache>
            </c:numRef>
          </c:cat>
          <c:val>
            <c:numRef>
              <c:f>HHIncome!$B$23:$N$23</c:f>
              <c:numCache>
                <c:formatCode>General</c:formatCode>
                <c:ptCount val="13"/>
                <c:pt idx="0">
                  <c:v>3824</c:v>
                </c:pt>
                <c:pt idx="1">
                  <c:v>3889</c:v>
                </c:pt>
                <c:pt idx="2">
                  <c:v>4149</c:v>
                </c:pt>
                <c:pt idx="3">
                  <c:v>4269</c:v>
                </c:pt>
                <c:pt idx="4">
                  <c:v>4479</c:v>
                </c:pt>
                <c:pt idx="5">
                  <c:v>4589</c:v>
                </c:pt>
                <c:pt idx="6">
                  <c:v>4511</c:v>
                </c:pt>
                <c:pt idx="7">
                  <c:v>4185</c:v>
                </c:pt>
                <c:pt idx="8">
                  <c:v>4249</c:v>
                </c:pt>
                <c:pt idx="9">
                  <c:v>4627</c:v>
                </c:pt>
                <c:pt idx="10">
                  <c:v>5297</c:v>
                </c:pt>
                <c:pt idx="11">
                  <c:v>5905</c:v>
                </c:pt>
                <c:pt idx="12">
                  <c:v>5926</c:v>
                </c:pt>
              </c:numCache>
            </c:numRef>
          </c:val>
          <c:extLst>
            <c:ext xmlns:c15="http://schemas.microsoft.com/office/drawing/2012/chart" uri="{02D57815-91ED-43cb-92C2-25804820EDAC}">
              <c15:datalabelsRange>
                <c15:f>HHIncome!$B$30:$N$30</c15:f>
                <c15:dlblRangeCache>
                  <c:ptCount val="13"/>
                  <c:pt idx="0">
                    <c:v>17%</c:v>
                  </c:pt>
                  <c:pt idx="1">
                    <c:v>18%</c:v>
                  </c:pt>
                  <c:pt idx="2">
                    <c:v>19%</c:v>
                  </c:pt>
                  <c:pt idx="3">
                    <c:v>20%</c:v>
                  </c:pt>
                  <c:pt idx="4">
                    <c:v>21%</c:v>
                  </c:pt>
                  <c:pt idx="5">
                    <c:v>21%</c:v>
                  </c:pt>
                  <c:pt idx="6">
                    <c:v>21%</c:v>
                  </c:pt>
                  <c:pt idx="7">
                    <c:v>19%</c:v>
                  </c:pt>
                  <c:pt idx="8">
                    <c:v>20%</c:v>
                  </c:pt>
                  <c:pt idx="9">
                    <c:v>21%</c:v>
                  </c:pt>
                  <c:pt idx="10">
                    <c:v>23%</c:v>
                  </c:pt>
                  <c:pt idx="11">
                    <c:v>25%</c:v>
                  </c:pt>
                  <c:pt idx="12">
                    <c:v>26%</c:v>
                  </c:pt>
                </c15:dlblRangeCache>
              </c15:datalabelsRange>
            </c:ext>
            <c:ext xmlns:c16="http://schemas.microsoft.com/office/drawing/2014/chart" uri="{C3380CC4-5D6E-409C-BE32-E72D297353CC}">
              <c16:uniqueId val="{00000037-4483-4F48-9F0E-8373DE6362A5}"/>
            </c:ext>
          </c:extLst>
        </c:ser>
        <c:ser>
          <c:idx val="4"/>
          <c:order val="4"/>
          <c:tx>
            <c:strRef>
              <c:f>HHIncome!$A$24</c:f>
              <c:strCache>
                <c:ptCount val="1"/>
                <c:pt idx="0">
                  <c:v>Over $200k</c:v>
                </c:pt>
              </c:strCache>
            </c:strRef>
          </c:tx>
          <c:spPr>
            <a:solidFill>
              <a:schemeClr val="accent5"/>
            </a:solidFill>
            <a:ln>
              <a:noFill/>
            </a:ln>
            <a:effectLst/>
          </c:spPr>
          <c:invertIfNegative val="0"/>
          <c:dLbls>
            <c:dLbl>
              <c:idx val="0"/>
              <c:tx>
                <c:rich>
                  <a:bodyPr/>
                  <a:lstStyle/>
                  <a:p>
                    <a:fld id="{71651F04-8BA9-43C5-B1E7-18D3EB8B50F2}" type="CELLRANGE">
                      <a:rPr lang="en-US"/>
                      <a:pPr/>
                      <a:t>[CELLRANGE]</a:t>
                    </a:fld>
                    <a:endParaRPr lang="en-US"/>
                  </a:p>
                </c:rich>
              </c:tx>
              <c:dLblPos val="ctr"/>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38-4483-4F48-9F0E-8373DE6362A5}"/>
                </c:ext>
              </c:extLst>
            </c:dLbl>
            <c:dLbl>
              <c:idx val="1"/>
              <c:tx>
                <c:rich>
                  <a:bodyPr/>
                  <a:lstStyle/>
                  <a:p>
                    <a:fld id="{58857A4C-86CB-441B-931F-79537F91335D}" type="CELLRANGE">
                      <a:rPr lang="en-US"/>
                      <a:pPr/>
                      <a:t>[CELLRANGE]</a:t>
                    </a:fld>
                    <a:endParaRPr lang="en-US"/>
                  </a:p>
                </c:rich>
              </c:tx>
              <c:dLblPos val="ctr"/>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39-4483-4F48-9F0E-8373DE6362A5}"/>
                </c:ext>
              </c:extLst>
            </c:dLbl>
            <c:dLbl>
              <c:idx val="2"/>
              <c:tx>
                <c:rich>
                  <a:bodyPr/>
                  <a:lstStyle/>
                  <a:p>
                    <a:fld id="{789DA2A2-8796-4D53-BBBA-A251C27CF908}" type="CELLRANGE">
                      <a:rPr lang="en-US"/>
                      <a:pPr/>
                      <a:t>[CELLRANGE]</a:t>
                    </a:fld>
                    <a:endParaRPr lang="en-US"/>
                  </a:p>
                </c:rich>
              </c:tx>
              <c:dLblPos val="ctr"/>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3A-4483-4F48-9F0E-8373DE6362A5}"/>
                </c:ext>
              </c:extLst>
            </c:dLbl>
            <c:dLbl>
              <c:idx val="3"/>
              <c:tx>
                <c:rich>
                  <a:bodyPr/>
                  <a:lstStyle/>
                  <a:p>
                    <a:fld id="{9EC0EAD3-FBE3-431A-8C6C-48D1D686D08F}" type="CELLRANGE">
                      <a:rPr lang="en-US"/>
                      <a:pPr/>
                      <a:t>[CELLRANGE]</a:t>
                    </a:fld>
                    <a:endParaRPr lang="en-US"/>
                  </a:p>
                </c:rich>
              </c:tx>
              <c:dLblPos val="ctr"/>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3B-4483-4F48-9F0E-8373DE6362A5}"/>
                </c:ext>
              </c:extLst>
            </c:dLbl>
            <c:dLbl>
              <c:idx val="4"/>
              <c:tx>
                <c:rich>
                  <a:bodyPr/>
                  <a:lstStyle/>
                  <a:p>
                    <a:fld id="{2E05CC5E-F5AD-450B-B8DD-55A05D1C647C}" type="CELLRANGE">
                      <a:rPr lang="en-US"/>
                      <a:pPr/>
                      <a:t>[CELLRANGE]</a:t>
                    </a:fld>
                    <a:endParaRPr lang="en-US"/>
                  </a:p>
                </c:rich>
              </c:tx>
              <c:dLblPos val="ctr"/>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3C-4483-4F48-9F0E-8373DE6362A5}"/>
                </c:ext>
              </c:extLst>
            </c:dLbl>
            <c:dLbl>
              <c:idx val="5"/>
              <c:tx>
                <c:rich>
                  <a:bodyPr/>
                  <a:lstStyle/>
                  <a:p>
                    <a:fld id="{6CBF0A91-7C18-4255-B412-52FA0DE2B2DD}" type="CELLRANGE">
                      <a:rPr lang="en-US"/>
                      <a:pPr/>
                      <a:t>[CELLRANGE]</a:t>
                    </a:fld>
                    <a:endParaRPr lang="en-US"/>
                  </a:p>
                </c:rich>
              </c:tx>
              <c:dLblPos val="ctr"/>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3D-4483-4F48-9F0E-8373DE6362A5}"/>
                </c:ext>
              </c:extLst>
            </c:dLbl>
            <c:dLbl>
              <c:idx val="6"/>
              <c:tx>
                <c:rich>
                  <a:bodyPr/>
                  <a:lstStyle/>
                  <a:p>
                    <a:fld id="{9122805C-0BB8-42CE-960D-A6F634D2AB65}" type="CELLRANGE">
                      <a:rPr lang="en-US"/>
                      <a:pPr/>
                      <a:t>[CELLRANGE]</a:t>
                    </a:fld>
                    <a:endParaRPr lang="en-US"/>
                  </a:p>
                </c:rich>
              </c:tx>
              <c:dLblPos val="ctr"/>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3E-4483-4F48-9F0E-8373DE6362A5}"/>
                </c:ext>
              </c:extLst>
            </c:dLbl>
            <c:dLbl>
              <c:idx val="7"/>
              <c:tx>
                <c:rich>
                  <a:bodyPr/>
                  <a:lstStyle/>
                  <a:p>
                    <a:fld id="{529ED142-7C5B-48DA-928F-DBCC2FCC9FB1}" type="CELLRANGE">
                      <a:rPr lang="en-US"/>
                      <a:pPr/>
                      <a:t>[CELLRANGE]</a:t>
                    </a:fld>
                    <a:endParaRPr lang="en-US"/>
                  </a:p>
                </c:rich>
              </c:tx>
              <c:dLblPos val="ctr"/>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3F-4483-4F48-9F0E-8373DE6362A5}"/>
                </c:ext>
              </c:extLst>
            </c:dLbl>
            <c:dLbl>
              <c:idx val="8"/>
              <c:tx>
                <c:rich>
                  <a:bodyPr/>
                  <a:lstStyle/>
                  <a:p>
                    <a:fld id="{52835DE9-449C-442E-A8F6-D3AFE98F6C92}" type="CELLRANGE">
                      <a:rPr lang="en-US"/>
                      <a:pPr/>
                      <a:t>[CELLRANGE]</a:t>
                    </a:fld>
                    <a:endParaRPr lang="en-US"/>
                  </a:p>
                </c:rich>
              </c:tx>
              <c:dLblPos val="ctr"/>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40-4483-4F48-9F0E-8373DE6362A5}"/>
                </c:ext>
              </c:extLst>
            </c:dLbl>
            <c:dLbl>
              <c:idx val="9"/>
              <c:tx>
                <c:rich>
                  <a:bodyPr/>
                  <a:lstStyle/>
                  <a:p>
                    <a:fld id="{0FD096ED-3D4B-451F-92F0-8C2D4D40BD4C}" type="CELLRANGE">
                      <a:rPr lang="en-US"/>
                      <a:pPr/>
                      <a:t>[CELLRANGE]</a:t>
                    </a:fld>
                    <a:endParaRPr lang="en-US"/>
                  </a:p>
                </c:rich>
              </c:tx>
              <c:dLblPos val="ctr"/>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41-4483-4F48-9F0E-8373DE6362A5}"/>
                </c:ext>
              </c:extLst>
            </c:dLbl>
            <c:dLbl>
              <c:idx val="10"/>
              <c:tx>
                <c:rich>
                  <a:bodyPr/>
                  <a:lstStyle/>
                  <a:p>
                    <a:fld id="{C0BF5FA8-BEF6-4B88-A5A1-DC7E38FB5E7C}" type="CELLRANGE">
                      <a:rPr lang="en-US"/>
                      <a:pPr/>
                      <a:t>[CELLRANGE]</a:t>
                    </a:fld>
                    <a:endParaRPr lang="en-US"/>
                  </a:p>
                </c:rich>
              </c:tx>
              <c:dLblPos val="ctr"/>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42-4483-4F48-9F0E-8373DE6362A5}"/>
                </c:ext>
              </c:extLst>
            </c:dLbl>
            <c:dLbl>
              <c:idx val="11"/>
              <c:tx>
                <c:rich>
                  <a:bodyPr/>
                  <a:lstStyle/>
                  <a:p>
                    <a:fld id="{8013AB28-8229-4483-B44A-1B8F3ABC5D91}" type="CELLRANGE">
                      <a:rPr lang="en-US"/>
                      <a:pPr/>
                      <a:t>[CELLRANGE]</a:t>
                    </a:fld>
                    <a:endParaRPr lang="en-US"/>
                  </a:p>
                </c:rich>
              </c:tx>
              <c:dLblPos val="ctr"/>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43-4483-4F48-9F0E-8373DE6362A5}"/>
                </c:ext>
              </c:extLst>
            </c:dLbl>
            <c:dLbl>
              <c:idx val="12"/>
              <c:tx>
                <c:rich>
                  <a:bodyPr/>
                  <a:lstStyle/>
                  <a:p>
                    <a:fld id="{8D0B12B6-137B-46AF-8E30-B8A7E00A691E}" type="CELLRANGE">
                      <a:rPr lang="en-US"/>
                      <a:pPr/>
                      <a:t>[CELLRANGE]</a:t>
                    </a:fld>
                    <a:endParaRPr lang="en-US"/>
                  </a:p>
                </c:rich>
              </c:tx>
              <c:dLblPos val="ctr"/>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44-4483-4F48-9F0E-8373DE6362A5}"/>
                </c:ext>
              </c:extLst>
            </c:dLbl>
            <c:numFmt formatCode="General" sourceLinked="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ctr"/>
            <c:showLegendKey val="0"/>
            <c:showVal val="0"/>
            <c:showCatName val="0"/>
            <c:showSerName val="0"/>
            <c:showPercent val="0"/>
            <c:showBubbleSize val="0"/>
            <c:showLeaderLines val="0"/>
            <c:extLst>
              <c:ext xmlns:c15="http://schemas.microsoft.com/office/drawing/2012/chart" uri="{CE6537A1-D6FC-4f65-9D91-7224C49458BB}">
                <c15:showDataLabelsRange val="1"/>
                <c15:showLeaderLines val="1"/>
                <c15:leaderLines>
                  <c:spPr>
                    <a:ln w="9525" cap="flat" cmpd="sng" algn="ctr">
                      <a:solidFill>
                        <a:schemeClr val="tx1">
                          <a:lumMod val="35000"/>
                          <a:lumOff val="65000"/>
                        </a:schemeClr>
                      </a:solidFill>
                      <a:round/>
                    </a:ln>
                    <a:effectLst/>
                  </c:spPr>
                </c15:leaderLines>
              </c:ext>
            </c:extLst>
          </c:dLbls>
          <c:cat>
            <c:numRef>
              <c:f>HHIncome!$B$19:$N$19</c:f>
              <c:numCache>
                <c:formatCode>General</c:formatCode>
                <c:ptCount val="13"/>
                <c:pt idx="0">
                  <c:v>2010</c:v>
                </c:pt>
                <c:pt idx="1">
                  <c:v>2011</c:v>
                </c:pt>
                <c:pt idx="2">
                  <c:v>2012</c:v>
                </c:pt>
                <c:pt idx="3">
                  <c:v>2013</c:v>
                </c:pt>
                <c:pt idx="4">
                  <c:v>2014</c:v>
                </c:pt>
                <c:pt idx="5">
                  <c:v>2015</c:v>
                </c:pt>
                <c:pt idx="6">
                  <c:v>2016</c:v>
                </c:pt>
                <c:pt idx="7">
                  <c:v>2017</c:v>
                </c:pt>
                <c:pt idx="8">
                  <c:v>2018</c:v>
                </c:pt>
                <c:pt idx="9">
                  <c:v>2019</c:v>
                </c:pt>
                <c:pt idx="10">
                  <c:v>2020</c:v>
                </c:pt>
                <c:pt idx="11">
                  <c:v>2021</c:v>
                </c:pt>
                <c:pt idx="12">
                  <c:v>2022</c:v>
                </c:pt>
              </c:numCache>
            </c:numRef>
          </c:cat>
          <c:val>
            <c:numRef>
              <c:f>HHIncome!$B$24:$N$24</c:f>
              <c:numCache>
                <c:formatCode>General</c:formatCode>
                <c:ptCount val="13"/>
                <c:pt idx="0">
                  <c:v>1283</c:v>
                </c:pt>
                <c:pt idx="1">
                  <c:v>1087</c:v>
                </c:pt>
                <c:pt idx="2">
                  <c:v>942</c:v>
                </c:pt>
                <c:pt idx="3">
                  <c:v>895</c:v>
                </c:pt>
                <c:pt idx="4">
                  <c:v>968</c:v>
                </c:pt>
                <c:pt idx="5">
                  <c:v>1174</c:v>
                </c:pt>
                <c:pt idx="6">
                  <c:v>1405</c:v>
                </c:pt>
                <c:pt idx="7">
                  <c:v>1800</c:v>
                </c:pt>
                <c:pt idx="8">
                  <c:v>2146</c:v>
                </c:pt>
                <c:pt idx="9">
                  <c:v>2339</c:v>
                </c:pt>
                <c:pt idx="10">
                  <c:v>3274</c:v>
                </c:pt>
                <c:pt idx="11">
                  <c:v>3800</c:v>
                </c:pt>
                <c:pt idx="12">
                  <c:v>4588</c:v>
                </c:pt>
              </c:numCache>
            </c:numRef>
          </c:val>
          <c:extLst>
            <c:ext xmlns:c15="http://schemas.microsoft.com/office/drawing/2012/chart" uri="{02D57815-91ED-43cb-92C2-25804820EDAC}">
              <c15:datalabelsRange>
                <c15:f>HHIncome!$B$31:$N$31</c15:f>
                <c15:dlblRangeCache>
                  <c:ptCount val="13"/>
                  <c:pt idx="0">
                    <c:v>6%</c:v>
                  </c:pt>
                  <c:pt idx="1">
                    <c:v>5%</c:v>
                  </c:pt>
                  <c:pt idx="2">
                    <c:v>4%</c:v>
                  </c:pt>
                  <c:pt idx="3">
                    <c:v>4%</c:v>
                  </c:pt>
                  <c:pt idx="4">
                    <c:v>4%</c:v>
                  </c:pt>
                  <c:pt idx="5">
                    <c:v>5%</c:v>
                  </c:pt>
                  <c:pt idx="6">
                    <c:v>7%</c:v>
                  </c:pt>
                  <c:pt idx="7">
                    <c:v>8%</c:v>
                  </c:pt>
                  <c:pt idx="8">
                    <c:v>10%</c:v>
                  </c:pt>
                  <c:pt idx="9">
                    <c:v>11%</c:v>
                  </c:pt>
                  <c:pt idx="10">
                    <c:v>14%</c:v>
                  </c:pt>
                  <c:pt idx="11">
                    <c:v>16%</c:v>
                  </c:pt>
                  <c:pt idx="12">
                    <c:v>20%</c:v>
                  </c:pt>
                </c15:dlblRangeCache>
              </c15:datalabelsRange>
            </c:ext>
            <c:ext xmlns:c16="http://schemas.microsoft.com/office/drawing/2014/chart" uri="{C3380CC4-5D6E-409C-BE32-E72D297353CC}">
              <c16:uniqueId val="{00000045-4483-4F48-9F0E-8373DE6362A5}"/>
            </c:ext>
          </c:extLst>
        </c:ser>
        <c:dLbls>
          <c:dLblPos val="ctr"/>
          <c:showLegendKey val="0"/>
          <c:showVal val="1"/>
          <c:showCatName val="0"/>
          <c:showSerName val="0"/>
          <c:showPercent val="0"/>
          <c:showBubbleSize val="0"/>
        </c:dLbls>
        <c:gapWidth val="50"/>
        <c:overlap val="100"/>
        <c:axId val="1152048816"/>
        <c:axId val="1152044496"/>
      </c:barChart>
      <c:catAx>
        <c:axId val="115204881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152044496"/>
        <c:crosses val="autoZero"/>
        <c:auto val="1"/>
        <c:lblAlgn val="ctr"/>
        <c:lblOffset val="100"/>
        <c:noMultiLvlLbl val="0"/>
      </c:catAx>
      <c:valAx>
        <c:axId val="1152044496"/>
        <c:scaling>
          <c:orientation val="minMax"/>
        </c:scaling>
        <c:delete val="0"/>
        <c:axPos val="l"/>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15204881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drawings/drawing1.xml><?xml version="1.0" encoding="utf-8"?>
<c:userShapes xmlns:c="http://schemas.openxmlformats.org/drawingml/2006/chart">
  <cdr:relSizeAnchor xmlns:cdr="http://schemas.openxmlformats.org/drawingml/2006/chartDrawing">
    <cdr:from>
      <cdr:x>0</cdr:x>
      <cdr:y>0.94228</cdr:y>
    </cdr:from>
    <cdr:to>
      <cdr:x>0.13445</cdr:x>
      <cdr:y>1</cdr:y>
    </cdr:to>
    <cdr:sp macro="" textlink="">
      <cdr:nvSpPr>
        <cdr:cNvPr id="2" name="TextBox 1">
          <a:extLst xmlns:a="http://schemas.openxmlformats.org/drawingml/2006/main">
            <a:ext uri="{FF2B5EF4-FFF2-40B4-BE49-F238E27FC236}">
              <a16:creationId xmlns:a16="http://schemas.microsoft.com/office/drawing/2014/main" id="{4E84B97B-693C-4873-A85B-ECD67963D051}"/>
            </a:ext>
          </a:extLst>
        </cdr:cNvPr>
        <cdr:cNvSpPr txBox="1"/>
      </cdr:nvSpPr>
      <cdr:spPr>
        <a:xfrm xmlns:a="http://schemas.openxmlformats.org/drawingml/2006/main">
          <a:off x="0" y="3109913"/>
          <a:ext cx="914400" cy="190499"/>
        </a:xfrm>
        <a:prstGeom xmlns:a="http://schemas.openxmlformats.org/drawingml/2006/main" prst="rect">
          <a:avLst/>
        </a:prstGeom>
      </cdr:spPr>
      <cdr:txBody>
        <a:bodyPr xmlns:a="http://schemas.openxmlformats.org/drawingml/2006/main" vertOverflow="clip" wrap="none" rtlCol="0"/>
        <a:lstStyle xmlns:a="http://schemas.openxmlformats.org/drawingml/2006/main"/>
        <a:p xmlns:a="http://schemas.openxmlformats.org/drawingml/2006/main">
          <a:r>
            <a:rPr lang="en-US" sz="600">
              <a:solidFill>
                <a:sysClr val="windowText" lastClr="000000"/>
              </a:solidFill>
            </a:rPr>
            <a:t>Source: Reno-Tahoe Airport Authority, Reno-Tahoe Internatiional Airport: Passengers and Cargo Statistics Reports 2006-2023, https://www.renoairport.com/airport-authority/facts-figures/statistics</a:t>
          </a:r>
        </a:p>
      </cdr:txBody>
    </cdr:sp>
  </cdr:relSizeAnchor>
</c:userShap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d8bd0769-5112-46a0-ad00-7604baffafb1">
      <Terms xmlns="http://schemas.microsoft.com/office/infopath/2007/PartnerControls"/>
    </lcf76f155ced4ddcb4097134ff3c332f>
    <TaxCatchAll xmlns="eeeda6b4-2fb8-4936-93d1-a7d2278e1d67"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b:Source>
    <b:Tag>Dou24</b:Tag>
    <b:SourceType>Misc</b:SourceType>
    <b:Guid>{F9BD4F94-2868-4D4E-B14C-B758429C40C7}</b:Guid>
    <b:Title>Chapter 20.622: Lake Tahoe Vacation Home Rentals</b:Title>
    <b:Year>2024</b:Year>
    <b:Month>March</b:Month>
    <b:Day>21</b:Day>
    <b:URL>https://www.douglascountynv.gov/common/pages/DownloadFileByUrl.aspx?key=Saa9swlNqveUYCQRdoh9q6nHI4aw3oLFXiatih5MFm5SIGRV3cTmKuWcX%2f%2bel8qQwh2ceV0q8iKNsz52mT9Oz5X8MpJMUaxgXopGsO0fimm9EiFcmvaC6Utgv9XvNa2ZYC%2buVUaaZBRBn570fSbtJmfBpgnLWZjbkuVsmolx%2bxoMv64</b:URL>
    <b:PublicationTitle>Douglas County Code</b:PublicationTitle>
    <b:City>Minden</b:City>
    <b:StateProvince>Nevada</b:StateProvince>
    <b:Publisher>Douglas County</b:Publisher>
    <b:Author>
      <b:Author>
        <b:Corporate>Douglas County Board of County Commissioners</b:Corporate>
      </b:Author>
    </b:Author>
    <b:RefOrder>4</b:RefOrder>
  </b:Source>
  <b:Source>
    <b:Tag>ElD</b:Tag>
    <b:SourceType>InternetSite</b:SourceType>
    <b:Guid>{4A74CA7B-4400-4210-8F1F-241971EBC545}</b:Guid>
    <b:Title>VHR Ordinance Information</b:Title>
    <b:Author>
      <b:Author>
        <b:Corporate>El Dorado County</b:Corporate>
      </b:Author>
    </b:Author>
    <b:InternetSiteTitle>El Dorado County</b:InternetSiteTitle>
    <b:URL>https://www.eldoradocounty.ca.gov/Services/My-Property/Vacation-Home-Rentals-Division/VHR-Ordinance-Information</b:URL>
    <b:RefOrder>5</b:RefOrder>
  </b:Source>
  <b:Source>
    <b:Tag>MT</b:Tag>
    <b:SourceType>InternetSite</b:SourceType>
    <b:Guid>{BE46A33E-2869-4DDE-B4E3-6D108D46AE20}</b:Guid>
    <b:Title>Measure T</b:Title>
    <b:InternetSiteTitle>City of South Lake Tahoe</b:InternetSiteTitle>
    <b:URL>https://cityofslt.us/2418/Measure-T</b:URL>
    <b:Author>
      <b:Author>
        <b:Corporate>City of South Lake Tahoe</b:Corporate>
      </b:Author>
    </b:Author>
    <b:RefOrder>3</b:RefOrder>
  </b:Source>
  <b:Source>
    <b:Tag>Pla24</b:Tag>
    <b:SourceType>InternetSite</b:SourceType>
    <b:Guid>{634D4C61-9187-4C2A-A65D-8961AD9D3113}</b:Guid>
    <b:Author>
      <b:Author>
        <b:Corporate>Placer County Code Enforcement Services</b:Corporate>
      </b:Author>
    </b:Author>
    <b:Title>Short-Term Vacation Rental Program</b:Title>
    <b:InternetSiteTitle>Placer County Community Development Resource Agence</b:InternetSiteTitle>
    <b:Year>2024</b:Year>
    <b:URL>https://www.placer.ca.gov/6109/Short-Term-Rental-Program</b:URL>
    <b:RefOrder>6</b:RefOrder>
  </b:Source>
  <b:Source>
    <b:Tag>Was24</b:Tag>
    <b:SourceType>InternetSite</b:SourceType>
    <b:Guid>{D55A6EC5-D8C0-4B89-9974-F83921625F57}</b:Guid>
    <b:Author>
      <b:Author>
        <b:Corporate>Washoe County Community Services Department</b:Corporate>
      </b:Author>
    </b:Author>
    <b:Title>Short Term Rentals</b:Title>
    <b:InternetSiteTitle>Washoe County, Nevada</b:InternetSiteTitle>
    <b:Year>2024</b:Year>
    <b:Month>July</b:Month>
    <b:Day>1</b:Day>
    <b:URL>https://www.washoecounty.gov/csd/planning_and_development/short_term_rentals/index.php</b:URL>
    <b:RefOrder>7</b:RefOrder>
  </b:Source>
  <b:Source>
    <b:Tag>USD23</b:Tag>
    <b:SourceType>Report</b:SourceType>
    <b:Guid>{C0AF02B1-CF5E-499C-AE65-01C1973C8681}</b:Guid>
    <b:Title>H14: Occupied Housing Units</b:Title>
    <b:Year>2023</b:Year>
    <b:Author>
      <b:Author>
        <b:Corporate>U.S. Department of Commerce</b:Corporate>
      </b:Author>
    </b:Author>
    <b:City>Washington, DC</b:City>
    <b:RefOrder>2</b:RefOrder>
  </b:Source>
  <b:Source>
    <b:Tag>USD22</b:Tag>
    <b:SourceType>Report</b:SourceType>
    <b:Guid>{2C250EF8-AD62-4964-923C-0AA113DF6AE7}</b:Guid>
    <b:Author>
      <b:Author>
        <b:Corporate>U.S. Department of Commerce</b:Corporate>
      </b:Author>
    </b:Author>
    <b:Title>American Community Survey</b:Title>
    <b:Year>2022</b:Year>
    <b:City>Washington, DC</b:City>
    <b:RefOrder>1</b:RefOrder>
  </b:Source>
  <b:Source>
    <b:Tag>Sac22</b:Tag>
    <b:SourceType>Report</b:SourceType>
    <b:Guid>{3DDEA450-26C4-4CF4-93A8-A2E14F6F2B3E}</b:Guid>
    <b:Author>
      <b:Author>
        <b:Corporate>Sacramento Area Council of Governments</b:Corporate>
      </b:Author>
    </b:Author>
    <b:Title>Sacramento Region Draft Growth Projections</b:Title>
    <b:Year>2022</b:Year>
    <b:City>Sacramento, California</b:City>
    <b:RefOrder>8</b:RefOrder>
  </b:Source>
  <b:Source>
    <b:Tag>Ass21</b:Tag>
    <b:SourceType>Report</b:SourceType>
    <b:Guid>{FF91AB4D-BFDF-4707-93C6-8D5AD1CE2A4C}</b:Guid>
    <b:Author>
      <b:Author>
        <b:Corporate>Association of Bay Area Governments</b:Corporate>
      </b:Author>
    </b:Author>
    <b:Title>Plan Bay Area 2050 Forecasting and Modeling Report</b:Title>
    <b:Year>2021</b:Year>
    <b:City>San Francisco</b:City>
    <b:RefOrder>9</b:RefOrder>
  </b:Source>
  <b:Source>
    <b:Tag>Reg24</b:Tag>
    <b:SourceType>Report</b:SourceType>
    <b:Guid>{7E74F94B-9AA6-40E1-B405-C3D59AE74709}</b:Guid>
    <b:Author>
      <b:Author>
        <b:Corporate>Regional Transportation Commission of Washoe County</b:Corporate>
      </b:Author>
    </b:Author>
    <b:Title>2050 Regional Transportation Plan</b:Title>
    <b:Year>2024</b:Year>
    <b:City>Reno, Nevada</b:City>
    <b:RefOrder>10</b:RefOrder>
  </b:Source>
  <b:Source>
    <b:Tag>Car24</b:Tag>
    <b:SourceType>Report</b:SourceType>
    <b:Guid>{1CF09FA3-E366-4497-BF84-0C4BAC6E1CFB}</b:Guid>
    <b:Author>
      <b:Author>
        <b:Corporate>Carson Area Metropolitan Planning Organization</b:Corporate>
      </b:Author>
    </b:Author>
    <b:Title>2050 Regional Transportation Plan</b:Title>
    <b:Year>2024</b:Year>
    <b:City>Carson City, Nevada</b:City>
    <b:RefOrder>11</b:RefOrder>
  </b:Source>
  <b:Source>
    <b:Tag>Ren24</b:Tag>
    <b:SourceType>InternetSite</b:SourceType>
    <b:Guid>{BDB11D47-DAF5-4DB7-81DA-12C0A6ACC0FD}</b:Guid>
    <b:Author>
      <b:Author>
        <b:Corporate>Reno-Tahoe Airport Authority</b:Corporate>
      </b:Author>
    </b:Author>
    <b:Title>About the Reno-Tahoe Airport Authority</b:Title>
    <b:Year>2024</b:Year>
    <b:InternetSiteTitle>Reno-Tahoe International Airport</b:InternetSiteTitle>
    <b:Month>October</b:Month>
    <b:URL>https://www.renoairport.com/airport-authority/about/</b:URL>
    <b:RefOrder>12</b:RefOrder>
  </b:Source>
  <b:Source>
    <b:Tag>Nev23</b:Tag>
    <b:SourceType>InternetSite</b:SourceType>
    <b:Guid>{E22665AF-3955-4E79-895D-0C0FC960523C}</b:Guid>
    <b:Author>
      <b:Author>
        <b:Corporate>Nevada Department of Education</b:Corporate>
      </b:Author>
    </b:Author>
    <b:Title>Enrollment for Nevada Public Schools</b:Title>
    <b:InternetSiteTitle>Nevada Department of Education</b:InternetSiteTitle>
    <b:Year>2023</b:Year>
    <b:URL>https://doe.nv.gov/datacenter/enrollment-data/</b:URL>
    <b:RefOrder>14</b:RefOrder>
  </b:Source>
  <b:Source>
    <b:Tag>Cal24</b:Tag>
    <b:SourceType>InternetSite</b:SourceType>
    <b:Guid>{FBA7A11C-DF9F-43F0-8F17-6E010D6832CA}</b:Guid>
    <b:Author>
      <b:Author>
        <b:Corporate>California Department of Education</b:Corporate>
      </b:Author>
    </b:Author>
    <b:Title>https://www.cde.ca.gov/ds/ad/edtop.asp</b:Title>
    <b:InternetSiteTitle>California Department of Education</b:InternetSiteTitle>
    <b:Year>2024</b:Year>
    <b:Month>May</b:Month>
    <b:Day>16</b:Day>
    <b:URL>https://www.cde.ca.gov/ds/ad/edtop.asp</b:URL>
    <b:RefOrder>13</b:RefOrder>
  </b:Source>
</b:Sources>
</file>

<file path=customXml/item4.xml><?xml version="1.0" encoding="utf-8"?>
<ct:contentTypeSchema xmlns:ct="http://schemas.microsoft.com/office/2006/metadata/contentType" xmlns:ma="http://schemas.microsoft.com/office/2006/metadata/properties/metaAttributes" ct:_="" ma:_="" ma:contentTypeName="Document" ma:contentTypeID="0x010100E2CFEF5370A3374299C04CB9CF3FF462" ma:contentTypeVersion="13" ma:contentTypeDescription="Create a new document." ma:contentTypeScope="" ma:versionID="020f7350339694e7190c16deaebba268">
  <xsd:schema xmlns:xsd="http://www.w3.org/2001/XMLSchema" xmlns:xs="http://www.w3.org/2001/XMLSchema" xmlns:p="http://schemas.microsoft.com/office/2006/metadata/properties" xmlns:ns2="d8bd0769-5112-46a0-ad00-7604baffafb1" xmlns:ns3="eeeda6b4-2fb8-4936-93d1-a7d2278e1d67" targetNamespace="http://schemas.microsoft.com/office/2006/metadata/properties" ma:root="true" ma:fieldsID="1599352c3c8239503f80a4c03c5e98a0" ns2:_="" ns3:_="">
    <xsd:import namespace="d8bd0769-5112-46a0-ad00-7604baffafb1"/>
    <xsd:import namespace="eeeda6b4-2fb8-4936-93d1-a7d2278e1d67"/>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8bd0769-5112-46a0-ad00-7604baffafb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15275bea-d2d5-48ff-9e03-e3cfe37ae2f2"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eeda6b4-2fb8-4936-93d1-a7d2278e1d67"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79ffc650-8c3e-4953-9d21-d25c25485823}" ma:internalName="TaxCatchAll" ma:showField="CatchAllData" ma:web="eeeda6b4-2fb8-4936-93d1-a7d2278e1d6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8B60E94-7A66-4B17-895C-F68D31831D5D}">
  <ds:schemaRefs>
    <ds:schemaRef ds:uri="http://schemas.microsoft.com/sharepoint/v3/contenttype/forms"/>
  </ds:schemaRefs>
</ds:datastoreItem>
</file>

<file path=customXml/itemProps2.xml><?xml version="1.0" encoding="utf-8"?>
<ds:datastoreItem xmlns:ds="http://schemas.openxmlformats.org/officeDocument/2006/customXml" ds:itemID="{85CCC231-E81D-4BBE-B86F-2A3D226961CA}">
  <ds:schemaRefs>
    <ds:schemaRef ds:uri="http://schemas.microsoft.com/office/2006/metadata/properties"/>
    <ds:schemaRef ds:uri="http://schemas.microsoft.com/office/infopath/2007/PartnerControls"/>
    <ds:schemaRef ds:uri="d8bd0769-5112-46a0-ad00-7604baffafb1"/>
    <ds:schemaRef ds:uri="eeeda6b4-2fb8-4936-93d1-a7d2278e1d67"/>
  </ds:schemaRefs>
</ds:datastoreItem>
</file>

<file path=customXml/itemProps3.xml><?xml version="1.0" encoding="utf-8"?>
<ds:datastoreItem xmlns:ds="http://schemas.openxmlformats.org/officeDocument/2006/customXml" ds:itemID="{6B04A2E1-57B9-4EED-8897-455B0A34C6B9}">
  <ds:schemaRefs>
    <ds:schemaRef ds:uri="http://schemas.openxmlformats.org/officeDocument/2006/bibliography"/>
  </ds:schemaRefs>
</ds:datastoreItem>
</file>

<file path=customXml/itemProps4.xml><?xml version="1.0" encoding="utf-8"?>
<ds:datastoreItem xmlns:ds="http://schemas.openxmlformats.org/officeDocument/2006/customXml" ds:itemID="{718797AB-090B-4E5D-9AF6-A7F57CA5B69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8bd0769-5112-46a0-ad00-7604baffafb1"/>
    <ds:schemaRef ds:uri="eeeda6b4-2fb8-4936-93d1-a7d2278e1d6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1219</TotalTime>
  <Pages>21</Pages>
  <Words>6299</Words>
  <Characters>35908</Characters>
  <Application>Microsoft Office Word</Application>
  <DocSecurity>0</DocSecurity>
  <Lines>299</Lines>
  <Paragraphs>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42123</CharactersWithSpaces>
  <SharedDoc>false</SharedDoc>
  <HLinks>
    <vt:vector size="30" baseType="variant">
      <vt:variant>
        <vt:i4>3014717</vt:i4>
      </vt:variant>
      <vt:variant>
        <vt:i4>3</vt:i4>
      </vt:variant>
      <vt:variant>
        <vt:i4>0</vt:i4>
      </vt:variant>
      <vt:variant>
        <vt:i4>5</vt:i4>
      </vt:variant>
      <vt:variant>
        <vt:lpwstr>https://www.placer.ca.gov/3396/Housing</vt:lpwstr>
      </vt:variant>
      <vt:variant>
        <vt:lpwstr/>
      </vt:variant>
      <vt:variant>
        <vt:i4>262162</vt:i4>
      </vt:variant>
      <vt:variant>
        <vt:i4>0</vt:i4>
      </vt:variant>
      <vt:variant>
        <vt:i4>0</vt:i4>
      </vt:variant>
      <vt:variant>
        <vt:i4>5</vt:i4>
      </vt:variant>
      <vt:variant>
        <vt:lpwstr>https://tahoe.ca.gov/programs/tahoe-livable-communities/asset-land-sales/</vt:lpwstr>
      </vt:variant>
      <vt:variant>
        <vt:lpwstr/>
      </vt:variant>
      <vt:variant>
        <vt:i4>4849772</vt:i4>
      </vt:variant>
      <vt:variant>
        <vt:i4>6</vt:i4>
      </vt:variant>
      <vt:variant>
        <vt:i4>0</vt:i4>
      </vt:variant>
      <vt:variant>
        <vt:i4>5</vt:i4>
      </vt:variant>
      <vt:variant>
        <vt:lpwstr>mailto:rshaw@trpa.gov</vt:lpwstr>
      </vt:variant>
      <vt:variant>
        <vt:lpwstr/>
      </vt:variant>
      <vt:variant>
        <vt:i4>2555916</vt:i4>
      </vt:variant>
      <vt:variant>
        <vt:i4>3</vt:i4>
      </vt:variant>
      <vt:variant>
        <vt:i4>0</vt:i4>
      </vt:variant>
      <vt:variant>
        <vt:i4>5</vt:i4>
      </vt:variant>
      <vt:variant>
        <vt:lpwstr>mailto:jschmid@trpa.gov</vt:lpwstr>
      </vt:variant>
      <vt:variant>
        <vt:lpwstr/>
      </vt:variant>
      <vt:variant>
        <vt:i4>3342351</vt:i4>
      </vt:variant>
      <vt:variant>
        <vt:i4>0</vt:i4>
      </vt:variant>
      <vt:variant>
        <vt:i4>0</vt:i4>
      </vt:variant>
      <vt:variant>
        <vt:i4>5</vt:i4>
      </vt:variant>
      <vt:variant>
        <vt:lpwstr>mailto:kkasman@trpa.org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 Schmid</dc:creator>
  <cp:keywords/>
  <dc:description/>
  <cp:lastModifiedBy>Andrew McClary</cp:lastModifiedBy>
  <cp:revision>3</cp:revision>
  <cp:lastPrinted>2025-06-20T17:01:00Z</cp:lastPrinted>
  <dcterms:created xsi:type="dcterms:W3CDTF">2026-06-02T19:20:00Z</dcterms:created>
  <dcterms:modified xsi:type="dcterms:W3CDTF">2026-06-02T19:21:00Z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zotero-version="5.0.87"&gt;&lt;session id="iws5FfrV"/&gt;&lt;style id="http://www.zotero.org/styles/conservation-biology" hasBibliography="1" bibliographyStyleHasBeenSet="1"/&gt;&lt;prefs&gt;&lt;pref name="fieldType" value="Field"/&gt;&lt;pref name="automaticJou</vt:lpwstr>
  </property>
  <property fmtid="{D5CDD505-2E9C-101B-9397-08002B2CF9AE}" pid="3" name="ZOTERO_PREF_2">
    <vt:lpwstr>rnalAbbreviations" value="true"/&gt;&lt;/prefs&gt;&lt;/data&gt;</vt:lpwstr>
  </property>
  <property fmtid="{D5CDD505-2E9C-101B-9397-08002B2CF9AE}" pid="4" name="ContentTypeId">
    <vt:lpwstr>0x010100E2CFEF5370A3374299C04CB9CF3FF462</vt:lpwstr>
  </property>
  <property fmtid="{D5CDD505-2E9C-101B-9397-08002B2CF9AE}" pid="5" name="MediaServiceImageTags">
    <vt:lpwstr/>
  </property>
  <property fmtid="{D5CDD505-2E9C-101B-9397-08002B2CF9AE}" pid="6" name="GrammarlyDocumentId">
    <vt:lpwstr>a82324ab-7766-45ab-b2dd-116007c34c8b</vt:lpwstr>
  </property>
</Properties>
</file>