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1977" w14:textId="77777777" w:rsidR="00AA01D2" w:rsidRDefault="00000000">
      <w:pPr>
        <w:spacing w:before="360" w:after="120"/>
      </w:pPr>
      <w:r>
        <w:rPr>
          <w:b/>
          <w:color w:val="54746A"/>
          <w:sz w:val="40"/>
        </w:rPr>
        <w:t>Appendix F: Data and Forecasting Methodology</w:t>
      </w:r>
    </w:p>
    <w:p w14:paraId="76D8CF15" w14:textId="77777777" w:rsidR="00AA01D2" w:rsidRDefault="00000000">
      <w:pPr>
        <w:shd w:val="clear" w:color="auto" w:fill="54746A"/>
        <w:spacing w:before="280" w:after="120"/>
      </w:pPr>
      <w:r>
        <w:rPr>
          <w:b/>
          <w:color w:val="FFFFFF"/>
          <w:sz w:val="28"/>
        </w:rPr>
        <w:t xml:space="preserve">  Introduction</w:t>
      </w:r>
    </w:p>
    <w:p w14:paraId="768D4532" w14:textId="77777777" w:rsidR="00AA01D2" w:rsidRDefault="00000000">
      <w:pPr>
        <w:spacing w:after="120"/>
      </w:pPr>
      <w:r>
        <w:t>In order to investigate the impact of proposed scenarios for the Cultivating Community effort to increase workforce housing, three different travel demand model (TDM) scenarios were developed. These scenarios used most of the same base assumptions as the 2025 Regional Transportation Plan (RTP), with the primary differences being updated information about development that has taken place since the 2022 base year used for that RTP, and the additional housing and occupancy policies proposed under Alternatives 2 and 3, which are described in detail below. For a detailed description of the assumptions used for the 2025 RTP, please refer to the original memo. Both employment and school enrollment were assumed to increase slightly in Alternatives 2 and 3 in proportion to the increases in population.</w:t>
      </w:r>
    </w:p>
    <w:p w14:paraId="24A49703" w14:textId="77777777" w:rsidR="00AA01D2" w:rsidRDefault="00000000">
      <w:pPr>
        <w:shd w:val="clear" w:color="auto" w:fill="54746A"/>
        <w:spacing w:before="280" w:after="120"/>
      </w:pPr>
      <w:r>
        <w:rPr>
          <w:b/>
          <w:color w:val="FFFFFF"/>
          <w:sz w:val="28"/>
        </w:rPr>
        <w:t xml:space="preserve">  Development Scenario Descriptions</w:t>
      </w:r>
    </w:p>
    <w:p w14:paraId="59420DB4" w14:textId="77777777" w:rsidR="00AA01D2" w:rsidRDefault="00000000">
      <w:pPr>
        <w:spacing w:before="200" w:after="80"/>
      </w:pPr>
      <w:r>
        <w:rPr>
          <w:b/>
          <w:color w:val="54746A"/>
          <w:sz w:val="26"/>
        </w:rPr>
        <w:t>Alternative 1 — No Action (Base Year RTP Forecast)</w:t>
      </w:r>
    </w:p>
    <w:p w14:paraId="56149465" w14:textId="36F70325" w:rsidR="00AA01D2" w:rsidRDefault="00000000">
      <w:pPr>
        <w:spacing w:after="120"/>
      </w:pPr>
      <w:r>
        <w:t xml:space="preserve">Alternative 1 assumed no change in existing policies and used the same growth assumptions outlined in the 2025 RTP. Minor differences from the </w:t>
      </w:r>
      <w:r w:rsidR="00A1235B">
        <w:t>Travel Demand Model run for the 2025 RTP</w:t>
      </w:r>
      <w:r>
        <w:t xml:space="preserve"> were due to starting from a 2025 base year</w:t>
      </w:r>
      <w:r w:rsidR="00A1235B">
        <w:t xml:space="preserve"> rather than a 2022 base year</w:t>
      </w:r>
      <w:r>
        <w:t xml:space="preserve">, which </w:t>
      </w:r>
      <w:r w:rsidR="00A1235B">
        <w:t>incorporated</w:t>
      </w:r>
      <w:r>
        <w:t xml:space="preserve"> additional information about the location</w:t>
      </w:r>
      <w:r w:rsidR="00F609EC">
        <w:t xml:space="preserve"> and number</w:t>
      </w:r>
      <w:r>
        <w:t xml:space="preserve"> of residential units in the Tahoe Basin and development that occurred between 2022 and 2025. Vacation home rental (VHR) numbers were also adjusted to reflect updated policies in </w:t>
      </w:r>
      <w:r w:rsidR="00F609EC">
        <w:t>the City of South Lake Tahoe</w:t>
      </w:r>
      <w:r>
        <w:t xml:space="preserve"> at the time the model was run.</w:t>
      </w:r>
    </w:p>
    <w:p w14:paraId="6E8DD702" w14:textId="77777777" w:rsidR="00AA01D2" w:rsidRDefault="00000000">
      <w:pPr>
        <w:spacing w:before="200" w:after="80"/>
      </w:pPr>
      <w:r>
        <w:rPr>
          <w:b/>
          <w:color w:val="54746A"/>
          <w:sz w:val="26"/>
        </w:rPr>
        <w:t>Forecast Methodology</w:t>
      </w:r>
    </w:p>
    <w:p w14:paraId="527E4C48" w14:textId="1ABF83C0" w:rsidR="00AA01D2" w:rsidRDefault="00000000">
      <w:pPr>
        <w:spacing w:after="120"/>
      </w:pPr>
      <w:r>
        <w:t xml:space="preserve">For each alternative, new residential development was allocated spatially to parcels meeting eligibility criteria specific to each unit pool category. Parcels were </w:t>
      </w:r>
      <w:r w:rsidR="00F609EC">
        <w:t>evaluated for eligibility</w:t>
      </w:r>
      <w:r>
        <w:t xml:space="preserve"> based on attributes including existing land use, ownership type, IPES score, housing zoning designation, location relative to TRPA</w:t>
      </w:r>
      <w:r w:rsidR="00F609EC">
        <w:t xml:space="preserve"> Bonus Unit Boundary</w:t>
      </w:r>
      <w:r>
        <w:t xml:space="preserve"> and Town Centers, and parcel size. Unit allocation within each pool proceeded sequentially until the pool target was reached. Occupancy rates and household income distributions were then applied by pool category</w:t>
      </w:r>
      <w:r w:rsidR="00F609EC">
        <w:t xml:space="preserve"> along with persons per household at the TAZ level</w:t>
      </w:r>
      <w:r>
        <w:t xml:space="preserve"> to translate new residential units into occupied households and population estimates for input to the travel demand model.</w:t>
      </w:r>
    </w:p>
    <w:p w14:paraId="52413701" w14:textId="4B67ECB9" w:rsidR="00AA01D2" w:rsidRDefault="00000000">
      <w:pPr>
        <w:spacing w:before="200" w:after="80"/>
      </w:pPr>
      <w:r>
        <w:rPr>
          <w:b/>
          <w:color w:val="54746A"/>
          <w:sz w:val="26"/>
        </w:rPr>
        <w:t xml:space="preserve">Alternative 2 — </w:t>
      </w:r>
      <w:r w:rsidR="00F609EC">
        <w:rPr>
          <w:b/>
          <w:color w:val="54746A"/>
          <w:sz w:val="26"/>
        </w:rPr>
        <w:t>Workforce</w:t>
      </w:r>
      <w:r>
        <w:rPr>
          <w:b/>
          <w:color w:val="54746A"/>
          <w:sz w:val="26"/>
        </w:rPr>
        <w:t xml:space="preserve"> Housing Focus</w:t>
      </w:r>
    </w:p>
    <w:p w14:paraId="2AE7FAD4" w14:textId="191DF4CB" w:rsidR="00AA01D2" w:rsidRDefault="00000000">
      <w:pPr>
        <w:spacing w:after="120"/>
      </w:pPr>
      <w:r>
        <w:t xml:space="preserve">Alternative 2 proposes a variety of changes to housing policy designed to increase the number of residential units constructed in the Tahoe Basin. Under this alternative, additional housing would be constructed across several unit pool categories, each with different assumptions about where units would be located. For the purposes of modeling, </w:t>
      </w:r>
      <w:r w:rsidR="00F609EC">
        <w:t xml:space="preserve">additional </w:t>
      </w:r>
      <w:r>
        <w:t>new development was</w:t>
      </w:r>
      <w:r w:rsidR="00C45855">
        <w:t xml:space="preserve"> randomly</w:t>
      </w:r>
      <w:r>
        <w:t xml:space="preserve"> assigned to parcels meeting the eligibility criteria for each pool.</w:t>
      </w:r>
    </w:p>
    <w:p w14:paraId="208E6C36" w14:textId="77777777" w:rsidR="00AA01D2" w:rsidRDefault="00000000">
      <w:pPr>
        <w:spacing w:after="80"/>
      </w:pPr>
      <w:r>
        <w:lastRenderedPageBreak/>
        <w:t>Additional bonus units in this alternative were distributed across the following categories and location eligibility criteria:</w:t>
      </w:r>
    </w:p>
    <w:tbl>
      <w:tblPr>
        <w:tblStyle w:val="TableGrid"/>
        <w:tblW w:w="0" w:type="auto"/>
        <w:jc w:val="center"/>
        <w:tblLook w:val="04A0" w:firstRow="1" w:lastRow="0" w:firstColumn="1" w:lastColumn="0" w:noHBand="0" w:noVBand="1"/>
      </w:tblPr>
      <w:tblGrid>
        <w:gridCol w:w="2232"/>
        <w:gridCol w:w="1224"/>
        <w:gridCol w:w="5903"/>
      </w:tblGrid>
      <w:tr w:rsidR="00AA01D2" w14:paraId="79F2659C" w14:textId="77777777">
        <w:trPr>
          <w:jc w:val="center"/>
        </w:trPr>
        <w:tc>
          <w:tcPr>
            <w:tcW w:w="2232" w:type="dxa"/>
            <w:shd w:val="clear" w:color="auto" w:fill="222B35"/>
            <w:vAlign w:val="center"/>
          </w:tcPr>
          <w:p w14:paraId="12DA1B40" w14:textId="77777777" w:rsidR="00AA01D2" w:rsidRDefault="00000000">
            <w:pPr>
              <w:jc w:val="center"/>
            </w:pPr>
            <w:r>
              <w:rPr>
                <w:b/>
                <w:color w:val="FFFFFF"/>
                <w:sz w:val="20"/>
              </w:rPr>
              <w:t>Unit Category</w:t>
            </w:r>
          </w:p>
        </w:tc>
        <w:tc>
          <w:tcPr>
            <w:tcW w:w="1224" w:type="dxa"/>
            <w:shd w:val="clear" w:color="auto" w:fill="222B35"/>
            <w:vAlign w:val="center"/>
          </w:tcPr>
          <w:p w14:paraId="5454329A" w14:textId="77777777" w:rsidR="00AA01D2" w:rsidRDefault="00000000">
            <w:pPr>
              <w:jc w:val="center"/>
            </w:pPr>
            <w:r>
              <w:rPr>
                <w:b/>
                <w:color w:val="FFFFFF"/>
                <w:sz w:val="20"/>
              </w:rPr>
              <w:t>New Units</w:t>
            </w:r>
          </w:p>
        </w:tc>
        <w:tc>
          <w:tcPr>
            <w:tcW w:w="5903" w:type="dxa"/>
            <w:shd w:val="clear" w:color="auto" w:fill="222B35"/>
            <w:vAlign w:val="center"/>
          </w:tcPr>
          <w:p w14:paraId="3D261B4E" w14:textId="77777777" w:rsidR="00AA01D2" w:rsidRDefault="00000000">
            <w:pPr>
              <w:jc w:val="center"/>
            </w:pPr>
            <w:r>
              <w:rPr>
                <w:b/>
                <w:color w:val="FFFFFF"/>
                <w:sz w:val="20"/>
              </w:rPr>
              <w:t>Location / Eligibility Criteria</w:t>
            </w:r>
          </w:p>
        </w:tc>
      </w:tr>
      <w:tr w:rsidR="00AA01D2" w14:paraId="717BDED6" w14:textId="77777777">
        <w:trPr>
          <w:jc w:val="center"/>
        </w:trPr>
        <w:tc>
          <w:tcPr>
            <w:tcW w:w="2232" w:type="dxa"/>
            <w:shd w:val="clear" w:color="auto" w:fill="A6A6A6"/>
          </w:tcPr>
          <w:p w14:paraId="63310F8D" w14:textId="77777777" w:rsidR="00AA01D2" w:rsidRDefault="00000000">
            <w:r>
              <w:rPr>
                <w:sz w:val="20"/>
              </w:rPr>
              <w:t>Affordable</w:t>
            </w:r>
          </w:p>
        </w:tc>
        <w:tc>
          <w:tcPr>
            <w:tcW w:w="1224" w:type="dxa"/>
            <w:shd w:val="clear" w:color="auto" w:fill="A6A6A6"/>
          </w:tcPr>
          <w:p w14:paraId="6C2E740E" w14:textId="77777777" w:rsidR="00AA01D2" w:rsidRDefault="00000000">
            <w:pPr>
              <w:jc w:val="center"/>
            </w:pPr>
            <w:r>
              <w:rPr>
                <w:sz w:val="20"/>
              </w:rPr>
              <w:t>456</w:t>
            </w:r>
          </w:p>
        </w:tc>
        <w:tc>
          <w:tcPr>
            <w:tcW w:w="5903" w:type="dxa"/>
            <w:shd w:val="clear" w:color="auto" w:fill="A6A6A6"/>
          </w:tcPr>
          <w:p w14:paraId="4D272323" w14:textId="77777777" w:rsidR="00AA01D2" w:rsidRDefault="00000000">
            <w:r>
              <w:rPr>
                <w:sz w:val="20"/>
              </w:rPr>
              <w:t>Within designated Town Centers</w:t>
            </w:r>
          </w:p>
        </w:tc>
      </w:tr>
      <w:tr w:rsidR="00AA01D2" w14:paraId="446356AF" w14:textId="77777777">
        <w:trPr>
          <w:jc w:val="center"/>
        </w:trPr>
        <w:tc>
          <w:tcPr>
            <w:tcW w:w="2232" w:type="dxa"/>
          </w:tcPr>
          <w:p w14:paraId="3820B1E0" w14:textId="77777777" w:rsidR="00AA01D2" w:rsidRDefault="00000000">
            <w:r>
              <w:rPr>
                <w:sz w:val="20"/>
              </w:rPr>
              <w:t>Moderate</w:t>
            </w:r>
          </w:p>
        </w:tc>
        <w:tc>
          <w:tcPr>
            <w:tcW w:w="1224" w:type="dxa"/>
          </w:tcPr>
          <w:p w14:paraId="5954BB36" w14:textId="77777777" w:rsidR="00AA01D2" w:rsidRDefault="00000000">
            <w:pPr>
              <w:jc w:val="center"/>
            </w:pPr>
            <w:r>
              <w:rPr>
                <w:sz w:val="20"/>
              </w:rPr>
              <w:t>285</w:t>
            </w:r>
          </w:p>
        </w:tc>
        <w:tc>
          <w:tcPr>
            <w:tcW w:w="5903" w:type="dxa"/>
          </w:tcPr>
          <w:p w14:paraId="229EE27B" w14:textId="77777777" w:rsidR="00AA01D2" w:rsidRDefault="00000000">
            <w:r>
              <w:rPr>
                <w:sz w:val="20"/>
              </w:rPr>
              <w:t>Within the Bonus Unit Boundary</w:t>
            </w:r>
          </w:p>
        </w:tc>
      </w:tr>
      <w:tr w:rsidR="00AA01D2" w14:paraId="7E96BBF1" w14:textId="77777777">
        <w:trPr>
          <w:jc w:val="center"/>
        </w:trPr>
        <w:tc>
          <w:tcPr>
            <w:tcW w:w="2232" w:type="dxa"/>
            <w:shd w:val="clear" w:color="auto" w:fill="A6A6A6"/>
          </w:tcPr>
          <w:p w14:paraId="320154C9" w14:textId="77777777" w:rsidR="00AA01D2" w:rsidRDefault="00000000">
            <w:r>
              <w:rPr>
                <w:sz w:val="20"/>
              </w:rPr>
              <w:t>Achievable</w:t>
            </w:r>
          </w:p>
        </w:tc>
        <w:tc>
          <w:tcPr>
            <w:tcW w:w="1224" w:type="dxa"/>
            <w:shd w:val="clear" w:color="auto" w:fill="A6A6A6"/>
          </w:tcPr>
          <w:p w14:paraId="781E7B5B" w14:textId="77777777" w:rsidR="00AA01D2" w:rsidRDefault="00000000">
            <w:pPr>
              <w:jc w:val="center"/>
            </w:pPr>
            <w:r>
              <w:rPr>
                <w:sz w:val="20"/>
              </w:rPr>
              <w:t>228</w:t>
            </w:r>
          </w:p>
        </w:tc>
        <w:tc>
          <w:tcPr>
            <w:tcW w:w="5903" w:type="dxa"/>
            <w:shd w:val="clear" w:color="auto" w:fill="A6A6A6"/>
          </w:tcPr>
          <w:p w14:paraId="446F582E" w14:textId="77777777" w:rsidR="00AA01D2" w:rsidRDefault="00000000">
            <w:r>
              <w:rPr>
                <w:sz w:val="20"/>
              </w:rPr>
              <w:t>Within the Bonus Unit Boundary</w:t>
            </w:r>
          </w:p>
        </w:tc>
      </w:tr>
      <w:tr w:rsidR="00AA01D2" w14:paraId="26BE591C" w14:textId="77777777">
        <w:trPr>
          <w:jc w:val="center"/>
        </w:trPr>
        <w:tc>
          <w:tcPr>
            <w:tcW w:w="2232" w:type="dxa"/>
          </w:tcPr>
          <w:p w14:paraId="77B50794" w14:textId="77777777" w:rsidR="00AA01D2" w:rsidRDefault="00000000">
            <w:r>
              <w:rPr>
                <w:sz w:val="20"/>
              </w:rPr>
              <w:t>Achievable</w:t>
            </w:r>
          </w:p>
        </w:tc>
        <w:tc>
          <w:tcPr>
            <w:tcW w:w="1224" w:type="dxa"/>
          </w:tcPr>
          <w:p w14:paraId="76F0C2DB" w14:textId="77777777" w:rsidR="00AA01D2" w:rsidRDefault="00000000">
            <w:pPr>
              <w:jc w:val="center"/>
            </w:pPr>
            <w:r>
              <w:rPr>
                <w:sz w:val="20"/>
              </w:rPr>
              <w:t>57</w:t>
            </w:r>
          </w:p>
        </w:tc>
        <w:tc>
          <w:tcPr>
            <w:tcW w:w="5903" w:type="dxa"/>
          </w:tcPr>
          <w:p w14:paraId="0D7042C6" w14:textId="77777777" w:rsidR="00AA01D2" w:rsidRDefault="00000000">
            <w:r>
              <w:rPr>
                <w:sz w:val="20"/>
              </w:rPr>
              <w:t>Anywhere residential development is allowed</w:t>
            </w:r>
          </w:p>
        </w:tc>
      </w:tr>
      <w:tr w:rsidR="00AA01D2" w14:paraId="5E33A6FF" w14:textId="77777777">
        <w:trPr>
          <w:jc w:val="center"/>
        </w:trPr>
        <w:tc>
          <w:tcPr>
            <w:tcW w:w="2232" w:type="dxa"/>
            <w:shd w:val="clear" w:color="auto" w:fill="A6A6A6"/>
          </w:tcPr>
          <w:p w14:paraId="6F6D3CF8" w14:textId="77777777" w:rsidR="00AA01D2" w:rsidRDefault="00000000">
            <w:r>
              <w:rPr>
                <w:sz w:val="20"/>
              </w:rPr>
              <w:t>Affordable by Design</w:t>
            </w:r>
          </w:p>
        </w:tc>
        <w:tc>
          <w:tcPr>
            <w:tcW w:w="1224" w:type="dxa"/>
            <w:shd w:val="clear" w:color="auto" w:fill="A6A6A6"/>
          </w:tcPr>
          <w:p w14:paraId="4CC8DFF8" w14:textId="77777777" w:rsidR="00AA01D2" w:rsidRDefault="00000000">
            <w:pPr>
              <w:jc w:val="center"/>
            </w:pPr>
            <w:r>
              <w:rPr>
                <w:sz w:val="20"/>
              </w:rPr>
              <w:t>114</w:t>
            </w:r>
          </w:p>
        </w:tc>
        <w:tc>
          <w:tcPr>
            <w:tcW w:w="5903" w:type="dxa"/>
            <w:shd w:val="clear" w:color="auto" w:fill="A6A6A6"/>
          </w:tcPr>
          <w:p w14:paraId="5144F9E5" w14:textId="77777777" w:rsidR="00AA01D2" w:rsidRDefault="00000000">
            <w:r>
              <w:rPr>
                <w:sz w:val="20"/>
              </w:rPr>
              <w:t>Anywhere residential development is allowed</w:t>
            </w:r>
          </w:p>
        </w:tc>
      </w:tr>
      <w:tr w:rsidR="00AA01D2" w14:paraId="7B512A49" w14:textId="77777777">
        <w:trPr>
          <w:jc w:val="center"/>
        </w:trPr>
        <w:tc>
          <w:tcPr>
            <w:tcW w:w="2232" w:type="dxa"/>
          </w:tcPr>
          <w:p w14:paraId="7E9A788C" w14:textId="77777777" w:rsidR="00AA01D2" w:rsidRDefault="00000000">
            <w:r>
              <w:rPr>
                <w:sz w:val="20"/>
              </w:rPr>
              <w:t>JADU</w:t>
            </w:r>
          </w:p>
        </w:tc>
        <w:tc>
          <w:tcPr>
            <w:tcW w:w="1224" w:type="dxa"/>
          </w:tcPr>
          <w:p w14:paraId="070F92FE" w14:textId="77777777" w:rsidR="00AA01D2" w:rsidRDefault="00000000">
            <w:pPr>
              <w:jc w:val="center"/>
            </w:pPr>
            <w:r>
              <w:rPr>
                <w:sz w:val="20"/>
              </w:rPr>
              <w:t>98</w:t>
            </w:r>
          </w:p>
        </w:tc>
        <w:tc>
          <w:tcPr>
            <w:tcW w:w="5903" w:type="dxa"/>
          </w:tcPr>
          <w:p w14:paraId="7B86BEC3" w14:textId="77777777" w:rsidR="00AA01D2" w:rsidRDefault="00000000">
            <w:r>
              <w:rPr>
                <w:sz w:val="20"/>
              </w:rPr>
              <w:t>Anywhere residential development is allowed</w:t>
            </w:r>
          </w:p>
        </w:tc>
      </w:tr>
      <w:tr w:rsidR="00AA01D2" w14:paraId="35BF14A2" w14:textId="77777777">
        <w:trPr>
          <w:jc w:val="center"/>
        </w:trPr>
        <w:tc>
          <w:tcPr>
            <w:tcW w:w="2232" w:type="dxa"/>
            <w:shd w:val="clear" w:color="auto" w:fill="D9E1F2"/>
          </w:tcPr>
          <w:p w14:paraId="73D01EA3" w14:textId="77777777" w:rsidR="00AA01D2" w:rsidRDefault="00000000">
            <w:r>
              <w:rPr>
                <w:b/>
                <w:sz w:val="20"/>
              </w:rPr>
              <w:t>Total Additional Bonus Units</w:t>
            </w:r>
          </w:p>
        </w:tc>
        <w:tc>
          <w:tcPr>
            <w:tcW w:w="1224" w:type="dxa"/>
            <w:shd w:val="clear" w:color="auto" w:fill="D9E1F2"/>
          </w:tcPr>
          <w:p w14:paraId="1234579E" w14:textId="77777777" w:rsidR="00AA01D2" w:rsidRDefault="00000000">
            <w:pPr>
              <w:jc w:val="center"/>
            </w:pPr>
            <w:r>
              <w:rPr>
                <w:b/>
                <w:sz w:val="20"/>
              </w:rPr>
              <w:t>1,238</w:t>
            </w:r>
          </w:p>
        </w:tc>
        <w:tc>
          <w:tcPr>
            <w:tcW w:w="5903" w:type="dxa"/>
            <w:shd w:val="clear" w:color="auto" w:fill="D9E1F2"/>
          </w:tcPr>
          <w:p w14:paraId="7D11FA5F" w14:textId="77777777" w:rsidR="00AA01D2" w:rsidRDefault="00AA01D2"/>
        </w:tc>
      </w:tr>
    </w:tbl>
    <w:p w14:paraId="7E876A15" w14:textId="77777777" w:rsidR="00AA01D2" w:rsidRDefault="00AA01D2"/>
    <w:p w14:paraId="2BFDA2AA" w14:textId="77777777" w:rsidR="00AA01D2" w:rsidRDefault="00000000">
      <w:pPr>
        <w:spacing w:before="80"/>
      </w:pPr>
      <w:r>
        <w:rPr>
          <w:color w:val="595959"/>
          <w:sz w:val="17"/>
        </w:rPr>
        <w:t>Note: These unit categories are in addition to the Bonus, General, and ADU pools shared across all alternatives. See Table 1 for full unit counts.</w:t>
      </w:r>
    </w:p>
    <w:p w14:paraId="3C561120" w14:textId="77777777" w:rsidR="00AA01D2" w:rsidRDefault="00AA01D2"/>
    <w:p w14:paraId="4CDBC966" w14:textId="44F0FD02" w:rsidR="00AA01D2" w:rsidRDefault="00000000">
      <w:pPr>
        <w:spacing w:before="200" w:after="80"/>
      </w:pPr>
      <w:r>
        <w:rPr>
          <w:b/>
          <w:color w:val="54746A"/>
          <w:sz w:val="26"/>
        </w:rPr>
        <w:t xml:space="preserve">Alternative 3 — </w:t>
      </w:r>
      <w:r w:rsidR="00907E93">
        <w:rPr>
          <w:b/>
          <w:color w:val="54746A"/>
          <w:sz w:val="26"/>
        </w:rPr>
        <w:t>Increased Usage of Existing Housing</w:t>
      </w:r>
    </w:p>
    <w:p w14:paraId="26CA208D" w14:textId="096AD331" w:rsidR="00AA01D2" w:rsidRDefault="00000000">
      <w:pPr>
        <w:spacing w:after="120"/>
      </w:pPr>
      <w:r>
        <w:t xml:space="preserve">Alternative 3 proposes a variety of changes to housing policy intended to increase the proportion of existing housing in the basin occupied by year-round residents. Under this alternative, new housing development was assigned to parcels in the same manner as Alternative 1 (No Action), and the residential occupancy rate was increased uniformly throughout the basin so that the </w:t>
      </w:r>
      <w:r w:rsidR="00907E93">
        <w:t>number of occupied units</w:t>
      </w:r>
      <w:r>
        <w:t xml:space="preserve"> reached the targeted number of additional </w:t>
      </w:r>
      <w:r w:rsidR="00F609EC">
        <w:t>occupied residential units</w:t>
      </w:r>
      <w:r>
        <w:t>.</w:t>
      </w:r>
      <w:r w:rsidR="00F609EC">
        <w:t xml:space="preserve"> Basin population in this scenario was then calculated by multiplying the occupied residential units by the persons per household at the TAZ level.</w:t>
      </w:r>
    </w:p>
    <w:p w14:paraId="334F9A8A" w14:textId="77777777" w:rsidR="00AA01D2" w:rsidRDefault="00000000">
      <w:pPr>
        <w:shd w:val="clear" w:color="auto" w:fill="54746A"/>
        <w:spacing w:before="280" w:after="120"/>
      </w:pPr>
      <w:r>
        <w:rPr>
          <w:b/>
          <w:color w:val="FFFFFF"/>
          <w:sz w:val="28"/>
        </w:rPr>
        <w:t xml:space="preserve">  Alternative Descriptions and Key Parameters</w:t>
      </w:r>
    </w:p>
    <w:p w14:paraId="0FE86765" w14:textId="77777777" w:rsidR="00AA01D2" w:rsidRDefault="00000000">
      <w:pPr>
        <w:spacing w:before="160" w:after="60"/>
      </w:pPr>
      <w:r>
        <w:rPr>
          <w:b/>
          <w:color w:val="44546A"/>
          <w:sz w:val="18"/>
        </w:rPr>
        <w:t>Table 1: Alternative Descriptions and Key Parameters</w:t>
      </w:r>
    </w:p>
    <w:tbl>
      <w:tblPr>
        <w:tblStyle w:val="TableGrid"/>
        <w:tblW w:w="0" w:type="auto"/>
        <w:tblLook w:val="04A0" w:firstRow="1" w:lastRow="0" w:firstColumn="1" w:lastColumn="0" w:noHBand="0" w:noVBand="1"/>
      </w:tblPr>
      <w:tblGrid>
        <w:gridCol w:w="3744"/>
        <w:gridCol w:w="1872"/>
        <w:gridCol w:w="1944"/>
        <w:gridCol w:w="1944"/>
      </w:tblGrid>
      <w:tr w:rsidR="00AA01D2" w14:paraId="4E54EBBA" w14:textId="77777777" w:rsidTr="00C45855">
        <w:tc>
          <w:tcPr>
            <w:tcW w:w="3744" w:type="dxa"/>
          </w:tcPr>
          <w:p w14:paraId="61D33733" w14:textId="77777777" w:rsidR="00AA01D2" w:rsidRPr="00C45855" w:rsidRDefault="00000000" w:rsidP="00C45855">
            <w:pPr>
              <w:rPr>
                <w:sz w:val="20"/>
              </w:rPr>
            </w:pPr>
            <w:r w:rsidRPr="00C45855">
              <w:rPr>
                <w:sz w:val="20"/>
              </w:rPr>
              <w:t>Parameter</w:t>
            </w:r>
          </w:p>
        </w:tc>
        <w:tc>
          <w:tcPr>
            <w:tcW w:w="1872" w:type="dxa"/>
          </w:tcPr>
          <w:p w14:paraId="7EF9917D" w14:textId="77777777" w:rsidR="00AA01D2" w:rsidRPr="00C45855" w:rsidRDefault="00000000" w:rsidP="00C45855">
            <w:pPr>
              <w:rPr>
                <w:sz w:val="20"/>
              </w:rPr>
            </w:pPr>
            <w:r w:rsidRPr="00C45855">
              <w:rPr>
                <w:sz w:val="20"/>
              </w:rPr>
              <w:t>Alternative 1</w:t>
            </w:r>
            <w:r w:rsidRPr="00C45855">
              <w:rPr>
                <w:sz w:val="20"/>
              </w:rPr>
              <w:br/>
              <w:t>(Baseline)</w:t>
            </w:r>
          </w:p>
        </w:tc>
        <w:tc>
          <w:tcPr>
            <w:tcW w:w="1944" w:type="dxa"/>
          </w:tcPr>
          <w:p w14:paraId="474F732D" w14:textId="77777777" w:rsidR="00AA01D2" w:rsidRPr="00C45855" w:rsidRDefault="00000000" w:rsidP="00C45855">
            <w:pPr>
              <w:rPr>
                <w:sz w:val="20"/>
              </w:rPr>
            </w:pPr>
            <w:r w:rsidRPr="00C45855">
              <w:rPr>
                <w:sz w:val="20"/>
              </w:rPr>
              <w:t>Alternative 2</w:t>
            </w:r>
            <w:r w:rsidRPr="00C45855">
              <w:rPr>
                <w:sz w:val="20"/>
              </w:rPr>
              <w:br/>
              <w:t>(Affordable</w:t>
            </w:r>
            <w:r w:rsidRPr="00C45855">
              <w:rPr>
                <w:sz w:val="20"/>
              </w:rPr>
              <w:br/>
              <w:t>Housing Focus)</w:t>
            </w:r>
          </w:p>
        </w:tc>
        <w:tc>
          <w:tcPr>
            <w:tcW w:w="1944" w:type="dxa"/>
          </w:tcPr>
          <w:p w14:paraId="4E026E79" w14:textId="11421C68" w:rsidR="00AA01D2" w:rsidRPr="00C45855" w:rsidRDefault="00000000" w:rsidP="00C45855">
            <w:pPr>
              <w:rPr>
                <w:sz w:val="20"/>
              </w:rPr>
            </w:pPr>
            <w:r w:rsidRPr="00C45855">
              <w:rPr>
                <w:sz w:val="20"/>
              </w:rPr>
              <w:t>Alternative 3</w:t>
            </w:r>
            <w:r w:rsidRPr="00C45855">
              <w:rPr>
                <w:sz w:val="20"/>
              </w:rPr>
              <w:br/>
              <w:t>(</w:t>
            </w:r>
            <w:r w:rsidR="00C45855">
              <w:rPr>
                <w:sz w:val="20"/>
              </w:rPr>
              <w:t>Increased Housing Utilization</w:t>
            </w:r>
            <w:r w:rsidRPr="00C45855">
              <w:rPr>
                <w:sz w:val="20"/>
              </w:rPr>
              <w:t>)</w:t>
            </w:r>
          </w:p>
        </w:tc>
      </w:tr>
      <w:tr w:rsidR="00AA01D2" w14:paraId="7FDE7370" w14:textId="77777777" w:rsidTr="00C45855">
        <w:tc>
          <w:tcPr>
            <w:tcW w:w="3744" w:type="dxa"/>
          </w:tcPr>
          <w:p w14:paraId="2AE41B42" w14:textId="77777777" w:rsidR="00AA01D2" w:rsidRPr="00C45855" w:rsidRDefault="00000000">
            <w:pPr>
              <w:rPr>
                <w:sz w:val="20"/>
              </w:rPr>
            </w:pPr>
            <w:r>
              <w:rPr>
                <w:sz w:val="20"/>
              </w:rPr>
              <w:t>Total New Residential Units</w:t>
            </w:r>
          </w:p>
        </w:tc>
        <w:tc>
          <w:tcPr>
            <w:tcW w:w="1872" w:type="dxa"/>
          </w:tcPr>
          <w:p w14:paraId="0BF680E8" w14:textId="77777777" w:rsidR="00AA01D2" w:rsidRPr="00C45855" w:rsidRDefault="00000000">
            <w:pPr>
              <w:jc w:val="center"/>
              <w:rPr>
                <w:sz w:val="20"/>
              </w:rPr>
            </w:pPr>
            <w:r>
              <w:rPr>
                <w:sz w:val="20"/>
              </w:rPr>
              <w:t>3,377</w:t>
            </w:r>
          </w:p>
        </w:tc>
        <w:tc>
          <w:tcPr>
            <w:tcW w:w="1944" w:type="dxa"/>
          </w:tcPr>
          <w:p w14:paraId="0ABBF42A" w14:textId="77777777" w:rsidR="00AA01D2" w:rsidRPr="00C45855" w:rsidRDefault="00000000">
            <w:pPr>
              <w:jc w:val="center"/>
              <w:rPr>
                <w:sz w:val="20"/>
              </w:rPr>
            </w:pPr>
            <w:r>
              <w:rPr>
                <w:sz w:val="20"/>
              </w:rPr>
              <w:t>4,615</w:t>
            </w:r>
          </w:p>
        </w:tc>
        <w:tc>
          <w:tcPr>
            <w:tcW w:w="1944" w:type="dxa"/>
          </w:tcPr>
          <w:p w14:paraId="6792A55B" w14:textId="77777777" w:rsidR="00AA01D2" w:rsidRPr="00C45855" w:rsidRDefault="00000000">
            <w:pPr>
              <w:jc w:val="center"/>
              <w:rPr>
                <w:sz w:val="20"/>
              </w:rPr>
            </w:pPr>
            <w:r>
              <w:rPr>
                <w:sz w:val="20"/>
              </w:rPr>
              <w:t>3,377</w:t>
            </w:r>
          </w:p>
        </w:tc>
      </w:tr>
      <w:tr w:rsidR="00AA01D2" w14:paraId="1CDFF217" w14:textId="77777777" w:rsidTr="00C45855">
        <w:tc>
          <w:tcPr>
            <w:tcW w:w="3744" w:type="dxa"/>
          </w:tcPr>
          <w:p w14:paraId="13FF98A9" w14:textId="77777777" w:rsidR="00AA01D2" w:rsidRDefault="00000000">
            <w:r>
              <w:rPr>
                <w:sz w:val="20"/>
              </w:rPr>
              <w:t xml:space="preserve">  Bonus Units</w:t>
            </w:r>
          </w:p>
        </w:tc>
        <w:tc>
          <w:tcPr>
            <w:tcW w:w="1872" w:type="dxa"/>
          </w:tcPr>
          <w:p w14:paraId="4F90405E" w14:textId="77777777" w:rsidR="00AA01D2" w:rsidRDefault="00000000">
            <w:pPr>
              <w:jc w:val="center"/>
            </w:pPr>
            <w:r>
              <w:rPr>
                <w:sz w:val="20"/>
              </w:rPr>
              <w:t>1,246</w:t>
            </w:r>
          </w:p>
        </w:tc>
        <w:tc>
          <w:tcPr>
            <w:tcW w:w="1944" w:type="dxa"/>
          </w:tcPr>
          <w:p w14:paraId="6C024018" w14:textId="77777777" w:rsidR="00AA01D2" w:rsidRDefault="00000000">
            <w:pPr>
              <w:jc w:val="center"/>
            </w:pPr>
            <w:r>
              <w:rPr>
                <w:sz w:val="20"/>
              </w:rPr>
              <w:t>1,246</w:t>
            </w:r>
          </w:p>
        </w:tc>
        <w:tc>
          <w:tcPr>
            <w:tcW w:w="1944" w:type="dxa"/>
          </w:tcPr>
          <w:p w14:paraId="2D61D2C7" w14:textId="77777777" w:rsidR="00AA01D2" w:rsidRDefault="00000000">
            <w:pPr>
              <w:jc w:val="center"/>
            </w:pPr>
            <w:r>
              <w:rPr>
                <w:sz w:val="20"/>
              </w:rPr>
              <w:t>1,246</w:t>
            </w:r>
          </w:p>
        </w:tc>
      </w:tr>
      <w:tr w:rsidR="00AA01D2" w14:paraId="38FDAD89" w14:textId="77777777" w:rsidTr="00C45855">
        <w:tc>
          <w:tcPr>
            <w:tcW w:w="3744" w:type="dxa"/>
          </w:tcPr>
          <w:p w14:paraId="56570F02" w14:textId="77777777" w:rsidR="00AA01D2" w:rsidRDefault="00000000">
            <w:r>
              <w:rPr>
                <w:sz w:val="20"/>
              </w:rPr>
              <w:t xml:space="preserve">  General Units</w:t>
            </w:r>
          </w:p>
        </w:tc>
        <w:tc>
          <w:tcPr>
            <w:tcW w:w="1872" w:type="dxa"/>
          </w:tcPr>
          <w:p w14:paraId="64E79179" w14:textId="77777777" w:rsidR="00AA01D2" w:rsidRDefault="00000000">
            <w:pPr>
              <w:jc w:val="center"/>
            </w:pPr>
            <w:r>
              <w:rPr>
                <w:sz w:val="20"/>
              </w:rPr>
              <w:t>2,021</w:t>
            </w:r>
          </w:p>
        </w:tc>
        <w:tc>
          <w:tcPr>
            <w:tcW w:w="1944" w:type="dxa"/>
          </w:tcPr>
          <w:p w14:paraId="22C4AF51" w14:textId="77777777" w:rsidR="00AA01D2" w:rsidRDefault="00000000">
            <w:pPr>
              <w:jc w:val="center"/>
            </w:pPr>
            <w:r>
              <w:rPr>
                <w:sz w:val="20"/>
              </w:rPr>
              <w:t>2,021</w:t>
            </w:r>
          </w:p>
        </w:tc>
        <w:tc>
          <w:tcPr>
            <w:tcW w:w="1944" w:type="dxa"/>
          </w:tcPr>
          <w:p w14:paraId="6E868087" w14:textId="77777777" w:rsidR="00AA01D2" w:rsidRDefault="00000000">
            <w:pPr>
              <w:jc w:val="center"/>
            </w:pPr>
            <w:r>
              <w:rPr>
                <w:sz w:val="20"/>
              </w:rPr>
              <w:t>2,021</w:t>
            </w:r>
          </w:p>
        </w:tc>
      </w:tr>
      <w:tr w:rsidR="00AA01D2" w14:paraId="5509A93C" w14:textId="77777777" w:rsidTr="00C45855">
        <w:tc>
          <w:tcPr>
            <w:tcW w:w="3744" w:type="dxa"/>
          </w:tcPr>
          <w:p w14:paraId="76F72939" w14:textId="77777777" w:rsidR="00AA01D2" w:rsidRPr="00F609EC" w:rsidRDefault="00000000">
            <w:pPr>
              <w:rPr>
                <w:sz w:val="20"/>
              </w:rPr>
            </w:pPr>
            <w:r>
              <w:rPr>
                <w:sz w:val="20"/>
              </w:rPr>
              <w:t xml:space="preserve">  ADU</w:t>
            </w:r>
          </w:p>
        </w:tc>
        <w:tc>
          <w:tcPr>
            <w:tcW w:w="1872" w:type="dxa"/>
          </w:tcPr>
          <w:p w14:paraId="02F5625A" w14:textId="77777777" w:rsidR="00AA01D2" w:rsidRPr="00F609EC" w:rsidRDefault="00000000">
            <w:pPr>
              <w:jc w:val="center"/>
              <w:rPr>
                <w:sz w:val="20"/>
              </w:rPr>
            </w:pPr>
            <w:r>
              <w:rPr>
                <w:sz w:val="20"/>
              </w:rPr>
              <w:t>110</w:t>
            </w:r>
          </w:p>
        </w:tc>
        <w:tc>
          <w:tcPr>
            <w:tcW w:w="1944" w:type="dxa"/>
          </w:tcPr>
          <w:p w14:paraId="1ACAC6E0" w14:textId="77777777" w:rsidR="00AA01D2" w:rsidRPr="00F609EC" w:rsidRDefault="00000000">
            <w:pPr>
              <w:jc w:val="center"/>
              <w:rPr>
                <w:sz w:val="20"/>
              </w:rPr>
            </w:pPr>
            <w:r>
              <w:rPr>
                <w:sz w:val="20"/>
              </w:rPr>
              <w:t>110</w:t>
            </w:r>
          </w:p>
        </w:tc>
        <w:tc>
          <w:tcPr>
            <w:tcW w:w="1944" w:type="dxa"/>
          </w:tcPr>
          <w:p w14:paraId="703C5159" w14:textId="77777777" w:rsidR="00AA01D2" w:rsidRPr="00F609EC" w:rsidRDefault="00000000">
            <w:pPr>
              <w:jc w:val="center"/>
              <w:rPr>
                <w:sz w:val="20"/>
              </w:rPr>
            </w:pPr>
            <w:r>
              <w:rPr>
                <w:sz w:val="20"/>
              </w:rPr>
              <w:t>110</w:t>
            </w:r>
          </w:p>
        </w:tc>
      </w:tr>
      <w:tr w:rsidR="00F609EC" w14:paraId="4AF5F2CE" w14:textId="77777777" w:rsidTr="00C45855">
        <w:tc>
          <w:tcPr>
            <w:tcW w:w="3744" w:type="dxa"/>
          </w:tcPr>
          <w:p w14:paraId="41C1EE6B" w14:textId="113337CB" w:rsidR="00F609EC" w:rsidRDefault="00B42D98" w:rsidP="00F609EC">
            <w:pPr>
              <w:rPr>
                <w:sz w:val="20"/>
              </w:rPr>
            </w:pPr>
            <w:r>
              <w:rPr>
                <w:sz w:val="20"/>
              </w:rPr>
              <w:t xml:space="preserve">Total </w:t>
            </w:r>
            <w:r w:rsidR="00F609EC">
              <w:rPr>
                <w:sz w:val="20"/>
              </w:rPr>
              <w:t>Additional Units vs. Alternative 1</w:t>
            </w:r>
          </w:p>
        </w:tc>
        <w:tc>
          <w:tcPr>
            <w:tcW w:w="1872" w:type="dxa"/>
          </w:tcPr>
          <w:p w14:paraId="47E447DA" w14:textId="66715C8A" w:rsidR="00F609EC" w:rsidRDefault="00F609EC" w:rsidP="00F609EC">
            <w:pPr>
              <w:jc w:val="center"/>
              <w:rPr>
                <w:sz w:val="20"/>
              </w:rPr>
            </w:pPr>
            <w:r>
              <w:rPr>
                <w:sz w:val="20"/>
              </w:rPr>
              <w:t>—</w:t>
            </w:r>
          </w:p>
        </w:tc>
        <w:tc>
          <w:tcPr>
            <w:tcW w:w="1944" w:type="dxa"/>
          </w:tcPr>
          <w:p w14:paraId="1BA5585B" w14:textId="25F80BA7" w:rsidR="00F609EC" w:rsidRDefault="00F609EC" w:rsidP="00F609EC">
            <w:pPr>
              <w:jc w:val="center"/>
              <w:rPr>
                <w:sz w:val="20"/>
              </w:rPr>
            </w:pPr>
            <w:r>
              <w:rPr>
                <w:sz w:val="20"/>
              </w:rPr>
              <w:t>+1,238</w:t>
            </w:r>
          </w:p>
        </w:tc>
        <w:tc>
          <w:tcPr>
            <w:tcW w:w="1944" w:type="dxa"/>
          </w:tcPr>
          <w:p w14:paraId="313B4C96" w14:textId="37E3C043" w:rsidR="00F609EC" w:rsidRDefault="00F609EC" w:rsidP="00F609EC">
            <w:pPr>
              <w:jc w:val="center"/>
              <w:rPr>
                <w:sz w:val="20"/>
              </w:rPr>
            </w:pPr>
            <w:r>
              <w:rPr>
                <w:sz w:val="20"/>
              </w:rPr>
              <w:t>—</w:t>
            </w:r>
          </w:p>
        </w:tc>
      </w:tr>
      <w:tr w:rsidR="00AA01D2" w14:paraId="0B73AE76" w14:textId="77777777" w:rsidTr="00C45855">
        <w:tc>
          <w:tcPr>
            <w:tcW w:w="3744" w:type="dxa"/>
          </w:tcPr>
          <w:p w14:paraId="6EAE3DD5" w14:textId="77777777" w:rsidR="00AA01D2" w:rsidRPr="00F609EC" w:rsidRDefault="00000000">
            <w:pPr>
              <w:rPr>
                <w:sz w:val="20"/>
              </w:rPr>
            </w:pPr>
            <w:r>
              <w:rPr>
                <w:sz w:val="20"/>
              </w:rPr>
              <w:t xml:space="preserve">  Affordable Units</w:t>
            </w:r>
          </w:p>
        </w:tc>
        <w:tc>
          <w:tcPr>
            <w:tcW w:w="1872" w:type="dxa"/>
          </w:tcPr>
          <w:p w14:paraId="2D8708D2" w14:textId="77777777" w:rsidR="00AA01D2" w:rsidRPr="00F609EC" w:rsidRDefault="00000000">
            <w:pPr>
              <w:jc w:val="center"/>
              <w:rPr>
                <w:sz w:val="20"/>
              </w:rPr>
            </w:pPr>
            <w:r>
              <w:rPr>
                <w:sz w:val="20"/>
              </w:rPr>
              <w:t>—</w:t>
            </w:r>
          </w:p>
        </w:tc>
        <w:tc>
          <w:tcPr>
            <w:tcW w:w="1944" w:type="dxa"/>
          </w:tcPr>
          <w:p w14:paraId="306A1E42" w14:textId="77777777" w:rsidR="00AA01D2" w:rsidRPr="00F609EC" w:rsidRDefault="00000000">
            <w:pPr>
              <w:jc w:val="center"/>
              <w:rPr>
                <w:sz w:val="20"/>
              </w:rPr>
            </w:pPr>
            <w:r>
              <w:rPr>
                <w:sz w:val="20"/>
              </w:rPr>
              <w:t>456</w:t>
            </w:r>
          </w:p>
        </w:tc>
        <w:tc>
          <w:tcPr>
            <w:tcW w:w="1944" w:type="dxa"/>
          </w:tcPr>
          <w:p w14:paraId="721785C4" w14:textId="77777777" w:rsidR="00AA01D2" w:rsidRPr="00F609EC" w:rsidRDefault="00000000">
            <w:pPr>
              <w:jc w:val="center"/>
              <w:rPr>
                <w:sz w:val="20"/>
              </w:rPr>
            </w:pPr>
            <w:r>
              <w:rPr>
                <w:sz w:val="20"/>
              </w:rPr>
              <w:t>—</w:t>
            </w:r>
          </w:p>
        </w:tc>
      </w:tr>
      <w:tr w:rsidR="00AA01D2" w14:paraId="67F0B116" w14:textId="77777777" w:rsidTr="00C45855">
        <w:tc>
          <w:tcPr>
            <w:tcW w:w="3744" w:type="dxa"/>
          </w:tcPr>
          <w:p w14:paraId="6FF89AE3" w14:textId="77777777" w:rsidR="00AA01D2" w:rsidRPr="00F609EC" w:rsidRDefault="00000000">
            <w:pPr>
              <w:rPr>
                <w:sz w:val="20"/>
              </w:rPr>
            </w:pPr>
            <w:r>
              <w:rPr>
                <w:sz w:val="20"/>
              </w:rPr>
              <w:t xml:space="preserve">  Moderate Units</w:t>
            </w:r>
          </w:p>
        </w:tc>
        <w:tc>
          <w:tcPr>
            <w:tcW w:w="1872" w:type="dxa"/>
          </w:tcPr>
          <w:p w14:paraId="2F5AF53F" w14:textId="77777777" w:rsidR="00AA01D2" w:rsidRPr="00F609EC" w:rsidRDefault="00000000">
            <w:pPr>
              <w:jc w:val="center"/>
              <w:rPr>
                <w:sz w:val="20"/>
              </w:rPr>
            </w:pPr>
            <w:r>
              <w:rPr>
                <w:sz w:val="20"/>
              </w:rPr>
              <w:t>—</w:t>
            </w:r>
          </w:p>
        </w:tc>
        <w:tc>
          <w:tcPr>
            <w:tcW w:w="1944" w:type="dxa"/>
          </w:tcPr>
          <w:p w14:paraId="4F7F3240" w14:textId="77777777" w:rsidR="00AA01D2" w:rsidRPr="00F609EC" w:rsidRDefault="00000000">
            <w:pPr>
              <w:jc w:val="center"/>
              <w:rPr>
                <w:sz w:val="20"/>
              </w:rPr>
            </w:pPr>
            <w:r>
              <w:rPr>
                <w:sz w:val="20"/>
              </w:rPr>
              <w:t>285</w:t>
            </w:r>
          </w:p>
        </w:tc>
        <w:tc>
          <w:tcPr>
            <w:tcW w:w="1944" w:type="dxa"/>
          </w:tcPr>
          <w:p w14:paraId="5DB79C36" w14:textId="77777777" w:rsidR="00AA01D2" w:rsidRPr="00F609EC" w:rsidRDefault="00000000">
            <w:pPr>
              <w:jc w:val="center"/>
              <w:rPr>
                <w:sz w:val="20"/>
              </w:rPr>
            </w:pPr>
            <w:r>
              <w:rPr>
                <w:sz w:val="20"/>
              </w:rPr>
              <w:t>—</w:t>
            </w:r>
          </w:p>
        </w:tc>
      </w:tr>
      <w:tr w:rsidR="00AA01D2" w14:paraId="1DEE1FE3" w14:textId="77777777" w:rsidTr="00C45855">
        <w:tc>
          <w:tcPr>
            <w:tcW w:w="3744" w:type="dxa"/>
          </w:tcPr>
          <w:p w14:paraId="17C6814C" w14:textId="77777777" w:rsidR="00AA01D2" w:rsidRPr="00F609EC" w:rsidRDefault="00000000">
            <w:pPr>
              <w:rPr>
                <w:sz w:val="20"/>
              </w:rPr>
            </w:pPr>
            <w:r>
              <w:rPr>
                <w:sz w:val="20"/>
              </w:rPr>
              <w:t xml:space="preserve">  Achievable Bonus</w:t>
            </w:r>
          </w:p>
        </w:tc>
        <w:tc>
          <w:tcPr>
            <w:tcW w:w="1872" w:type="dxa"/>
          </w:tcPr>
          <w:p w14:paraId="355AEE18" w14:textId="77777777" w:rsidR="00AA01D2" w:rsidRPr="00F609EC" w:rsidRDefault="00000000">
            <w:pPr>
              <w:jc w:val="center"/>
              <w:rPr>
                <w:sz w:val="20"/>
              </w:rPr>
            </w:pPr>
            <w:r>
              <w:rPr>
                <w:sz w:val="20"/>
              </w:rPr>
              <w:t>—</w:t>
            </w:r>
          </w:p>
        </w:tc>
        <w:tc>
          <w:tcPr>
            <w:tcW w:w="1944" w:type="dxa"/>
          </w:tcPr>
          <w:p w14:paraId="7C6CCC02" w14:textId="77777777" w:rsidR="00AA01D2" w:rsidRPr="00F609EC" w:rsidRDefault="00000000">
            <w:pPr>
              <w:jc w:val="center"/>
              <w:rPr>
                <w:sz w:val="20"/>
              </w:rPr>
            </w:pPr>
            <w:r>
              <w:rPr>
                <w:sz w:val="20"/>
              </w:rPr>
              <w:t>228</w:t>
            </w:r>
          </w:p>
        </w:tc>
        <w:tc>
          <w:tcPr>
            <w:tcW w:w="1944" w:type="dxa"/>
          </w:tcPr>
          <w:p w14:paraId="74DB58E4" w14:textId="77777777" w:rsidR="00AA01D2" w:rsidRPr="00F609EC" w:rsidRDefault="00000000">
            <w:pPr>
              <w:jc w:val="center"/>
              <w:rPr>
                <w:sz w:val="20"/>
              </w:rPr>
            </w:pPr>
            <w:r>
              <w:rPr>
                <w:sz w:val="20"/>
              </w:rPr>
              <w:t>—</w:t>
            </w:r>
          </w:p>
        </w:tc>
      </w:tr>
      <w:tr w:rsidR="00AA01D2" w14:paraId="71D620B5" w14:textId="77777777" w:rsidTr="00C45855">
        <w:tc>
          <w:tcPr>
            <w:tcW w:w="3744" w:type="dxa"/>
          </w:tcPr>
          <w:p w14:paraId="534A0115" w14:textId="77777777" w:rsidR="00AA01D2" w:rsidRPr="00F609EC" w:rsidRDefault="00000000">
            <w:pPr>
              <w:rPr>
                <w:sz w:val="20"/>
              </w:rPr>
            </w:pPr>
            <w:r>
              <w:rPr>
                <w:sz w:val="20"/>
              </w:rPr>
              <w:t xml:space="preserve">  Achievable General</w:t>
            </w:r>
          </w:p>
        </w:tc>
        <w:tc>
          <w:tcPr>
            <w:tcW w:w="1872" w:type="dxa"/>
          </w:tcPr>
          <w:p w14:paraId="5918769E" w14:textId="77777777" w:rsidR="00AA01D2" w:rsidRPr="00F609EC" w:rsidRDefault="00000000">
            <w:pPr>
              <w:jc w:val="center"/>
              <w:rPr>
                <w:sz w:val="20"/>
              </w:rPr>
            </w:pPr>
            <w:r>
              <w:rPr>
                <w:sz w:val="20"/>
              </w:rPr>
              <w:t>—</w:t>
            </w:r>
          </w:p>
        </w:tc>
        <w:tc>
          <w:tcPr>
            <w:tcW w:w="1944" w:type="dxa"/>
          </w:tcPr>
          <w:p w14:paraId="1A8B6C22" w14:textId="77777777" w:rsidR="00AA01D2" w:rsidRPr="00F609EC" w:rsidRDefault="00000000">
            <w:pPr>
              <w:jc w:val="center"/>
              <w:rPr>
                <w:sz w:val="20"/>
              </w:rPr>
            </w:pPr>
            <w:r>
              <w:rPr>
                <w:sz w:val="20"/>
              </w:rPr>
              <w:t>57</w:t>
            </w:r>
          </w:p>
        </w:tc>
        <w:tc>
          <w:tcPr>
            <w:tcW w:w="1944" w:type="dxa"/>
          </w:tcPr>
          <w:p w14:paraId="71C01AEE" w14:textId="77777777" w:rsidR="00AA01D2" w:rsidRPr="00F609EC" w:rsidRDefault="00000000">
            <w:pPr>
              <w:jc w:val="center"/>
              <w:rPr>
                <w:sz w:val="20"/>
              </w:rPr>
            </w:pPr>
            <w:r>
              <w:rPr>
                <w:sz w:val="20"/>
              </w:rPr>
              <w:t>—</w:t>
            </w:r>
          </w:p>
        </w:tc>
      </w:tr>
      <w:tr w:rsidR="00AA01D2" w14:paraId="72AC9AE7" w14:textId="77777777" w:rsidTr="00C45855">
        <w:tc>
          <w:tcPr>
            <w:tcW w:w="3744" w:type="dxa"/>
          </w:tcPr>
          <w:p w14:paraId="3EB1B085" w14:textId="77777777" w:rsidR="00AA01D2" w:rsidRPr="00F609EC" w:rsidRDefault="00000000">
            <w:pPr>
              <w:rPr>
                <w:sz w:val="20"/>
              </w:rPr>
            </w:pPr>
            <w:r>
              <w:rPr>
                <w:sz w:val="20"/>
              </w:rPr>
              <w:t xml:space="preserve">  Affordable by Design</w:t>
            </w:r>
          </w:p>
        </w:tc>
        <w:tc>
          <w:tcPr>
            <w:tcW w:w="1872" w:type="dxa"/>
          </w:tcPr>
          <w:p w14:paraId="41CDC664" w14:textId="77777777" w:rsidR="00AA01D2" w:rsidRPr="00F609EC" w:rsidRDefault="00000000">
            <w:pPr>
              <w:jc w:val="center"/>
              <w:rPr>
                <w:sz w:val="20"/>
              </w:rPr>
            </w:pPr>
            <w:r>
              <w:rPr>
                <w:sz w:val="20"/>
              </w:rPr>
              <w:t>—</w:t>
            </w:r>
          </w:p>
        </w:tc>
        <w:tc>
          <w:tcPr>
            <w:tcW w:w="1944" w:type="dxa"/>
          </w:tcPr>
          <w:p w14:paraId="0E40CFA2" w14:textId="77777777" w:rsidR="00AA01D2" w:rsidRPr="00F609EC" w:rsidRDefault="00000000">
            <w:pPr>
              <w:jc w:val="center"/>
              <w:rPr>
                <w:sz w:val="20"/>
              </w:rPr>
            </w:pPr>
            <w:r>
              <w:rPr>
                <w:sz w:val="20"/>
              </w:rPr>
              <w:t>114</w:t>
            </w:r>
          </w:p>
        </w:tc>
        <w:tc>
          <w:tcPr>
            <w:tcW w:w="1944" w:type="dxa"/>
          </w:tcPr>
          <w:p w14:paraId="676A4381" w14:textId="77777777" w:rsidR="00AA01D2" w:rsidRPr="00F609EC" w:rsidRDefault="00000000">
            <w:pPr>
              <w:jc w:val="center"/>
              <w:rPr>
                <w:sz w:val="20"/>
              </w:rPr>
            </w:pPr>
            <w:r>
              <w:rPr>
                <w:sz w:val="20"/>
              </w:rPr>
              <w:t>—</w:t>
            </w:r>
          </w:p>
        </w:tc>
      </w:tr>
      <w:tr w:rsidR="00AA01D2" w14:paraId="59F4335F" w14:textId="77777777" w:rsidTr="00C45855">
        <w:tc>
          <w:tcPr>
            <w:tcW w:w="3744" w:type="dxa"/>
          </w:tcPr>
          <w:p w14:paraId="62BF9776" w14:textId="77777777" w:rsidR="00AA01D2" w:rsidRPr="00F609EC" w:rsidRDefault="00000000">
            <w:pPr>
              <w:rPr>
                <w:sz w:val="20"/>
              </w:rPr>
            </w:pPr>
            <w:r>
              <w:rPr>
                <w:sz w:val="20"/>
              </w:rPr>
              <w:t xml:space="preserve">  JADU</w:t>
            </w:r>
          </w:p>
        </w:tc>
        <w:tc>
          <w:tcPr>
            <w:tcW w:w="1872" w:type="dxa"/>
          </w:tcPr>
          <w:p w14:paraId="6B227A55" w14:textId="77777777" w:rsidR="00AA01D2" w:rsidRPr="00F609EC" w:rsidRDefault="00000000">
            <w:pPr>
              <w:jc w:val="center"/>
              <w:rPr>
                <w:sz w:val="20"/>
              </w:rPr>
            </w:pPr>
            <w:r>
              <w:rPr>
                <w:sz w:val="20"/>
              </w:rPr>
              <w:t>—</w:t>
            </w:r>
          </w:p>
        </w:tc>
        <w:tc>
          <w:tcPr>
            <w:tcW w:w="1944" w:type="dxa"/>
          </w:tcPr>
          <w:p w14:paraId="24BC015F" w14:textId="77777777" w:rsidR="00AA01D2" w:rsidRPr="00F609EC" w:rsidRDefault="00000000">
            <w:pPr>
              <w:jc w:val="center"/>
              <w:rPr>
                <w:sz w:val="20"/>
              </w:rPr>
            </w:pPr>
            <w:r>
              <w:rPr>
                <w:sz w:val="20"/>
              </w:rPr>
              <w:t>98</w:t>
            </w:r>
          </w:p>
        </w:tc>
        <w:tc>
          <w:tcPr>
            <w:tcW w:w="1944" w:type="dxa"/>
          </w:tcPr>
          <w:p w14:paraId="5B8D61F7" w14:textId="77777777" w:rsidR="00AA01D2" w:rsidRPr="00F609EC" w:rsidRDefault="00000000">
            <w:pPr>
              <w:jc w:val="center"/>
              <w:rPr>
                <w:sz w:val="20"/>
              </w:rPr>
            </w:pPr>
            <w:r>
              <w:rPr>
                <w:sz w:val="20"/>
              </w:rPr>
              <w:t>—</w:t>
            </w:r>
          </w:p>
        </w:tc>
      </w:tr>
      <w:tr w:rsidR="00AA01D2" w14:paraId="49961434" w14:textId="77777777" w:rsidTr="00C45855">
        <w:tc>
          <w:tcPr>
            <w:tcW w:w="3744" w:type="dxa"/>
          </w:tcPr>
          <w:p w14:paraId="02351D86" w14:textId="77777777" w:rsidR="00AA01D2" w:rsidRPr="00F609EC" w:rsidRDefault="00000000">
            <w:pPr>
              <w:rPr>
                <w:sz w:val="20"/>
              </w:rPr>
            </w:pPr>
            <w:r>
              <w:rPr>
                <w:sz w:val="20"/>
              </w:rPr>
              <w:t>Occupancy Adjustment (2035)</w:t>
            </w:r>
          </w:p>
        </w:tc>
        <w:tc>
          <w:tcPr>
            <w:tcW w:w="1872" w:type="dxa"/>
          </w:tcPr>
          <w:p w14:paraId="4ABA4F22" w14:textId="77777777" w:rsidR="00AA01D2" w:rsidRPr="00F609EC" w:rsidRDefault="00000000">
            <w:pPr>
              <w:jc w:val="center"/>
              <w:rPr>
                <w:sz w:val="20"/>
              </w:rPr>
            </w:pPr>
            <w:r>
              <w:rPr>
                <w:sz w:val="20"/>
              </w:rPr>
              <w:t>None</w:t>
            </w:r>
          </w:p>
        </w:tc>
        <w:tc>
          <w:tcPr>
            <w:tcW w:w="1944" w:type="dxa"/>
          </w:tcPr>
          <w:p w14:paraId="687AA0B2" w14:textId="77777777" w:rsidR="00AA01D2" w:rsidRPr="00F609EC" w:rsidRDefault="00000000">
            <w:pPr>
              <w:jc w:val="center"/>
              <w:rPr>
                <w:sz w:val="20"/>
              </w:rPr>
            </w:pPr>
            <w:r>
              <w:rPr>
                <w:sz w:val="20"/>
              </w:rPr>
              <w:t>None</w:t>
            </w:r>
          </w:p>
        </w:tc>
        <w:tc>
          <w:tcPr>
            <w:tcW w:w="1944" w:type="dxa"/>
          </w:tcPr>
          <w:p w14:paraId="4373B93C" w14:textId="77777777" w:rsidR="00AA01D2" w:rsidRPr="00F609EC" w:rsidRDefault="00000000">
            <w:pPr>
              <w:jc w:val="center"/>
              <w:rPr>
                <w:sz w:val="20"/>
              </w:rPr>
            </w:pPr>
            <w:r>
              <w:rPr>
                <w:sz w:val="20"/>
              </w:rPr>
              <w:t>+332 occupied units</w:t>
            </w:r>
          </w:p>
        </w:tc>
      </w:tr>
      <w:tr w:rsidR="00AA01D2" w14:paraId="38AFD876" w14:textId="77777777" w:rsidTr="00C45855">
        <w:tc>
          <w:tcPr>
            <w:tcW w:w="3744" w:type="dxa"/>
          </w:tcPr>
          <w:p w14:paraId="1D91EDD4" w14:textId="77777777" w:rsidR="00AA01D2" w:rsidRPr="00F609EC" w:rsidRDefault="00000000">
            <w:pPr>
              <w:rPr>
                <w:sz w:val="20"/>
              </w:rPr>
            </w:pPr>
            <w:r>
              <w:rPr>
                <w:sz w:val="20"/>
              </w:rPr>
              <w:t>Occupancy Adjustment (2050)</w:t>
            </w:r>
          </w:p>
        </w:tc>
        <w:tc>
          <w:tcPr>
            <w:tcW w:w="1872" w:type="dxa"/>
          </w:tcPr>
          <w:p w14:paraId="025D96D1" w14:textId="77777777" w:rsidR="00AA01D2" w:rsidRPr="00F609EC" w:rsidRDefault="00000000">
            <w:pPr>
              <w:jc w:val="center"/>
              <w:rPr>
                <w:sz w:val="20"/>
              </w:rPr>
            </w:pPr>
            <w:r>
              <w:rPr>
                <w:sz w:val="20"/>
              </w:rPr>
              <w:t>None</w:t>
            </w:r>
          </w:p>
        </w:tc>
        <w:tc>
          <w:tcPr>
            <w:tcW w:w="1944" w:type="dxa"/>
          </w:tcPr>
          <w:p w14:paraId="5B6F7743" w14:textId="77777777" w:rsidR="00AA01D2" w:rsidRPr="00F609EC" w:rsidRDefault="00000000">
            <w:pPr>
              <w:jc w:val="center"/>
              <w:rPr>
                <w:sz w:val="20"/>
              </w:rPr>
            </w:pPr>
            <w:r>
              <w:rPr>
                <w:sz w:val="20"/>
              </w:rPr>
              <w:t>None</w:t>
            </w:r>
          </w:p>
        </w:tc>
        <w:tc>
          <w:tcPr>
            <w:tcW w:w="1944" w:type="dxa"/>
          </w:tcPr>
          <w:p w14:paraId="5E3F2D0B" w14:textId="77777777" w:rsidR="00AA01D2" w:rsidRPr="00F609EC" w:rsidRDefault="00000000">
            <w:pPr>
              <w:jc w:val="center"/>
              <w:rPr>
                <w:sz w:val="20"/>
              </w:rPr>
            </w:pPr>
            <w:r>
              <w:rPr>
                <w:sz w:val="20"/>
              </w:rPr>
              <w:t>+855 occupied units</w:t>
            </w:r>
          </w:p>
        </w:tc>
      </w:tr>
      <w:tr w:rsidR="007A31B9" w14:paraId="7E75EC2D" w14:textId="77777777" w:rsidTr="00C45855">
        <w:tc>
          <w:tcPr>
            <w:tcW w:w="3744" w:type="dxa"/>
          </w:tcPr>
          <w:p w14:paraId="369CE6DE" w14:textId="722115AE" w:rsidR="007A31B9" w:rsidRDefault="007A31B9">
            <w:pPr>
              <w:rPr>
                <w:sz w:val="20"/>
              </w:rPr>
            </w:pPr>
            <w:r>
              <w:rPr>
                <w:sz w:val="20"/>
              </w:rPr>
              <w:t>Residential Population</w:t>
            </w:r>
          </w:p>
        </w:tc>
        <w:tc>
          <w:tcPr>
            <w:tcW w:w="1872" w:type="dxa"/>
          </w:tcPr>
          <w:p w14:paraId="3C51B03C" w14:textId="58E98F3A" w:rsidR="007A31B9" w:rsidRDefault="007A31B9">
            <w:pPr>
              <w:jc w:val="center"/>
              <w:rPr>
                <w:sz w:val="20"/>
              </w:rPr>
            </w:pPr>
            <w:r>
              <w:rPr>
                <w:sz w:val="18"/>
              </w:rPr>
              <w:t>57,611</w:t>
            </w:r>
          </w:p>
        </w:tc>
        <w:tc>
          <w:tcPr>
            <w:tcW w:w="1944" w:type="dxa"/>
          </w:tcPr>
          <w:p w14:paraId="24E2C29E" w14:textId="569E2A33" w:rsidR="007A31B9" w:rsidRDefault="007A31B9">
            <w:pPr>
              <w:jc w:val="center"/>
              <w:rPr>
                <w:sz w:val="20"/>
              </w:rPr>
            </w:pPr>
            <w:r>
              <w:rPr>
                <w:sz w:val="20"/>
              </w:rPr>
              <w:t>60,244</w:t>
            </w:r>
          </w:p>
        </w:tc>
        <w:tc>
          <w:tcPr>
            <w:tcW w:w="1944" w:type="dxa"/>
          </w:tcPr>
          <w:p w14:paraId="2A50F28E" w14:textId="4035761B" w:rsidR="007A31B9" w:rsidRDefault="007A31B9">
            <w:pPr>
              <w:jc w:val="center"/>
              <w:rPr>
                <w:sz w:val="20"/>
              </w:rPr>
            </w:pPr>
            <w:r>
              <w:rPr>
                <w:sz w:val="20"/>
              </w:rPr>
              <w:t>59,472</w:t>
            </w:r>
          </w:p>
        </w:tc>
      </w:tr>
    </w:tbl>
    <w:p w14:paraId="1B42D3C8" w14:textId="56DA021A" w:rsidR="00AA01D2" w:rsidRDefault="00AA01D2">
      <w:pPr>
        <w:spacing w:before="80"/>
      </w:pPr>
    </w:p>
    <w:sectPr w:rsidR="00AA01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791862">
    <w:abstractNumId w:val="8"/>
  </w:num>
  <w:num w:numId="2" w16cid:durableId="1149516150">
    <w:abstractNumId w:val="6"/>
  </w:num>
  <w:num w:numId="3" w16cid:durableId="1813791827">
    <w:abstractNumId w:val="5"/>
  </w:num>
  <w:num w:numId="4" w16cid:durableId="925068335">
    <w:abstractNumId w:val="4"/>
  </w:num>
  <w:num w:numId="5" w16cid:durableId="422603038">
    <w:abstractNumId w:val="7"/>
  </w:num>
  <w:num w:numId="6" w16cid:durableId="282545629">
    <w:abstractNumId w:val="3"/>
  </w:num>
  <w:num w:numId="7" w16cid:durableId="1712535475">
    <w:abstractNumId w:val="2"/>
  </w:num>
  <w:num w:numId="8" w16cid:durableId="1999260683">
    <w:abstractNumId w:val="1"/>
  </w:num>
  <w:num w:numId="9" w16cid:durableId="130156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6964"/>
    <w:rsid w:val="007A31B9"/>
    <w:rsid w:val="00907E93"/>
    <w:rsid w:val="00A1235B"/>
    <w:rsid w:val="00AA01D2"/>
    <w:rsid w:val="00AA1D8D"/>
    <w:rsid w:val="00B42D98"/>
    <w:rsid w:val="00B47730"/>
    <w:rsid w:val="00C45855"/>
    <w:rsid w:val="00CB0664"/>
    <w:rsid w:val="00F609EC"/>
    <w:rsid w:val="00FC4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F3216"/>
  <w14:defaultImageDpi w14:val="300"/>
  <w15:docId w15:val="{47BACB2A-A3A9-4BA3-A6A2-3BCB9637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725</Words>
  <Characters>4128</Characters>
  <Application>Microsoft Office Word</Application>
  <DocSecurity>0</DocSecurity>
  <Lines>129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McClary</cp:lastModifiedBy>
  <cp:revision>6</cp:revision>
  <dcterms:created xsi:type="dcterms:W3CDTF">2013-12-23T23:15:00Z</dcterms:created>
  <dcterms:modified xsi:type="dcterms:W3CDTF">2026-06-04T20:14:00Z</dcterms:modified>
  <cp:category/>
</cp:coreProperties>
</file>