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BF1B" w14:textId="05B4AC8D" w:rsidR="00B31A20" w:rsidRPr="00D03A40" w:rsidRDefault="00B31A20" w:rsidP="00BF7226">
      <w:pPr>
        <w:pStyle w:val="Heading1"/>
        <w:rPr>
          <w:rFonts w:eastAsia="Times New Roman"/>
        </w:rPr>
      </w:pPr>
      <w:bookmarkStart w:id="0" w:name="_Hlk33444579"/>
      <w:bookmarkStart w:id="1" w:name="_Hlk33100341"/>
      <w:r w:rsidRPr="20A6508D">
        <w:t xml:space="preserve">Appendix </w:t>
      </w:r>
      <w:r w:rsidR="00567E6C">
        <w:t>F</w:t>
      </w:r>
      <w:r w:rsidRPr="20A6508D">
        <w:t xml:space="preserve">: </w:t>
      </w:r>
      <w:r w:rsidR="002315DB" w:rsidRPr="20A6508D">
        <w:t>Data and Forecastin</w:t>
      </w:r>
      <w:r w:rsidR="002315DB">
        <w:t>g</w:t>
      </w:r>
    </w:p>
    <w:p w14:paraId="356BE143" w14:textId="2CBFA6D4" w:rsidR="00B37C96" w:rsidRPr="00D03A40" w:rsidRDefault="00B34421" w:rsidP="00BC2AD7">
      <w:pPr>
        <w:pStyle w:val="Heading2"/>
        <w:rPr>
          <w:rFonts w:cstheme="minorHAnsi"/>
          <w:bCs/>
          <w:szCs w:val="28"/>
        </w:rPr>
      </w:pPr>
      <w:r w:rsidRPr="00D03A40">
        <w:t>Introduction</w:t>
      </w:r>
    </w:p>
    <w:p w14:paraId="52676252" w14:textId="407D2048" w:rsidR="00247B54" w:rsidRPr="00F47C6E" w:rsidRDefault="009E3EA0" w:rsidP="00F25884">
      <w:bookmarkStart w:id="2" w:name="_Hlk33100449"/>
      <w:bookmarkStart w:id="3" w:name="_Hlk33100463"/>
      <w:r w:rsidRPr="001815D6">
        <w:rPr>
          <w:highlight w:val="yellow"/>
        </w:rPr>
        <w:t xml:space="preserve">As part of the </w:t>
      </w:r>
      <w:r w:rsidR="00A4074A" w:rsidRPr="001815D6">
        <w:rPr>
          <w:highlight w:val="yellow"/>
        </w:rPr>
        <w:t xml:space="preserve">2025 </w:t>
      </w:r>
      <w:r w:rsidRPr="001815D6">
        <w:rPr>
          <w:highlight w:val="yellow"/>
        </w:rPr>
        <w:t xml:space="preserve">TRPA Regional Transportation Plan (RTP), TRPA prepared </w:t>
      </w:r>
      <w:r w:rsidR="00247B54" w:rsidRPr="001815D6">
        <w:rPr>
          <w:highlight w:val="yellow"/>
        </w:rPr>
        <w:t>regional</w:t>
      </w:r>
      <w:r w:rsidR="009B1228" w:rsidRPr="001815D6">
        <w:rPr>
          <w:highlight w:val="yellow"/>
        </w:rPr>
        <w:t xml:space="preserve"> </w:t>
      </w:r>
      <w:r w:rsidRPr="001815D6">
        <w:rPr>
          <w:highlight w:val="yellow"/>
        </w:rPr>
        <w:t xml:space="preserve">and transportation forecasts for the years 2035 and </w:t>
      </w:r>
      <w:r w:rsidR="00A4074A" w:rsidRPr="001815D6">
        <w:rPr>
          <w:highlight w:val="yellow"/>
        </w:rPr>
        <w:t>2050</w:t>
      </w:r>
      <w:r w:rsidRPr="001815D6">
        <w:rPr>
          <w:highlight w:val="yellow"/>
        </w:rPr>
        <w:t xml:space="preserve">. The </w:t>
      </w:r>
      <w:r w:rsidR="009627C7" w:rsidRPr="001815D6">
        <w:rPr>
          <w:highlight w:val="yellow"/>
        </w:rPr>
        <w:t xml:space="preserve">regional </w:t>
      </w:r>
      <w:r w:rsidRPr="001815D6">
        <w:rPr>
          <w:highlight w:val="yellow"/>
        </w:rPr>
        <w:t xml:space="preserve">forecast includes changes in development, </w:t>
      </w:r>
      <w:r w:rsidR="00854D83" w:rsidRPr="001815D6">
        <w:rPr>
          <w:highlight w:val="yellow"/>
        </w:rPr>
        <w:t>population demographic</w:t>
      </w:r>
      <w:r w:rsidR="00D14F97" w:rsidRPr="001815D6">
        <w:rPr>
          <w:highlight w:val="yellow"/>
        </w:rPr>
        <w:t>s</w:t>
      </w:r>
      <w:r w:rsidR="00854D83" w:rsidRPr="001815D6">
        <w:rPr>
          <w:highlight w:val="yellow"/>
        </w:rPr>
        <w:t xml:space="preserve">, </w:t>
      </w:r>
      <w:r w:rsidRPr="001815D6">
        <w:rPr>
          <w:highlight w:val="yellow"/>
        </w:rPr>
        <w:t xml:space="preserve">and visitation. </w:t>
      </w:r>
      <w:r w:rsidR="003D755E" w:rsidRPr="001815D6">
        <w:rPr>
          <w:highlight w:val="yellow"/>
        </w:rPr>
        <w:t xml:space="preserve">The transportation forecast includes the RTP project list, as well as the transportation strategies. </w:t>
      </w:r>
      <w:r w:rsidRPr="001815D6">
        <w:rPr>
          <w:highlight w:val="yellow"/>
        </w:rPr>
        <w:t xml:space="preserve">The </w:t>
      </w:r>
      <w:r w:rsidR="007869B7" w:rsidRPr="001815D6">
        <w:rPr>
          <w:highlight w:val="yellow"/>
        </w:rPr>
        <w:t xml:space="preserve">regional </w:t>
      </w:r>
      <w:r w:rsidRPr="001815D6">
        <w:rPr>
          <w:highlight w:val="yellow"/>
        </w:rPr>
        <w:t>forecast and the transportation infrastructure forecast are implemented in the Tahoe travel demand model</w:t>
      </w:r>
      <w:r w:rsidR="003D755E" w:rsidRPr="001815D6">
        <w:rPr>
          <w:highlight w:val="yellow"/>
        </w:rPr>
        <w:t xml:space="preserve"> and the Trip Reduction Impact Analysis (TRIA) tool</w:t>
      </w:r>
      <w:r w:rsidRPr="001815D6">
        <w:rPr>
          <w:highlight w:val="yellow"/>
        </w:rPr>
        <w:t xml:space="preserve"> to allow planners to assess the</w:t>
      </w:r>
      <w:r w:rsidR="00E63C3F" w:rsidRPr="001815D6">
        <w:rPr>
          <w:highlight w:val="yellow"/>
        </w:rPr>
        <w:t xml:space="preserve"> efficacy </w:t>
      </w:r>
      <w:r w:rsidRPr="001815D6">
        <w:rPr>
          <w:highlight w:val="yellow"/>
        </w:rPr>
        <w:t xml:space="preserve">of policies and projects that promote </w:t>
      </w:r>
      <w:r w:rsidR="00FD7F1D" w:rsidRPr="001815D6">
        <w:rPr>
          <w:highlight w:val="yellow"/>
        </w:rPr>
        <w:t xml:space="preserve">the goals of the </w:t>
      </w:r>
      <w:r w:rsidR="00144D86" w:rsidRPr="001815D6">
        <w:rPr>
          <w:highlight w:val="yellow"/>
        </w:rPr>
        <w:t>R</w:t>
      </w:r>
      <w:r w:rsidRPr="001815D6">
        <w:rPr>
          <w:highlight w:val="yellow"/>
        </w:rPr>
        <w:t xml:space="preserve">egional </w:t>
      </w:r>
      <w:r w:rsidR="00144D86" w:rsidRPr="001815D6">
        <w:rPr>
          <w:highlight w:val="yellow"/>
        </w:rPr>
        <w:t>P</w:t>
      </w:r>
      <w:r w:rsidRPr="001815D6">
        <w:rPr>
          <w:highlight w:val="yellow"/>
        </w:rPr>
        <w:t xml:space="preserve">lan </w:t>
      </w:r>
      <w:r w:rsidR="00FD7F1D" w:rsidRPr="001815D6">
        <w:rPr>
          <w:highlight w:val="yellow"/>
        </w:rPr>
        <w:t>and the RTP</w:t>
      </w:r>
      <w:r w:rsidR="00FD7F1D" w:rsidRPr="001815D6" w:rsidDel="002C12B8">
        <w:rPr>
          <w:highlight w:val="yellow"/>
        </w:rPr>
        <w:t>.</w:t>
      </w:r>
      <w:r w:rsidR="00FD7F1D" w:rsidRPr="00D03A40" w:rsidDel="002C12B8">
        <w:t xml:space="preserve"> </w:t>
      </w:r>
      <w:bookmarkEnd w:id="2"/>
    </w:p>
    <w:p w14:paraId="05A43A60" w14:textId="278FCAE4" w:rsidR="00DD774D" w:rsidRPr="00D03A40" w:rsidRDefault="00F32967" w:rsidP="00BC2AD7">
      <w:pPr>
        <w:pStyle w:val="Heading2"/>
        <w:rPr>
          <w:rFonts w:cstheme="minorHAnsi"/>
          <w:bCs/>
          <w:szCs w:val="28"/>
        </w:rPr>
      </w:pPr>
      <w:r w:rsidRPr="00D03A40">
        <w:t xml:space="preserve">Development </w:t>
      </w:r>
      <w:r w:rsidR="00723FF6" w:rsidRPr="00D03A40">
        <w:t xml:space="preserve">Forecast </w:t>
      </w:r>
      <w:r w:rsidR="00531836" w:rsidRPr="00D03A40">
        <w:t>Summary</w:t>
      </w:r>
    </w:p>
    <w:p w14:paraId="21FF1B7E" w14:textId="2D6CFC7D" w:rsidR="00DA68D5" w:rsidRPr="00D03A40" w:rsidRDefault="00DA68D5" w:rsidP="00F25884">
      <w:r w:rsidRPr="001815D6">
        <w:rPr>
          <w:highlight w:val="yellow"/>
        </w:rPr>
        <w:t xml:space="preserve">The 2035 and 2050 forecast years build upon the 2022 model base year. The forecast includes a variety of projections related to land use and the characteristics of the </w:t>
      </w:r>
      <w:r w:rsidR="00616841" w:rsidRPr="001815D6">
        <w:rPr>
          <w:highlight w:val="yellow"/>
        </w:rPr>
        <w:t>r</w:t>
      </w:r>
      <w:r w:rsidRPr="001815D6">
        <w:rPr>
          <w:highlight w:val="yellow"/>
        </w:rPr>
        <w:t>egion</w:t>
      </w:r>
      <w:r w:rsidR="00A33AD3" w:rsidRPr="001815D6">
        <w:rPr>
          <w:highlight w:val="yellow"/>
        </w:rPr>
        <w:t>’</w:t>
      </w:r>
      <w:r w:rsidRPr="001815D6">
        <w:rPr>
          <w:highlight w:val="yellow"/>
        </w:rPr>
        <w:t>s traveling population in the forecast years; this population includes residents, visitors, and commuters.</w:t>
      </w:r>
      <w:r w:rsidRPr="00D03A40">
        <w:t xml:space="preserve"> The forecast years of 2035 and 2050 were selected to meet specific regulatory requirements of the California Sustainable Communities Strategy (SCS) and Federal RTP requirements and to align with the forecasts periods used by nearby regional partners, including the Sacramento Area Council of Governments (SACOG), Carson Area Metropolitan Planning Organization (CAMPO),</w:t>
      </w:r>
      <w:r w:rsidR="00A33AD3" w:rsidRPr="00D03A40">
        <w:t xml:space="preserve"> the</w:t>
      </w:r>
      <w:r w:rsidRPr="00D03A40">
        <w:t xml:space="preserve"> Regional Transportation Commission of Washoe County (RTC-Washoe), and the Bay Area Metropolitan Transportation Commission (MTC).</w:t>
      </w:r>
    </w:p>
    <w:p w14:paraId="4063F95E" w14:textId="0EACF012" w:rsidR="002C12B8" w:rsidRPr="00F25884" w:rsidRDefault="00DA68D5" w:rsidP="00F25884">
      <w:r w:rsidRPr="001815D6">
        <w:rPr>
          <w:i/>
          <w:highlight w:val="yellow"/>
        </w:rPr>
        <w:t>Residents</w:t>
      </w:r>
      <w:r w:rsidRPr="001815D6">
        <w:rPr>
          <w:highlight w:val="yellow"/>
        </w:rPr>
        <w:t xml:space="preserve">– The forecast projects Lake Tahoe’s </w:t>
      </w:r>
      <w:r w:rsidR="00F354E4" w:rsidRPr="001815D6">
        <w:rPr>
          <w:highlight w:val="yellow"/>
        </w:rPr>
        <w:t>2035</w:t>
      </w:r>
      <w:r w:rsidR="00491268" w:rsidRPr="001815D6">
        <w:rPr>
          <w:highlight w:val="yellow"/>
        </w:rPr>
        <w:t xml:space="preserve"> and 2050</w:t>
      </w:r>
      <w:r w:rsidR="00F354E4" w:rsidRPr="001815D6">
        <w:rPr>
          <w:highlight w:val="yellow"/>
        </w:rPr>
        <w:t xml:space="preserve"> </w:t>
      </w:r>
      <w:r w:rsidRPr="001815D6">
        <w:rPr>
          <w:highlight w:val="yellow"/>
        </w:rPr>
        <w:t xml:space="preserve">full-time residential population to increase slightly. The Region’s population has been steady for the last 10 years, and the </w:t>
      </w:r>
      <w:r w:rsidR="00733588" w:rsidRPr="001815D6">
        <w:rPr>
          <w:highlight w:val="yellow"/>
        </w:rPr>
        <w:t xml:space="preserve">projected </w:t>
      </w:r>
      <w:r w:rsidRPr="001815D6">
        <w:rPr>
          <w:highlight w:val="yellow"/>
        </w:rPr>
        <w:t>slight increase is influenced by a suite of factors. First, the number of regional housing units will increase as residential allocations are distributed and workforce housing/affordable housing programs are implemented using residential bonus units. Second, the residential occupancy rate – the proportion of homes occupied by residents – is expected to increase slightly due to implementation of workforce and affordable housing initiatives as local and regional efforts to increase the housing supply for local residents take effect.</w:t>
      </w:r>
      <w:r w:rsidRPr="00D03A40">
        <w:t xml:space="preserve"> The downward trend in regional population between 2000 and 2010 was likely influenced by the declines in gaming and associated job loss. The precipitous declines in gaming revenues observed in the early part of the century following the opening of casinos in northern California have not continued into the second decade as revenues appear to have stabilized.</w:t>
      </w:r>
    </w:p>
    <w:p w14:paraId="5B4BAEB3" w14:textId="0CE33E15" w:rsidR="00DA68D5" w:rsidRPr="00F25884" w:rsidRDefault="00DA68D5" w:rsidP="00F25884">
      <w:bookmarkStart w:id="4" w:name="_Hlk180092527"/>
      <w:commentRangeStart w:id="5"/>
      <w:r w:rsidRPr="00D03A40">
        <w:t xml:space="preserve">The income distribution of the residential population has shifted significantly in recent years, with more high-income households and fewer low-income households. For the forecast period, with the proposed increase in workforce and affordable housing, TRPA anticipates that the recent upward trends in household income will stabilize; the forecast shows the same distribution of occupied households by household income in 2050 as was observed in 2022. School enrollment will increase slightly as a result of overall population growth, however as census data indicates that the age distribution of Tahoe’s </w:t>
      </w:r>
      <w:r w:rsidRPr="00D03A40">
        <w:lastRenderedPageBreak/>
        <w:t xml:space="preserve">population has increased in recent years, the forecast assumes slightly less of an increase in school enrollment than the overall population increase as the data trends show fewer residents with school-aged children. Employment will also increase as additional Commercial Floor Area (CFA) and Tourist Accommodation Units (TAU) are constructed throughout the </w:t>
      </w:r>
      <w:bookmarkEnd w:id="4"/>
      <w:r w:rsidR="00957952">
        <w:t>r</w:t>
      </w:r>
      <w:r w:rsidRPr="00D03A40">
        <w:t xml:space="preserve">egion. </w:t>
      </w:r>
      <w:commentRangeEnd w:id="5"/>
      <w:r w:rsidR="001815D6" w:rsidRPr="00F25884">
        <w:rPr>
          <w:rStyle w:val="CommentReference"/>
          <w:sz w:val="22"/>
          <w:szCs w:val="22"/>
        </w:rPr>
        <w:commentReference w:id="5"/>
      </w:r>
    </w:p>
    <w:p w14:paraId="76291913" w14:textId="36499EBC" w:rsidR="00DA68D5" w:rsidRPr="00C72649" w:rsidRDefault="000D1F78">
      <w:commentRangeStart w:id="6"/>
      <w:r>
        <w:rPr>
          <w:noProof/>
        </w:rPr>
        <w:drawing>
          <wp:anchor distT="0" distB="0" distL="114300" distR="114300" simplePos="0" relativeHeight="251658241" behindDoc="0" locked="0" layoutInCell="1" allowOverlap="1" wp14:anchorId="17C0A8CE" wp14:editId="72789321">
            <wp:simplePos x="0" y="0"/>
            <wp:positionH relativeFrom="column">
              <wp:posOffset>1790700</wp:posOffset>
            </wp:positionH>
            <wp:positionV relativeFrom="paragraph">
              <wp:posOffset>687070</wp:posOffset>
            </wp:positionV>
            <wp:extent cx="4067175" cy="6401578"/>
            <wp:effectExtent l="0" t="0" r="0" b="0"/>
            <wp:wrapSquare wrapText="bothSides"/>
            <wp:docPr id="36512627"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67175" cy="6401578"/>
                    </a:xfrm>
                    <a:prstGeom prst="rect">
                      <a:avLst/>
                    </a:prstGeom>
                  </pic:spPr>
                </pic:pic>
              </a:graphicData>
            </a:graphic>
            <wp14:sizeRelH relativeFrom="page">
              <wp14:pctWidth>0</wp14:pctWidth>
            </wp14:sizeRelH>
            <wp14:sizeRelV relativeFrom="page">
              <wp14:pctHeight>0</wp14:pctHeight>
            </wp14:sizeRelV>
          </wp:anchor>
        </w:drawing>
      </w:r>
      <w:commentRangeEnd w:id="6"/>
      <w:r w:rsidR="001815D6" w:rsidRPr="20A6508D">
        <w:rPr>
          <w:rStyle w:val="CommentReference"/>
          <w:i/>
          <w:sz w:val="22"/>
          <w:szCs w:val="22"/>
        </w:rPr>
        <w:commentReference w:id="6"/>
      </w:r>
      <w:r w:rsidR="00DA68D5" w:rsidRPr="20A6508D">
        <w:rPr>
          <w:i/>
        </w:rPr>
        <w:t>Visitation</w:t>
      </w:r>
      <w:r w:rsidR="00DA68D5" w:rsidRPr="77ABC10C">
        <w:t xml:space="preserve"> – The forecast projects slight growth in both day and overnight visitation. This forecasted increase is based upon the projected population growth in the mega-region (Bay Area/Sacramento/Reno), and the recovery to pre-Covid occupancy rates at hotels. This increase in visitation will result in an increase in the number of occupied overnight lodging units and short-term rentals. The forecast assumes a return to pre-Covid occupancy rates for seasonal homes. These rates have increased during the past couple of years with increased remote work opportunities during the pandemic. However, recent data suggests that workers are returning (or being required to return) to their offices more frequently, so </w:t>
      </w:r>
      <w:r w:rsidR="0023550E" w:rsidRPr="77ABC10C">
        <w:t xml:space="preserve">the </w:t>
      </w:r>
      <w:r w:rsidR="00DA68D5" w:rsidRPr="77ABC10C">
        <w:t xml:space="preserve">second home occupancy rate </w:t>
      </w:r>
      <w:r w:rsidR="0023550E" w:rsidRPr="77ABC10C">
        <w:t>was reduced to</w:t>
      </w:r>
      <w:r w:rsidR="00DA68D5" w:rsidRPr="77ABC10C">
        <w:t xml:space="preserve"> 2018 levels.</w:t>
      </w:r>
    </w:p>
    <w:p w14:paraId="724C5AEC" w14:textId="00541F83" w:rsidR="006A7DE3" w:rsidRPr="00D03A40" w:rsidRDefault="006A7DE3">
      <w:pPr>
        <w:rPr>
          <w:rFonts w:eastAsia="Times New Roman" w:cstheme="minorHAnsi"/>
          <w:b/>
          <w:bCs/>
          <w:sz w:val="28"/>
          <w:szCs w:val="28"/>
        </w:rPr>
      </w:pPr>
      <w:r w:rsidRPr="00D03A40">
        <w:rPr>
          <w:rFonts w:eastAsia="Times New Roman" w:cstheme="minorHAnsi"/>
          <w:b/>
          <w:bCs/>
          <w:sz w:val="28"/>
          <w:szCs w:val="28"/>
        </w:rPr>
        <w:br w:type="page"/>
      </w:r>
    </w:p>
    <w:p w14:paraId="5A65E7FB" w14:textId="08BA689F" w:rsidR="0056018C" w:rsidRPr="00D03A40" w:rsidRDefault="000D6F38" w:rsidP="000D1F78">
      <w:pPr>
        <w:pStyle w:val="Heading3"/>
        <w:rPr>
          <w:rFonts w:eastAsia="Times New Roman" w:cstheme="minorHAnsi"/>
          <w:b w:val="0"/>
          <w:bCs/>
          <w:szCs w:val="28"/>
        </w:rPr>
      </w:pPr>
      <w:r w:rsidRPr="00D03A40">
        <w:rPr>
          <w:rFonts w:eastAsia="Times New Roman"/>
        </w:rPr>
        <w:lastRenderedPageBreak/>
        <w:t>Forecast Methodology</w:t>
      </w:r>
    </w:p>
    <w:p w14:paraId="744576B8" w14:textId="0BB88E3A" w:rsidR="004443D1" w:rsidRPr="001815D6" w:rsidRDefault="00173E66" w:rsidP="000D1F78">
      <w:pPr>
        <w:rPr>
          <w:highlight w:val="yellow"/>
        </w:rPr>
      </w:pPr>
      <w:commentRangeStart w:id="7"/>
      <w:r w:rsidRPr="001815D6">
        <w:rPr>
          <w:highlight w:val="yellow"/>
        </w:rPr>
        <w:t>The overall approach to forecast development was to apply the best available information and data.</w:t>
      </w:r>
      <w:commentRangeEnd w:id="7"/>
      <w:r w:rsidR="001815D6" w:rsidRPr="001815D6">
        <w:rPr>
          <w:rStyle w:val="CommentReference"/>
          <w:sz w:val="22"/>
          <w:szCs w:val="22"/>
          <w:highlight w:val="yellow"/>
        </w:rPr>
        <w:commentReference w:id="7"/>
      </w:r>
      <w:r w:rsidRPr="001815D6">
        <w:rPr>
          <w:highlight w:val="yellow"/>
        </w:rPr>
        <w:t xml:space="preserve"> The development rate forecast was informed by a review of historical development rates, and an assessment of the performance of past forecasts. The forecast differs from past forecasts in at least two ways: </w:t>
      </w:r>
    </w:p>
    <w:p w14:paraId="1C09AF66" w14:textId="77777777" w:rsidR="000D1F78" w:rsidRPr="001815D6" w:rsidRDefault="00173E66" w:rsidP="00842940">
      <w:pPr>
        <w:pStyle w:val="ListParagraph"/>
        <w:numPr>
          <w:ilvl w:val="0"/>
          <w:numId w:val="11"/>
        </w:numPr>
        <w:rPr>
          <w:highlight w:val="yellow"/>
        </w:rPr>
      </w:pPr>
      <w:r w:rsidRPr="001815D6">
        <w:rPr>
          <w:highlight w:val="yellow"/>
        </w:rPr>
        <w:t>More rational development rates – Prior forecasts have generally assumed that full build out of the Region would occur. Historic development rates have not kept pace with those forecasts (additional detail on observed rates is available in the data trends appendix). This forecast refines past methodologies by placing greater weight on observed development rates.</w:t>
      </w:r>
    </w:p>
    <w:p w14:paraId="5C440A04" w14:textId="515098FB" w:rsidR="00173E66" w:rsidRPr="001815D6" w:rsidRDefault="00173E66" w:rsidP="00842940">
      <w:pPr>
        <w:pStyle w:val="ListParagraph"/>
        <w:numPr>
          <w:ilvl w:val="0"/>
          <w:numId w:val="11"/>
        </w:numPr>
        <w:rPr>
          <w:highlight w:val="yellow"/>
        </w:rPr>
      </w:pPr>
      <w:r w:rsidRPr="001815D6">
        <w:rPr>
          <w:highlight w:val="yellow"/>
        </w:rPr>
        <w:t>Development rights system -</w:t>
      </w:r>
      <w:r w:rsidRPr="001815D6" w:rsidDel="005B1FE5">
        <w:rPr>
          <w:highlight w:val="yellow"/>
        </w:rPr>
        <w:t xml:space="preserve"> </w:t>
      </w:r>
      <w:r w:rsidRPr="001815D6">
        <w:rPr>
          <w:highlight w:val="yellow"/>
        </w:rPr>
        <w:t xml:space="preserve">significant changes were made to the development rights system to accelerate the attainment of threshold standards and Regional Plan goals and policies. The changes enable easier conversion between types and facilitate the attainment of state housing mandates. </w:t>
      </w:r>
    </w:p>
    <w:p w14:paraId="394126FA" w14:textId="68693807" w:rsidR="00173E66" w:rsidRPr="00D03A40" w:rsidRDefault="00173E66" w:rsidP="000D1F78">
      <w:r w:rsidRPr="001815D6">
        <w:rPr>
          <w:highlight w:val="yellow"/>
        </w:rPr>
        <w:t>The forecasts contained in this document represent a realistic view of the continued build out of the Lake Tahoe Regional Plan. Prior forecasts by TRPA had projected significantly faster growth and a faster consumption of the remaining development rights. The annual rate of consumption for commercial floor area and tourist accommodation units were adjusted to align with observed trends since the adoption of the 2012 Regional Plan update</w:t>
      </w:r>
      <w:r w:rsidR="002C12B8" w:rsidRPr="001815D6">
        <w:rPr>
          <w:highlight w:val="yellow"/>
        </w:rPr>
        <w:t xml:space="preserve">. </w:t>
      </w:r>
      <w:r w:rsidRPr="001815D6">
        <w:rPr>
          <w:highlight w:val="yellow"/>
        </w:rPr>
        <w:t>Additionally, the forecast assumes that not all the remaining development potential for commercial floor area and tourist accommodation units will be constructed by 2050.</w:t>
      </w:r>
      <w:r w:rsidRPr="00D03A40">
        <w:t xml:space="preserve"> </w:t>
      </w:r>
    </w:p>
    <w:p w14:paraId="13811166" w14:textId="77777777" w:rsidR="00173E66" w:rsidRPr="00D03A40" w:rsidRDefault="00173E66" w:rsidP="00BB6C26">
      <w:pPr>
        <w:pStyle w:val="Heading4"/>
      </w:pPr>
      <w:r w:rsidRPr="00D03A40">
        <w:t xml:space="preserve">Residential </w:t>
      </w:r>
      <w:r w:rsidRPr="00C55AC2">
        <w:t>Units</w:t>
      </w:r>
      <w:r w:rsidRPr="00D03A40">
        <w:t xml:space="preserve"> </w:t>
      </w:r>
    </w:p>
    <w:p w14:paraId="68402DEA" w14:textId="676880DC" w:rsidR="00173E66" w:rsidRPr="001815D6" w:rsidRDefault="00173E66" w:rsidP="000D1F78">
      <w:pPr>
        <w:rPr>
          <w:rFonts w:eastAsia="Calibri"/>
          <w:highlight w:val="yellow"/>
        </w:rPr>
      </w:pPr>
      <w:r w:rsidRPr="001815D6">
        <w:rPr>
          <w:highlight w:val="yellow"/>
        </w:rPr>
        <w:t xml:space="preserve">There are currently 49,424 residential units in the Region (based on TRPA records); according to the occupancy rates published by the U.S. Census Bureau 2022 American Community Survey (ACS), an estimated 23,141 residential units (47%) are occupied by full-time residents and 26,283 units (53%) are not occupied by full-time residents </w:t>
      </w:r>
      <w:sdt>
        <w:sdtPr>
          <w:rPr>
            <w:highlight w:val="yellow"/>
          </w:rPr>
          <w:id w:val="1785470326"/>
          <w:citation/>
        </w:sdtPr>
        <w:sdtContent>
          <w:r w:rsidR="00C610A7" w:rsidRPr="001815D6">
            <w:rPr>
              <w:highlight w:val="yellow"/>
            </w:rPr>
            <w:fldChar w:fldCharType="begin"/>
          </w:r>
          <w:r w:rsidR="00C610A7" w:rsidRPr="001815D6">
            <w:rPr>
              <w:highlight w:val="yellow"/>
            </w:rPr>
            <w:instrText xml:space="preserve"> CITATION USD22 \l 1033 </w:instrText>
          </w:r>
          <w:r w:rsidR="00C610A7" w:rsidRPr="001815D6">
            <w:rPr>
              <w:highlight w:val="yellow"/>
            </w:rPr>
            <w:fldChar w:fldCharType="separate"/>
          </w:r>
          <w:r w:rsidR="00C610A7" w:rsidRPr="001815D6">
            <w:rPr>
              <w:highlight w:val="yellow"/>
            </w:rPr>
            <w:t>(U.S. Department of Commerce, 2022)</w:t>
          </w:r>
          <w:r w:rsidR="00C610A7" w:rsidRPr="001815D6">
            <w:rPr>
              <w:highlight w:val="yellow"/>
            </w:rPr>
            <w:fldChar w:fldCharType="end"/>
          </w:r>
        </w:sdtContent>
      </w:sdt>
      <w:r w:rsidRPr="001815D6">
        <w:rPr>
          <w:highlight w:val="yellow"/>
        </w:rPr>
        <w:t xml:space="preserve">. </w:t>
      </w:r>
      <w:r w:rsidRPr="001815D6">
        <w:rPr>
          <w:rFonts w:eastAsia="Times New Roman"/>
          <w:color w:val="000000" w:themeColor="text1"/>
          <w:highlight w:val="yellow"/>
        </w:rPr>
        <w:t xml:space="preserve">Approximately 20% of existing residential units in the region are multi-family units (approximately 9,885 units) and 80% of existing units (39,539) are single-family units. </w:t>
      </w:r>
      <w:r w:rsidRPr="001815D6">
        <w:rPr>
          <w:highlight w:val="yellow"/>
        </w:rPr>
        <w:t xml:space="preserve">By 2050, an additional 4,385 units are expected to be constructed, bringing the total number of residential units in the region to 53,809, a 9% increase. </w:t>
      </w:r>
      <w:r w:rsidRPr="001815D6">
        <w:rPr>
          <w:rFonts w:eastAsia="Times New Roman"/>
          <w:color w:val="000000" w:themeColor="text1"/>
          <w:highlight w:val="yellow"/>
        </w:rPr>
        <w:t>This includes the construction of 1,</w:t>
      </w:r>
      <w:r w:rsidRPr="001815D6">
        <w:rPr>
          <w:highlight w:val="yellow"/>
        </w:rPr>
        <w:t>754</w:t>
      </w:r>
      <w:r w:rsidRPr="001815D6">
        <w:rPr>
          <w:rFonts w:eastAsia="Times New Roman"/>
          <w:color w:val="000000" w:themeColor="text1"/>
          <w:highlight w:val="yellow"/>
        </w:rPr>
        <w:t xml:space="preserve"> additional single-family residential units (40% of additional units) and 2,</w:t>
      </w:r>
      <w:r w:rsidRPr="001815D6">
        <w:rPr>
          <w:highlight w:val="yellow"/>
        </w:rPr>
        <w:t xml:space="preserve">631 </w:t>
      </w:r>
      <w:r w:rsidRPr="001815D6">
        <w:rPr>
          <w:rFonts w:eastAsia="Times New Roman"/>
          <w:color w:val="000000" w:themeColor="text1"/>
          <w:highlight w:val="yellow"/>
        </w:rPr>
        <w:t xml:space="preserve">additional multi-family residential units (60% of additional units). </w:t>
      </w:r>
      <w:r w:rsidRPr="001815D6">
        <w:rPr>
          <w:highlight w:val="yellow"/>
        </w:rPr>
        <w:t>Forecasts of r</w:t>
      </w:r>
      <w:r w:rsidRPr="001815D6">
        <w:rPr>
          <w:color w:val="000000" w:themeColor="text1"/>
          <w:highlight w:val="yellow"/>
        </w:rPr>
        <w:t xml:space="preserve">esidential projects in </w:t>
      </w:r>
      <w:r w:rsidRPr="001815D6">
        <w:rPr>
          <w:highlight w:val="yellow"/>
        </w:rPr>
        <w:t xml:space="preserve">the </w:t>
      </w:r>
      <w:r w:rsidRPr="001815D6">
        <w:rPr>
          <w:color w:val="000000" w:themeColor="text1"/>
          <w:highlight w:val="yellow"/>
        </w:rPr>
        <w:t xml:space="preserve">California jurisdictions are sufficient to accommodate </w:t>
      </w:r>
      <w:r w:rsidRPr="001815D6">
        <w:rPr>
          <w:highlight w:val="yellow"/>
        </w:rPr>
        <w:t>the Regional Housing Needs Assessment (RHNA) Cycle 5 (2013-2021) and Cycle 6 (2022-2031). However, l</w:t>
      </w:r>
      <w:r w:rsidRPr="001815D6">
        <w:rPr>
          <w:rFonts w:eastAsia="Calibri"/>
          <w:highlight w:val="yellow"/>
        </w:rPr>
        <w:t xml:space="preserve">ocal housing needs assessments have identified a greater number of affordable and workforce housing units needed beyond what the forecast assumes will be newly constructed and occupied. The </w:t>
      </w:r>
      <w:r w:rsidRPr="001815D6">
        <w:rPr>
          <w:highlight w:val="yellow"/>
        </w:rPr>
        <w:t xml:space="preserve">conversion of existing housing from market rate to workforce or affordable housing would also be required to fully meet </w:t>
      </w:r>
      <w:r w:rsidRPr="001815D6">
        <w:rPr>
          <w:rFonts w:eastAsia="Calibri"/>
          <w:highlight w:val="yellow"/>
        </w:rPr>
        <w:t xml:space="preserve">the housing needs identified. </w:t>
      </w:r>
    </w:p>
    <w:p w14:paraId="6C7F6D5B" w14:textId="6B779F66" w:rsidR="00173E66" w:rsidRPr="001815D6" w:rsidRDefault="00173E66" w:rsidP="000D1F78">
      <w:pPr>
        <w:rPr>
          <w:rFonts w:eastAsia="Times New Roman"/>
          <w:color w:val="000000" w:themeColor="text1"/>
          <w:highlight w:val="yellow"/>
        </w:rPr>
      </w:pPr>
      <w:r w:rsidRPr="001815D6">
        <w:rPr>
          <w:rFonts w:eastAsia="Times New Roman"/>
          <w:color w:val="000000" w:themeColor="text1"/>
          <w:highlight w:val="yellow"/>
        </w:rPr>
        <w:t xml:space="preserve">All remaining residential allocations (1,892) are allocated and constructed in the forecast. This includes the award and construction of all residential bonus units (1,448) and all currently banked residential units (345) by 2050. The forecast also includes the conversion of 100,000 square feet of CFA and 300 </w:t>
      </w:r>
      <w:r w:rsidRPr="001815D6">
        <w:rPr>
          <w:rFonts w:eastAsia="Times New Roman"/>
          <w:color w:val="000000" w:themeColor="text1"/>
          <w:highlight w:val="yellow"/>
        </w:rPr>
        <w:lastRenderedPageBreak/>
        <w:t xml:space="preserve">TAUs to residential units, which will generate an additional 350 multi-family and 350 single-family units. The projected conversions are consistent with conversion trends since the adoption of the conversion programs and observed development rights utilization rates. The observed trends indicate a net conversion from CFA and TAUs to Residential. </w:t>
      </w:r>
    </w:p>
    <w:p w14:paraId="5377EE26" w14:textId="4F069CA4" w:rsidR="00AA6B1A" w:rsidRPr="000D1F78" w:rsidRDefault="00173E66" w:rsidP="000D1F78">
      <w:pPr>
        <w:rPr>
          <w:rFonts w:eastAsia="Times New Roman"/>
          <w:color w:val="000000" w:themeColor="text1"/>
        </w:rPr>
      </w:pPr>
      <w:r w:rsidRPr="001815D6">
        <w:rPr>
          <w:rFonts w:eastAsia="Times New Roman"/>
          <w:color w:val="000000" w:themeColor="text1"/>
          <w:highlight w:val="yellow"/>
        </w:rPr>
        <w:t>Several key assumptions informed the spatial distribution of residential development in the forecast. First, new residential units were allocated to projects known to be in the pipeline, including multi-family and affordable-/moderate-income projects on public lands. This includes 710 units expected to be built on California Tahoe Conservancy asset lands</w:t>
      </w:r>
      <w:r w:rsidRPr="001815D6">
        <w:rPr>
          <w:rStyle w:val="FootnoteReference"/>
          <w:rFonts w:eastAsia="Times New Roman" w:cstheme="minorHAnsi"/>
          <w:color w:val="000000" w:themeColor="text1"/>
          <w:highlight w:val="yellow"/>
        </w:rPr>
        <w:footnoteReference w:id="2"/>
      </w:r>
      <w:r w:rsidRPr="001815D6">
        <w:rPr>
          <w:rFonts w:eastAsia="Times New Roman"/>
          <w:color w:val="000000" w:themeColor="text1"/>
          <w:highlight w:val="yellow"/>
        </w:rPr>
        <w:t>, redevelopment successor agency</w:t>
      </w:r>
      <w:r w:rsidRPr="001815D6">
        <w:rPr>
          <w:rStyle w:val="FootnoteReference"/>
          <w:rFonts w:eastAsia="Times New Roman" w:cstheme="minorHAnsi"/>
          <w:color w:val="000000" w:themeColor="text1"/>
          <w:highlight w:val="yellow"/>
        </w:rPr>
        <w:footnoteReference w:id="3"/>
      </w:r>
      <w:r w:rsidRPr="001815D6">
        <w:rPr>
          <w:rFonts w:eastAsia="Times New Roman"/>
          <w:color w:val="000000" w:themeColor="text1"/>
          <w:highlight w:val="yellow"/>
        </w:rPr>
        <w:t xml:space="preserve"> parcels and other publicly owned parcels where large multi-family and affordable/moderate-income housing projects are likely to be constructed. For multi-family development on private properties, where the exact number of units to be constructed was not fully known, a computer-generated random selection distributed units to vacant buildable multi-family and existing underbuilt residential parcels throughout the region. For these parcels, the number of units allocated was 60% of the maximum allowable buildout based on current zoning, coverage constraints, and density restrictions. This assumption is consistent with observed buildout patterns, and conservative in that it distributes new residential development throughout the region (rather than modeling the most compact possible pattern). Multi-family units were only assigned to parcels that are currently zoned for multi-family residential, meet density requirements, and that have remaining coverage available to support additional units. Finally, the remaining private residential units were constructed as single-family units through random assignment to vacant buildable properties throughout the region.</w:t>
      </w:r>
      <w:r w:rsidR="0044751A" w:rsidRPr="001815D6">
        <w:rPr>
          <w:rFonts w:eastAsia="Times New Roman"/>
          <w:color w:val="000000" w:themeColor="text1"/>
          <w:highlight w:val="yellow"/>
        </w:rPr>
        <w:t xml:space="preserve"> Figures 3 – 5 show the impact of these added residential units on housing density, highlighting that the impacts are concentrated in </w:t>
      </w:r>
      <w:r w:rsidR="00A4554F" w:rsidRPr="001815D6">
        <w:rPr>
          <w:rFonts w:eastAsia="Times New Roman"/>
          <w:color w:val="000000" w:themeColor="text1"/>
          <w:highlight w:val="yellow"/>
        </w:rPr>
        <w:t>town center areas that may already have similar density.</w:t>
      </w:r>
    </w:p>
    <w:p w14:paraId="3D68472A" w14:textId="77777777" w:rsidR="00AA6B1A" w:rsidRDefault="00AA6B1A">
      <w:pPr>
        <w:rPr>
          <w:rFonts w:eastAsia="Times New Roman" w:cstheme="minorHAnsi"/>
          <w:b/>
          <w:bCs/>
          <w:color w:val="000000" w:themeColor="text1"/>
        </w:rPr>
      </w:pPr>
      <w:r>
        <w:rPr>
          <w:rFonts w:eastAsia="Times New Roman" w:cstheme="minorHAnsi"/>
          <w:b/>
          <w:bCs/>
          <w:color w:val="000000" w:themeColor="text1"/>
        </w:rPr>
        <w:br w:type="page"/>
      </w:r>
    </w:p>
    <w:p w14:paraId="7532EBEA" w14:textId="77777777" w:rsidR="00186456" w:rsidRDefault="00EF062B">
      <w:pPr>
        <w:rPr>
          <w:rFonts w:eastAsia="Times New Roman" w:cstheme="minorHAnsi"/>
          <w:b/>
          <w:bCs/>
          <w:color w:val="000000" w:themeColor="text1"/>
        </w:rPr>
      </w:pPr>
      <w:commentRangeStart w:id="8"/>
      <w:r>
        <w:rPr>
          <w:rFonts w:eastAsia="Times New Roman" w:cstheme="minorHAnsi"/>
          <w:b/>
          <w:bCs/>
          <w:noProof/>
          <w:color w:val="000000" w:themeColor="text1"/>
        </w:rPr>
        <w:lastRenderedPageBreak/>
        <w:drawing>
          <wp:inline distT="0" distB="0" distL="0" distR="0" wp14:anchorId="524933B6" wp14:editId="32FA3BCE">
            <wp:extent cx="6027997" cy="7800975"/>
            <wp:effectExtent l="0" t="0" r="0" b="0"/>
            <wp:docPr id="1145764075" name="Picture 3" descr="A map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4075" name="Picture 3" descr="A map of a lak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9838" cy="7803358"/>
                    </a:xfrm>
                    <a:prstGeom prst="rect">
                      <a:avLst/>
                    </a:prstGeom>
                  </pic:spPr>
                </pic:pic>
              </a:graphicData>
            </a:graphic>
          </wp:inline>
        </w:drawing>
      </w:r>
      <w:commentRangeEnd w:id="8"/>
      <w:r w:rsidR="001815D6">
        <w:rPr>
          <w:rStyle w:val="CommentReference"/>
          <w:rFonts w:eastAsia="Times New Roman" w:cstheme="minorHAnsi"/>
          <w:b/>
          <w:bCs/>
          <w:color w:val="000000" w:themeColor="text1"/>
          <w:sz w:val="22"/>
          <w:szCs w:val="22"/>
        </w:rPr>
        <w:commentReference w:id="8"/>
      </w:r>
    </w:p>
    <w:p w14:paraId="56263745" w14:textId="04EE21C0" w:rsidR="00AA6B1A" w:rsidRDefault="00186456">
      <w:pPr>
        <w:rPr>
          <w:rFonts w:eastAsia="Times New Roman" w:cstheme="minorHAnsi"/>
          <w:b/>
          <w:bCs/>
          <w:color w:val="000000" w:themeColor="text1"/>
        </w:rPr>
      </w:pPr>
      <w:r>
        <w:rPr>
          <w:rFonts w:eastAsia="Times New Roman" w:cstheme="minorHAnsi"/>
          <w:b/>
          <w:bCs/>
          <w:color w:val="000000" w:themeColor="text1"/>
        </w:rPr>
        <w:t>Figure 2</w:t>
      </w:r>
      <w:r w:rsidR="0013139F">
        <w:rPr>
          <w:rFonts w:eastAsia="Times New Roman" w:cstheme="minorHAnsi"/>
          <w:b/>
          <w:bCs/>
          <w:color w:val="000000" w:themeColor="text1"/>
        </w:rPr>
        <w:t>: Existing Housing Density by TAZ Base Year 2022</w:t>
      </w:r>
      <w:r w:rsidR="00AA6B1A">
        <w:rPr>
          <w:rFonts w:eastAsia="Times New Roman" w:cstheme="minorHAnsi"/>
          <w:b/>
          <w:bCs/>
          <w:color w:val="000000" w:themeColor="text1"/>
        </w:rPr>
        <w:br w:type="page"/>
      </w:r>
    </w:p>
    <w:p w14:paraId="5A53D364" w14:textId="33A7EEBA" w:rsidR="00AA6B1A" w:rsidRDefault="00DE2C71" w:rsidP="00646419">
      <w:pPr>
        <w:spacing w:after="0" w:line="360" w:lineRule="auto"/>
        <w:rPr>
          <w:rFonts w:eastAsia="Times New Roman" w:cstheme="minorHAnsi"/>
          <w:b/>
          <w:bCs/>
          <w:color w:val="000000" w:themeColor="text1"/>
        </w:rPr>
      </w:pPr>
      <w:commentRangeStart w:id="9"/>
      <w:r>
        <w:rPr>
          <w:rFonts w:eastAsia="Times New Roman" w:cstheme="minorHAnsi"/>
          <w:b/>
          <w:bCs/>
          <w:noProof/>
          <w:color w:val="000000" w:themeColor="text1"/>
        </w:rPr>
        <w:lastRenderedPageBreak/>
        <w:drawing>
          <wp:inline distT="0" distB="0" distL="0" distR="0" wp14:anchorId="4C7E2C0A" wp14:editId="04F6D67C">
            <wp:extent cx="6035357" cy="7810500"/>
            <wp:effectExtent l="0" t="0" r="3810" b="0"/>
            <wp:docPr id="1934017405" name="Picture 4" descr="A map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7405" name="Picture 4" descr="A map of a lak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5674" cy="7810910"/>
                    </a:xfrm>
                    <a:prstGeom prst="rect">
                      <a:avLst/>
                    </a:prstGeom>
                  </pic:spPr>
                </pic:pic>
              </a:graphicData>
            </a:graphic>
          </wp:inline>
        </w:drawing>
      </w:r>
      <w:commentRangeEnd w:id="9"/>
      <w:r w:rsidR="001815D6">
        <w:rPr>
          <w:rStyle w:val="CommentReference"/>
          <w:rFonts w:eastAsia="Times New Roman" w:cstheme="minorHAnsi"/>
          <w:b/>
          <w:bCs/>
          <w:color w:val="000000" w:themeColor="text1"/>
          <w:sz w:val="22"/>
          <w:szCs w:val="22"/>
        </w:rPr>
        <w:commentReference w:id="9"/>
      </w:r>
    </w:p>
    <w:p w14:paraId="12F2760A" w14:textId="4815AB17" w:rsidR="00AA6B1A" w:rsidRDefault="00186456" w:rsidP="00BF7226">
      <w:pPr>
        <w:spacing w:after="0" w:line="360" w:lineRule="auto"/>
        <w:rPr>
          <w:rFonts w:eastAsia="Times New Roman" w:cstheme="minorHAnsi"/>
          <w:b/>
          <w:bCs/>
          <w:color w:val="000000" w:themeColor="text1"/>
        </w:rPr>
      </w:pPr>
      <w:r>
        <w:rPr>
          <w:rFonts w:eastAsia="Times New Roman" w:cstheme="minorHAnsi"/>
          <w:b/>
          <w:bCs/>
          <w:color w:val="000000" w:themeColor="text1"/>
        </w:rPr>
        <w:t>Figure 3</w:t>
      </w:r>
      <w:r w:rsidR="0013139F">
        <w:rPr>
          <w:rFonts w:eastAsia="Times New Roman" w:cstheme="minorHAnsi"/>
          <w:b/>
          <w:bCs/>
          <w:color w:val="000000" w:themeColor="text1"/>
        </w:rPr>
        <w:t>: Projected Housing Density by TAZ Model Year 2035</w:t>
      </w:r>
      <w:r w:rsidR="00AA6B1A">
        <w:rPr>
          <w:rFonts w:eastAsia="Times New Roman" w:cstheme="minorHAnsi"/>
          <w:b/>
          <w:bCs/>
          <w:color w:val="000000" w:themeColor="text1"/>
        </w:rPr>
        <w:br w:type="page"/>
      </w:r>
    </w:p>
    <w:p w14:paraId="37DA0162" w14:textId="1199B9BD" w:rsidR="00AA6B1A" w:rsidRDefault="00DE2C71" w:rsidP="00646419">
      <w:pPr>
        <w:spacing w:after="0" w:line="360" w:lineRule="auto"/>
        <w:rPr>
          <w:rFonts w:eastAsia="Times New Roman" w:cstheme="minorHAnsi"/>
          <w:b/>
          <w:bCs/>
          <w:color w:val="000000" w:themeColor="text1"/>
        </w:rPr>
      </w:pPr>
      <w:commentRangeStart w:id="10"/>
      <w:r>
        <w:rPr>
          <w:rFonts w:eastAsia="Times New Roman" w:cstheme="minorHAnsi"/>
          <w:b/>
          <w:bCs/>
          <w:noProof/>
          <w:color w:val="000000" w:themeColor="text1"/>
        </w:rPr>
        <w:lastRenderedPageBreak/>
        <w:drawing>
          <wp:inline distT="0" distB="0" distL="0" distR="0" wp14:anchorId="517752BD" wp14:editId="62B99786">
            <wp:extent cx="5943600" cy="7691755"/>
            <wp:effectExtent l="0" t="0" r="0" b="4445"/>
            <wp:docPr id="662760701" name="Picture 5" descr="A map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0701" name="Picture 5" descr="A map of a lak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commentRangeEnd w:id="10"/>
      <w:r w:rsidR="001815D6">
        <w:rPr>
          <w:rStyle w:val="CommentReference"/>
          <w:rFonts w:eastAsia="Times New Roman" w:cstheme="minorHAnsi"/>
          <w:b/>
          <w:bCs/>
          <w:color w:val="000000" w:themeColor="text1"/>
          <w:sz w:val="22"/>
          <w:szCs w:val="22"/>
        </w:rPr>
        <w:commentReference w:id="10"/>
      </w:r>
    </w:p>
    <w:p w14:paraId="53713916" w14:textId="35853EF3" w:rsidR="00AA6B1A" w:rsidRDefault="00186456">
      <w:pPr>
        <w:rPr>
          <w:rFonts w:eastAsia="Times New Roman" w:cstheme="minorHAnsi"/>
          <w:b/>
          <w:bCs/>
          <w:color w:val="000000" w:themeColor="text1"/>
        </w:rPr>
      </w:pPr>
      <w:r>
        <w:rPr>
          <w:rFonts w:eastAsia="Times New Roman" w:cstheme="minorHAnsi"/>
          <w:b/>
          <w:bCs/>
          <w:color w:val="000000" w:themeColor="text1"/>
        </w:rPr>
        <w:t>Figure 4</w:t>
      </w:r>
      <w:r w:rsidR="0013139F">
        <w:rPr>
          <w:rFonts w:eastAsia="Times New Roman" w:cstheme="minorHAnsi"/>
          <w:b/>
          <w:bCs/>
          <w:color w:val="000000" w:themeColor="text1"/>
        </w:rPr>
        <w:t>: Projected Housing Density by TAZ Model Year 2050</w:t>
      </w:r>
      <w:r w:rsidR="00AA6B1A">
        <w:rPr>
          <w:rFonts w:eastAsia="Times New Roman" w:cstheme="minorHAnsi"/>
          <w:b/>
          <w:bCs/>
          <w:color w:val="000000" w:themeColor="text1"/>
        </w:rPr>
        <w:br w:type="page"/>
      </w:r>
    </w:p>
    <w:p w14:paraId="05CC0880" w14:textId="5717B15A" w:rsidR="00646419" w:rsidRPr="00D03A40" w:rsidRDefault="00646419" w:rsidP="00BB6C26">
      <w:pPr>
        <w:pStyle w:val="Heading4"/>
      </w:pPr>
      <w:r w:rsidRPr="00D03A40">
        <w:lastRenderedPageBreak/>
        <w:t xml:space="preserve">Residential Occupancy </w:t>
      </w:r>
      <w:r w:rsidR="000D1F78">
        <w:t>R</w:t>
      </w:r>
      <w:r w:rsidRPr="00D03A40">
        <w:t>ate</w:t>
      </w:r>
    </w:p>
    <w:p w14:paraId="5D3DEBD1" w14:textId="304D5397" w:rsidR="00F71077" w:rsidRPr="00D03A40" w:rsidRDefault="000365D7" w:rsidP="000D1F78">
      <w:commentRangeStart w:id="11"/>
      <w:r w:rsidRPr="00D03A40">
        <w:t xml:space="preserve">The 2020 Decennial Census estimates that the proportion of occupied housing units in the Tahoe Region was 50% in </w:t>
      </w:r>
      <w:r w:rsidR="00E958E5" w:rsidRPr="00D03A40">
        <w:t xml:space="preserve">2020 </w:t>
      </w:r>
      <w:sdt>
        <w:sdtPr>
          <w:id w:val="907728513"/>
          <w:citation/>
        </w:sdtPr>
        <w:sdtContent>
          <w:r w:rsidR="00E958E5" w:rsidRPr="00D03A40">
            <w:fldChar w:fldCharType="begin"/>
          </w:r>
          <w:r w:rsidR="00E958E5" w:rsidRPr="20A6508D">
            <w:instrText xml:space="preserve"> CITATION USD23 \l 1033 </w:instrText>
          </w:r>
          <w:r w:rsidR="00E958E5" w:rsidRPr="00D03A40">
            <w:fldChar w:fldCharType="separate"/>
          </w:r>
          <w:r w:rsidR="00E958E5" w:rsidRPr="20A6508D">
            <w:t>(U.S. Department of Commerce, 2023)</w:t>
          </w:r>
          <w:r w:rsidR="00E958E5" w:rsidRPr="00D03A40">
            <w:fldChar w:fldCharType="end"/>
          </w:r>
        </w:sdtContent>
      </w:sdt>
      <w:r w:rsidRPr="00D03A40">
        <w:t>. The remaining 50% of the regional housing supply not occupied by full-time residents is classified by the ACS as seasonal use (44%, including short-term rentals) or otherwise vacant (6%). These figures were slightly higher than the 2010 Census, which reported that 49% of Tahoe’s housing units were occupied, 44% were seasonal use, and 7% were otherwise vacant.</w:t>
      </w:r>
      <w:commentRangeEnd w:id="11"/>
      <w:r w:rsidR="001815D6" w:rsidRPr="00D03A40">
        <w:rPr>
          <w:rStyle w:val="CommentReference"/>
          <w:sz w:val="22"/>
          <w:szCs w:val="22"/>
        </w:rPr>
        <w:commentReference w:id="11"/>
      </w:r>
    </w:p>
    <w:p w14:paraId="3163D097" w14:textId="7BB56E0D" w:rsidR="000365D7" w:rsidRPr="00D03A40" w:rsidRDefault="000365D7" w:rsidP="000D1F78">
      <w:r w:rsidRPr="00D03A40">
        <w:t xml:space="preserve">The 2020 housing occupancy data varies significantly by jurisdiction and community around the Tahoe Region, with some communities on the west shore of Tahoe approaching 70% to 80% seasonal and vacant housing units, and some east shore communities at 33% seasonal and vacant. </w:t>
      </w:r>
    </w:p>
    <w:p w14:paraId="1E069A34" w14:textId="405FAEF2" w:rsidR="000365D7" w:rsidRPr="00D03A40" w:rsidRDefault="00AC7DA1" w:rsidP="000365D7">
      <w:pPr>
        <w:spacing w:line="360" w:lineRule="auto"/>
        <w:rPr>
          <w:rFonts w:cstheme="minorHAnsi"/>
        </w:rPr>
      </w:pPr>
      <w:r w:rsidRPr="00AC7DA1">
        <w:rPr>
          <w:noProof/>
        </w:rPr>
        <w:drawing>
          <wp:inline distT="0" distB="0" distL="0" distR="0" wp14:anchorId="02E2B806" wp14:editId="49864F3A">
            <wp:extent cx="5172075" cy="2752725"/>
            <wp:effectExtent l="0" t="0" r="9525" b="9525"/>
            <wp:docPr id="451352613" name="Picture 4" descr="A graph of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52613" name="Picture 4" descr="A graph of numbers and a number of peop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2075" cy="2752725"/>
                    </a:xfrm>
                    <a:prstGeom prst="rect">
                      <a:avLst/>
                    </a:prstGeom>
                    <a:noFill/>
                    <a:ln>
                      <a:noFill/>
                    </a:ln>
                  </pic:spPr>
                </pic:pic>
              </a:graphicData>
            </a:graphic>
          </wp:inline>
        </w:drawing>
      </w:r>
      <w:r w:rsidRPr="00AC7DA1">
        <w:br/>
      </w:r>
      <w:r w:rsidR="00171A0C" w:rsidRPr="00BF7226">
        <w:rPr>
          <w:b/>
        </w:rPr>
        <w:t>Figure 5</w:t>
      </w:r>
      <w:r w:rsidR="0013139F">
        <w:rPr>
          <w:b/>
        </w:rPr>
        <w:t>: US Decennial Census: Housing Occupancy in the Tahoe Region</w:t>
      </w:r>
    </w:p>
    <w:p w14:paraId="7E56839F" w14:textId="2CFA7F3B" w:rsidR="000365D7" w:rsidRPr="00D03A40" w:rsidRDefault="000365D7" w:rsidP="000D1F78">
      <w:r w:rsidRPr="7B403D96">
        <w:t xml:space="preserve">The forecast includes an increase in the proportion of residential units occupied by full-time residents (owner-occupied and renter-occupied) and assumes a return to pre-Covid level of second home occupancy. Three factors are expected to contribute to the shift: 1) Housing Initiatives to </w:t>
      </w:r>
      <w:r w:rsidR="0913D33A" w:rsidRPr="7B403D96">
        <w:t xml:space="preserve">support </w:t>
      </w:r>
      <w:r w:rsidRPr="7B403D96">
        <w:t xml:space="preserve">construction of new workforce, achievable, and affordable housing in the region, 2) Housing initiatives to </w:t>
      </w:r>
      <w:r w:rsidR="64889BDE" w:rsidRPr="7B403D96">
        <w:t>support</w:t>
      </w:r>
      <w:r w:rsidRPr="7B403D96">
        <w:t xml:space="preserve"> the transition of the existing stock of residential units from second homes and short term rentals to resident-occupied units, and 3) Short term rentals regulations. Additional details on each factor </w:t>
      </w:r>
      <w:r w:rsidR="00171A0C" w:rsidRPr="7B403D96">
        <w:t>are</w:t>
      </w:r>
      <w:r w:rsidRPr="7B403D96">
        <w:t xml:space="preserve"> provided below. </w:t>
      </w:r>
    </w:p>
    <w:p w14:paraId="58045695" w14:textId="77777777" w:rsidR="000365D7" w:rsidRPr="001815D6" w:rsidRDefault="000365D7" w:rsidP="00842940">
      <w:pPr>
        <w:pStyle w:val="ListParagraph"/>
        <w:numPr>
          <w:ilvl w:val="0"/>
          <w:numId w:val="12"/>
        </w:numPr>
        <w:rPr>
          <w:rFonts w:cstheme="minorHAnsi"/>
          <w:b/>
          <w:bCs/>
          <w:sz w:val="24"/>
          <w:szCs w:val="24"/>
          <w:highlight w:val="yellow"/>
        </w:rPr>
      </w:pPr>
      <w:r w:rsidRPr="001815D6">
        <w:rPr>
          <w:rFonts w:cstheme="minorHAnsi"/>
          <w:i/>
          <w:iCs/>
          <w:highlight w:val="yellow"/>
        </w:rPr>
        <w:t>Housing initiatives to promote new workforce and income-restricted housing</w:t>
      </w:r>
      <w:r w:rsidRPr="001815D6">
        <w:rPr>
          <w:rFonts w:cstheme="minorHAnsi"/>
          <w:highlight w:val="yellow"/>
        </w:rPr>
        <w:t xml:space="preserve">: The development forecast includes construction of all of the remaining 1,448 residential units from the TRPA residential bonus unit pool. Residential Bonus Units are awarded as transfer incentives for relocating remote development into town centers, and for the construction of affordable/moderate/achievable housing. New housing constructed with Residential Bonus </w:t>
      </w:r>
      <w:r w:rsidRPr="001815D6">
        <w:rPr>
          <w:rFonts w:cstheme="minorHAnsi"/>
          <w:highlight w:val="yellow"/>
        </w:rPr>
        <w:lastRenderedPageBreak/>
        <w:t xml:space="preserve">Units is required by TRPA Code to be deed-restricted to prohibit these housing units from being used for second homes or vacation rentals. </w:t>
      </w:r>
    </w:p>
    <w:p w14:paraId="397A7AA8" w14:textId="77777777" w:rsidR="000365D7" w:rsidRPr="001815D6" w:rsidRDefault="000365D7" w:rsidP="00842940">
      <w:pPr>
        <w:pStyle w:val="ListParagraph"/>
        <w:numPr>
          <w:ilvl w:val="0"/>
          <w:numId w:val="12"/>
        </w:numPr>
        <w:rPr>
          <w:rFonts w:cstheme="minorHAnsi"/>
          <w:highlight w:val="yellow"/>
        </w:rPr>
      </w:pPr>
      <w:r w:rsidRPr="001815D6">
        <w:rPr>
          <w:rFonts w:cstheme="minorHAnsi"/>
          <w:i/>
          <w:iCs/>
          <w:highlight w:val="yellow"/>
        </w:rPr>
        <w:t xml:space="preserve">Short term rental regulations: </w:t>
      </w:r>
      <w:r w:rsidRPr="001815D6">
        <w:rPr>
          <w:rFonts w:cstheme="minorHAnsi"/>
          <w:highlight w:val="yellow"/>
        </w:rPr>
        <w:t xml:space="preserve">Since the 2020 RTP, there have been numerous changes in the regulation of short-term rentals by local jurisdictions. </w:t>
      </w:r>
    </w:p>
    <w:p w14:paraId="2AC0416B" w14:textId="4C387EB4" w:rsidR="000365D7" w:rsidRPr="001815D6" w:rsidRDefault="000365D7" w:rsidP="00842940">
      <w:pPr>
        <w:pStyle w:val="ListParagraph"/>
        <w:numPr>
          <w:ilvl w:val="1"/>
          <w:numId w:val="12"/>
        </w:numPr>
        <w:rPr>
          <w:rFonts w:cstheme="minorHAnsi"/>
          <w:highlight w:val="yellow"/>
        </w:rPr>
      </w:pPr>
      <w:r w:rsidRPr="001815D6">
        <w:rPr>
          <w:rFonts w:cstheme="minorHAnsi"/>
          <w:i/>
          <w:iCs/>
          <w:highlight w:val="yellow"/>
        </w:rPr>
        <w:t>Measure T</w:t>
      </w:r>
      <w:r w:rsidRPr="001815D6">
        <w:rPr>
          <w:rFonts w:cstheme="minorHAnsi"/>
          <w:highlight w:val="yellow"/>
        </w:rPr>
        <w:t xml:space="preserve"> </w:t>
      </w:r>
      <w:r w:rsidRPr="001815D6">
        <w:rPr>
          <w:rFonts w:cstheme="minorHAnsi"/>
          <w:i/>
          <w:iCs/>
          <w:highlight w:val="yellow"/>
        </w:rPr>
        <w:t>in the City of South Lake Tahoe</w:t>
      </w:r>
      <w:r w:rsidRPr="001815D6">
        <w:rPr>
          <w:rFonts w:cstheme="minorHAnsi"/>
          <w:highlight w:val="yellow"/>
        </w:rPr>
        <w:t xml:space="preserve">: Voters passed Measure T in the City of South Lake Tahoe in November 2018. The measure includes broad restrictions on short term rentals (STRs) outside select areas in the city. The restrictions </w:t>
      </w:r>
      <w:r w:rsidRPr="001815D6">
        <w:rPr>
          <w:highlight w:val="yellow"/>
        </w:rPr>
        <w:t xml:space="preserve">went </w:t>
      </w:r>
      <w:r w:rsidRPr="001815D6">
        <w:rPr>
          <w:rFonts w:cstheme="minorHAnsi"/>
          <w:highlight w:val="yellow"/>
        </w:rPr>
        <w:t xml:space="preserve">into effect on December 31, 2021. </w:t>
      </w:r>
      <w:r w:rsidRPr="001815D6">
        <w:rPr>
          <w:rFonts w:eastAsiaTheme="minorEastAsia" w:cstheme="minorHAnsi"/>
          <w:highlight w:val="yellow"/>
        </w:rPr>
        <w:t>As a result of the measure, approximately 1,372 previously permitted VHRs were not renewed.</w:t>
      </w:r>
      <w:sdt>
        <w:sdtPr>
          <w:rPr>
            <w:rFonts w:eastAsiaTheme="minorEastAsia"/>
            <w:highlight w:val="yellow"/>
          </w:rPr>
          <w:id w:val="419837726"/>
          <w:citation/>
        </w:sdtPr>
        <w:sdtContent>
          <w:r w:rsidR="006C4D58" w:rsidRPr="001815D6">
            <w:rPr>
              <w:rFonts w:eastAsiaTheme="minorEastAsia" w:cstheme="minorHAnsi"/>
              <w:highlight w:val="yellow"/>
            </w:rPr>
            <w:fldChar w:fldCharType="begin"/>
          </w:r>
          <w:r w:rsidR="006C4D58" w:rsidRPr="001815D6">
            <w:rPr>
              <w:rFonts w:eastAsiaTheme="minorEastAsia" w:cstheme="minorHAnsi"/>
              <w:highlight w:val="yellow"/>
            </w:rPr>
            <w:instrText xml:space="preserve">CITATION MT \l 1033 </w:instrText>
          </w:r>
          <w:r w:rsidR="006C4D58" w:rsidRPr="001815D6">
            <w:rPr>
              <w:rFonts w:eastAsiaTheme="minorEastAsia" w:cstheme="minorHAnsi"/>
              <w:highlight w:val="yellow"/>
            </w:rPr>
            <w:fldChar w:fldCharType="separate"/>
          </w:r>
          <w:r w:rsidR="006C4D58" w:rsidRPr="001815D6">
            <w:rPr>
              <w:rFonts w:eastAsiaTheme="minorEastAsia" w:cstheme="minorHAnsi"/>
              <w:noProof/>
              <w:highlight w:val="yellow"/>
            </w:rPr>
            <w:t xml:space="preserve"> (City of South Lake Tahoe, n.d.)</w:t>
          </w:r>
          <w:r w:rsidR="006C4D58" w:rsidRPr="001815D6">
            <w:rPr>
              <w:rFonts w:eastAsiaTheme="minorEastAsia" w:cstheme="minorHAnsi"/>
              <w:highlight w:val="yellow"/>
            </w:rPr>
            <w:fldChar w:fldCharType="end"/>
          </w:r>
        </w:sdtContent>
      </w:sdt>
      <w:r w:rsidR="005350EC" w:rsidRPr="001815D6">
        <w:rPr>
          <w:rFonts w:eastAsiaTheme="minorEastAsia"/>
          <w:highlight w:val="yellow"/>
        </w:rPr>
        <w:t xml:space="preserve"> In </w:t>
      </w:r>
      <w:r w:rsidR="0040113B" w:rsidRPr="001815D6">
        <w:rPr>
          <w:rFonts w:eastAsiaTheme="minorEastAsia"/>
          <w:highlight w:val="yellow"/>
        </w:rPr>
        <w:t>March</w:t>
      </w:r>
      <w:r w:rsidR="001D3F13" w:rsidRPr="001815D6">
        <w:rPr>
          <w:rFonts w:eastAsiaTheme="minorEastAsia"/>
          <w:highlight w:val="yellow"/>
        </w:rPr>
        <w:t xml:space="preserve"> of 2025, </w:t>
      </w:r>
      <w:r w:rsidR="004069FA" w:rsidRPr="001815D6">
        <w:rPr>
          <w:rFonts w:eastAsiaTheme="minorEastAsia"/>
          <w:highlight w:val="yellow"/>
        </w:rPr>
        <w:t xml:space="preserve">this measure was declared </w:t>
      </w:r>
      <w:r w:rsidR="00FE256C" w:rsidRPr="001815D6">
        <w:rPr>
          <w:rFonts w:eastAsiaTheme="minorEastAsia"/>
          <w:highlight w:val="yellow"/>
        </w:rPr>
        <w:t>unconstitutional</w:t>
      </w:r>
      <w:r w:rsidR="004069FA" w:rsidRPr="001815D6">
        <w:rPr>
          <w:rFonts w:eastAsiaTheme="minorEastAsia"/>
          <w:highlight w:val="yellow"/>
        </w:rPr>
        <w:t xml:space="preserve"> requiring the City to </w:t>
      </w:r>
      <w:r w:rsidR="000E27C8" w:rsidRPr="001815D6">
        <w:rPr>
          <w:rFonts w:eastAsiaTheme="minorEastAsia"/>
          <w:highlight w:val="yellow"/>
        </w:rPr>
        <w:t xml:space="preserve">develop a </w:t>
      </w:r>
      <w:r w:rsidR="00166F76" w:rsidRPr="001815D6">
        <w:rPr>
          <w:rFonts w:eastAsiaTheme="minorEastAsia"/>
          <w:highlight w:val="yellow"/>
        </w:rPr>
        <w:t xml:space="preserve">short-term rental </w:t>
      </w:r>
      <w:r w:rsidR="004376F4" w:rsidRPr="001815D6">
        <w:rPr>
          <w:rFonts w:eastAsiaTheme="minorEastAsia"/>
          <w:highlight w:val="yellow"/>
        </w:rPr>
        <w:t xml:space="preserve">program </w:t>
      </w:r>
      <w:r w:rsidR="00166F76" w:rsidRPr="001815D6">
        <w:rPr>
          <w:rFonts w:eastAsiaTheme="minorEastAsia"/>
          <w:highlight w:val="yellow"/>
        </w:rPr>
        <w:t xml:space="preserve">once again. </w:t>
      </w:r>
      <w:r w:rsidR="008D3D66" w:rsidRPr="001815D6">
        <w:rPr>
          <w:rFonts w:eastAsiaTheme="minorEastAsia"/>
          <w:highlight w:val="yellow"/>
        </w:rPr>
        <w:t xml:space="preserve">Our modeling considered the requirements in effect </w:t>
      </w:r>
      <w:r w:rsidR="009D008D" w:rsidRPr="001815D6">
        <w:rPr>
          <w:rFonts w:eastAsiaTheme="minorEastAsia"/>
          <w:highlight w:val="yellow"/>
        </w:rPr>
        <w:t>at the time the model was run</w:t>
      </w:r>
      <w:r w:rsidR="002414A4" w:rsidRPr="001815D6">
        <w:rPr>
          <w:rFonts w:eastAsiaTheme="minorEastAsia"/>
          <w:highlight w:val="yellow"/>
        </w:rPr>
        <w:t xml:space="preserve"> (e.g., before the court decision)</w:t>
      </w:r>
      <w:r w:rsidR="005556A6" w:rsidRPr="001815D6">
        <w:rPr>
          <w:rFonts w:eastAsiaTheme="minorEastAsia"/>
          <w:highlight w:val="yellow"/>
        </w:rPr>
        <w:t xml:space="preserve"> and we will revisit this in future model runs. </w:t>
      </w:r>
      <w:r w:rsidR="00EC7014" w:rsidRPr="001815D6">
        <w:rPr>
          <w:rFonts w:eastAsiaTheme="minorEastAsia"/>
          <w:highlight w:val="yellow"/>
        </w:rPr>
        <w:t xml:space="preserve">In </w:t>
      </w:r>
      <w:r w:rsidR="001E0B9F" w:rsidRPr="001815D6">
        <w:rPr>
          <w:rFonts w:eastAsiaTheme="minorEastAsia"/>
          <w:highlight w:val="yellow"/>
        </w:rPr>
        <w:t xml:space="preserve">TRPA’s model runs, </w:t>
      </w:r>
      <w:r w:rsidR="00D718F7" w:rsidRPr="001815D6">
        <w:rPr>
          <w:rFonts w:eastAsiaTheme="minorEastAsia"/>
          <w:highlight w:val="yellow"/>
        </w:rPr>
        <w:t>the model considered these units residential units and</w:t>
      </w:r>
      <w:r w:rsidR="00141F5D" w:rsidRPr="001815D6">
        <w:rPr>
          <w:rFonts w:eastAsiaTheme="minorEastAsia"/>
          <w:highlight w:val="yellow"/>
        </w:rPr>
        <w:t xml:space="preserve"> assumed </w:t>
      </w:r>
      <w:r w:rsidR="00D718F7" w:rsidRPr="001815D6">
        <w:rPr>
          <w:rFonts w:eastAsiaTheme="minorEastAsia"/>
          <w:highlight w:val="yellow"/>
        </w:rPr>
        <w:t xml:space="preserve">an </w:t>
      </w:r>
      <w:r w:rsidR="00E53F68" w:rsidRPr="001815D6">
        <w:rPr>
          <w:rFonts w:eastAsiaTheme="minorEastAsia"/>
          <w:highlight w:val="yellow"/>
        </w:rPr>
        <w:t xml:space="preserve">average </w:t>
      </w:r>
      <w:r w:rsidR="00D718F7" w:rsidRPr="001815D6">
        <w:rPr>
          <w:rFonts w:eastAsiaTheme="minorEastAsia"/>
          <w:highlight w:val="yellow"/>
        </w:rPr>
        <w:t xml:space="preserve">occupancy rate based on the census block occupancy rates. Trips/VMT were assumed in the Resident submodel based on residential trip rates and resident O/D behavior (as opposed to the visitor submodel, trip purposes/destinations). </w:t>
      </w:r>
      <w:r w:rsidR="00037AAD" w:rsidRPr="001815D6">
        <w:rPr>
          <w:rFonts w:eastAsiaTheme="minorEastAsia"/>
          <w:highlight w:val="yellow"/>
        </w:rPr>
        <w:t>On average, residential units produce more vehicle trips/VMT than lodging and rental units.</w:t>
      </w:r>
      <w:r w:rsidR="00D718F7" w:rsidRPr="001815D6">
        <w:rPr>
          <w:rFonts w:eastAsiaTheme="minorEastAsia"/>
          <w:highlight w:val="yellow"/>
        </w:rPr>
        <w:t> Other VHRs in the region were considered in the Visitor submodel. Future analyses will account for the number of permitted VHRs at the time of the input base year, and forecasts will generally assume full utilization of the maximum permits allowed by the jurisdiction. </w:t>
      </w:r>
    </w:p>
    <w:p w14:paraId="2C9A7D2A" w14:textId="0F21B246" w:rsidR="000365D7" w:rsidRPr="00D03A40" w:rsidRDefault="000365D7" w:rsidP="00842940">
      <w:pPr>
        <w:pStyle w:val="ListParagraph"/>
        <w:numPr>
          <w:ilvl w:val="1"/>
          <w:numId w:val="12"/>
        </w:numPr>
        <w:rPr>
          <w:rFonts w:cstheme="minorHAnsi"/>
        </w:rPr>
      </w:pPr>
      <w:r w:rsidRPr="00D03A40">
        <w:rPr>
          <w:rFonts w:cstheme="minorHAnsi"/>
          <w:i/>
          <w:iCs/>
        </w:rPr>
        <w:t>Douglas County</w:t>
      </w:r>
      <w:r w:rsidRPr="00D03A40">
        <w:rPr>
          <w:rFonts w:cstheme="minorHAnsi"/>
        </w:rPr>
        <w:t>: In 2021, Douglas County adopted changes to its vacation home rental ordinance that placed a cap on the total number of permits available (600) in the Tahoe Township, placed caps on the number of permits available in each subdivision, established a tiered permit structure, created an advisory board, and substantially increased the penalties for violations. The current version of Douglas County’s Lake Tahoe Vacation Home Rentals ordinance (chapter 20.622 of the Douglas County Code) was adopted March 21, 2024. Under current regulations, vacation home rentals are either prohibited or heavily restricted in and north of Lincoln Park, with VHRs in allowed subdivisions limited to 15% of housing stock. Many neighborhoods have reached their caps, with additional permit requests added to a waitlist.</w:t>
      </w:r>
      <w:sdt>
        <w:sdtPr>
          <w:id w:val="1453975088"/>
          <w:citation/>
        </w:sdtPr>
        <w:sdtContent>
          <w:r w:rsidR="006C4D58" w:rsidRPr="00D03A40">
            <w:rPr>
              <w:rFonts w:cstheme="minorHAnsi"/>
            </w:rPr>
            <w:fldChar w:fldCharType="begin"/>
          </w:r>
          <w:r w:rsidR="006C4D58" w:rsidRPr="00D03A40">
            <w:rPr>
              <w:rFonts w:cstheme="minorHAnsi"/>
            </w:rPr>
            <w:instrText xml:space="preserve"> CITATION Dou24 \l 1033 </w:instrText>
          </w:r>
          <w:r w:rsidR="006C4D58" w:rsidRPr="00D03A40">
            <w:rPr>
              <w:rFonts w:cstheme="minorHAnsi"/>
            </w:rPr>
            <w:fldChar w:fldCharType="separate"/>
          </w:r>
          <w:r w:rsidR="006C4D58" w:rsidRPr="00D03A40">
            <w:rPr>
              <w:rFonts w:cstheme="minorHAnsi"/>
              <w:noProof/>
            </w:rPr>
            <w:t xml:space="preserve"> (Douglas County Board of County Commissioners, 2024)</w:t>
          </w:r>
          <w:r w:rsidR="006C4D58" w:rsidRPr="00D03A40">
            <w:rPr>
              <w:rFonts w:cstheme="minorHAnsi"/>
            </w:rPr>
            <w:fldChar w:fldCharType="end"/>
          </w:r>
        </w:sdtContent>
      </w:sdt>
    </w:p>
    <w:p w14:paraId="3DC07F30" w14:textId="3D87DB24" w:rsidR="000365D7" w:rsidRPr="00D03A40" w:rsidRDefault="000365D7" w:rsidP="00842940">
      <w:pPr>
        <w:pStyle w:val="ListParagraph"/>
        <w:numPr>
          <w:ilvl w:val="1"/>
          <w:numId w:val="12"/>
        </w:numPr>
        <w:rPr>
          <w:rFonts w:cstheme="minorHAnsi"/>
        </w:rPr>
      </w:pPr>
      <w:r w:rsidRPr="00D03A40">
        <w:rPr>
          <w:rFonts w:cstheme="minorHAnsi"/>
          <w:i/>
          <w:iCs/>
        </w:rPr>
        <w:t xml:space="preserve">El Dorado </w:t>
      </w:r>
      <w:r w:rsidRPr="000D1F78">
        <w:rPr>
          <w:rFonts w:cstheme="minorHAnsi"/>
          <w:i/>
          <w:iCs/>
        </w:rPr>
        <w:t>County</w:t>
      </w:r>
      <w:r w:rsidRPr="00D03A40">
        <w:rPr>
          <w:rFonts w:cstheme="minorHAnsi"/>
        </w:rPr>
        <w:t>: El Dorado County adopted a new county-wide VHR ordinance on December 2, 2020. This ordinance limited the number of permits in the Tahoe Basin to 900 permits. On August 24, 2021, the ordinance was amended to require a 500-foot buffer around all active VHR permits. El Dorado County’s permit cap was reached in May 2023.</w:t>
      </w:r>
      <w:sdt>
        <w:sdtPr>
          <w:id w:val="1815598282"/>
          <w:citation/>
        </w:sdtPr>
        <w:sdtContent>
          <w:r w:rsidR="006C4D58" w:rsidRPr="00D03A40">
            <w:rPr>
              <w:rFonts w:cstheme="minorHAnsi"/>
            </w:rPr>
            <w:fldChar w:fldCharType="begin"/>
          </w:r>
          <w:r w:rsidR="006C4D58" w:rsidRPr="00D03A40">
            <w:rPr>
              <w:rFonts w:cstheme="minorHAnsi"/>
            </w:rPr>
            <w:instrText xml:space="preserve"> CITATION ElD \l 1033 </w:instrText>
          </w:r>
          <w:r w:rsidR="006C4D58" w:rsidRPr="00D03A40">
            <w:rPr>
              <w:rFonts w:cstheme="minorHAnsi"/>
            </w:rPr>
            <w:fldChar w:fldCharType="separate"/>
          </w:r>
          <w:r w:rsidR="006C4D58" w:rsidRPr="00D03A40">
            <w:rPr>
              <w:rFonts w:cstheme="minorHAnsi"/>
              <w:noProof/>
            </w:rPr>
            <w:t xml:space="preserve"> (El Dorado County, n.d.)</w:t>
          </w:r>
          <w:r w:rsidR="006C4D58" w:rsidRPr="00D03A40">
            <w:rPr>
              <w:rFonts w:cstheme="minorHAnsi"/>
            </w:rPr>
            <w:fldChar w:fldCharType="end"/>
          </w:r>
        </w:sdtContent>
      </w:sdt>
    </w:p>
    <w:p w14:paraId="1CDC207E" w14:textId="07313499" w:rsidR="000365D7" w:rsidRPr="00D03A40" w:rsidRDefault="000365D7" w:rsidP="00842940">
      <w:pPr>
        <w:pStyle w:val="ListParagraph"/>
        <w:numPr>
          <w:ilvl w:val="1"/>
          <w:numId w:val="12"/>
        </w:numPr>
        <w:rPr>
          <w:rFonts w:cstheme="minorHAnsi"/>
        </w:rPr>
      </w:pPr>
      <w:r w:rsidRPr="00D03A40">
        <w:rPr>
          <w:rFonts w:cstheme="minorHAnsi"/>
          <w:i/>
          <w:iCs/>
        </w:rPr>
        <w:t>Placer County</w:t>
      </w:r>
      <w:r w:rsidRPr="00D03A40">
        <w:rPr>
          <w:rFonts w:cstheme="minorHAnsi"/>
        </w:rPr>
        <w:t>: Placer County adopted a STR ordinance in November 2019, going into effect in January 2020. This ordinance was repealed and replaced with the current STR ordinance on February 8, 2022, effective March 11, 2022</w:t>
      </w:r>
      <w:r w:rsidR="00E958E5" w:rsidRPr="00D03A40">
        <w:rPr>
          <w:rFonts w:cstheme="minorHAnsi"/>
        </w:rPr>
        <w:t>, with later amendments</w:t>
      </w:r>
      <w:r w:rsidRPr="00D03A40">
        <w:rPr>
          <w:rFonts w:cstheme="minorHAnsi"/>
        </w:rPr>
        <w:t xml:space="preserve">. The current ordinance limits the number of STR permits east of Kingvale to 3,900 permits, </w:t>
      </w:r>
      <w:r w:rsidRPr="00D03A40">
        <w:rPr>
          <w:rFonts w:cstheme="minorHAnsi"/>
        </w:rPr>
        <w:lastRenderedPageBreak/>
        <w:t>with 3,227 permits active as of October 2024. About two-thirds of the active permits are located within the Tahoe Basin, with most of the remainder in the Northstar, Soda Springs, Schaffer’s Mill, and Olympic Valley/Alpine Meadows areas outside of the Tahoe Basin. There is no specific cap on Tahoe permits, though Placer County representatives have stated that the cap may be lowered if additional hotel or resort capacity is constructed.</w:t>
      </w:r>
      <w:sdt>
        <w:sdtPr>
          <w:id w:val="930313803"/>
          <w:citation/>
        </w:sdtPr>
        <w:sdtContent>
          <w:r w:rsidR="00E958E5" w:rsidRPr="00D03A40">
            <w:rPr>
              <w:rFonts w:cstheme="minorHAnsi"/>
            </w:rPr>
            <w:fldChar w:fldCharType="begin"/>
          </w:r>
          <w:r w:rsidR="00E958E5" w:rsidRPr="00D03A40">
            <w:rPr>
              <w:rFonts w:cstheme="minorHAnsi"/>
            </w:rPr>
            <w:instrText xml:space="preserve"> CITATION Pla24 \l 1033 </w:instrText>
          </w:r>
          <w:r w:rsidR="00E958E5" w:rsidRPr="00D03A40">
            <w:rPr>
              <w:rFonts w:cstheme="minorHAnsi"/>
            </w:rPr>
            <w:fldChar w:fldCharType="separate"/>
          </w:r>
          <w:r w:rsidR="00E958E5" w:rsidRPr="00D03A40">
            <w:rPr>
              <w:rFonts w:cstheme="minorHAnsi"/>
              <w:noProof/>
            </w:rPr>
            <w:t xml:space="preserve"> (Placer County Code Enforcement Services, 2024)</w:t>
          </w:r>
          <w:r w:rsidR="00E958E5" w:rsidRPr="00D03A40">
            <w:rPr>
              <w:rFonts w:cstheme="minorHAnsi"/>
            </w:rPr>
            <w:fldChar w:fldCharType="end"/>
          </w:r>
        </w:sdtContent>
      </w:sdt>
    </w:p>
    <w:p w14:paraId="43D74343" w14:textId="730AAFA0" w:rsidR="000365D7" w:rsidRPr="00D03A40" w:rsidRDefault="000365D7" w:rsidP="00842940">
      <w:pPr>
        <w:pStyle w:val="ListParagraph"/>
        <w:numPr>
          <w:ilvl w:val="1"/>
          <w:numId w:val="12"/>
        </w:numPr>
        <w:rPr>
          <w:rFonts w:cstheme="minorHAnsi"/>
        </w:rPr>
      </w:pPr>
      <w:r w:rsidRPr="00D03A40">
        <w:rPr>
          <w:rFonts w:cstheme="minorHAnsi"/>
          <w:i/>
          <w:iCs/>
        </w:rPr>
        <w:t>Washoe County</w:t>
      </w:r>
      <w:r w:rsidRPr="00D03A40">
        <w:rPr>
          <w:rFonts w:cstheme="minorHAnsi"/>
        </w:rPr>
        <w:t>: Unlike other jurisdictions in the Tahoe Basin, Washoe County does not place a limit on the number of STR permits that may be issued. The current Washoe County STR ordinance was adopted May 10, 2022. More recently, STR fees were increased, with the latest fee schedule becoming effective on July 1, 2024. Separate from county regulations, some homeowners’ associations in Washoe County ban STRs.</w:t>
      </w:r>
      <w:sdt>
        <w:sdtPr>
          <w:id w:val="2032997858"/>
          <w:citation/>
        </w:sdtPr>
        <w:sdtContent>
          <w:r w:rsidR="00E958E5" w:rsidRPr="00D03A40">
            <w:rPr>
              <w:rFonts w:cstheme="minorHAnsi"/>
            </w:rPr>
            <w:fldChar w:fldCharType="begin"/>
          </w:r>
          <w:r w:rsidR="00E958E5" w:rsidRPr="00D03A40">
            <w:rPr>
              <w:rFonts w:cstheme="minorHAnsi"/>
            </w:rPr>
            <w:instrText xml:space="preserve"> CITATION Was24 \l 1033 </w:instrText>
          </w:r>
          <w:r w:rsidR="00E958E5" w:rsidRPr="00D03A40">
            <w:rPr>
              <w:rFonts w:cstheme="minorHAnsi"/>
            </w:rPr>
            <w:fldChar w:fldCharType="separate"/>
          </w:r>
          <w:r w:rsidR="00E958E5" w:rsidRPr="00D03A40">
            <w:rPr>
              <w:rFonts w:cstheme="minorHAnsi"/>
              <w:noProof/>
            </w:rPr>
            <w:t xml:space="preserve"> (Washoe County Community Services Department, 2024)</w:t>
          </w:r>
          <w:r w:rsidR="00E958E5" w:rsidRPr="00D03A40">
            <w:rPr>
              <w:rFonts w:cstheme="minorHAnsi"/>
            </w:rPr>
            <w:fldChar w:fldCharType="end"/>
          </w:r>
        </w:sdtContent>
      </w:sdt>
    </w:p>
    <w:p w14:paraId="14FBE2A2" w14:textId="78B5FA84" w:rsidR="003F68D8" w:rsidRPr="00D03A40" w:rsidRDefault="003F68D8" w:rsidP="0099704D">
      <w:pPr>
        <w:spacing w:after="0" w:line="360" w:lineRule="auto"/>
        <w:rPr>
          <w:rFonts w:eastAsia="Times New Roman"/>
        </w:rPr>
      </w:pPr>
    </w:p>
    <w:p w14:paraId="6C15337B" w14:textId="50BDB333" w:rsidR="00A3079B" w:rsidRPr="00D03A40" w:rsidRDefault="00A3079B" w:rsidP="00BB6C26">
      <w:pPr>
        <w:pStyle w:val="Heading4"/>
        <w:rPr>
          <w:rFonts w:cstheme="minorHAnsi"/>
          <w:color w:val="000000" w:themeColor="text1"/>
        </w:rPr>
      </w:pPr>
      <w:r w:rsidRPr="00D03A40">
        <w:t xml:space="preserve">Commercial Floor </w:t>
      </w:r>
      <w:r w:rsidRPr="00AB3E4A">
        <w:t xml:space="preserve">Area </w:t>
      </w:r>
      <w:r w:rsidR="00C1264C" w:rsidRPr="00AB3E4A">
        <w:t>(CFA)</w:t>
      </w:r>
    </w:p>
    <w:p w14:paraId="6B6CDA6C" w14:textId="1F895283" w:rsidR="00601787" w:rsidRPr="00D03A40" w:rsidRDefault="00601787" w:rsidP="000D1F78">
      <w:pPr>
        <w:rPr>
          <w:rFonts w:eastAsia="Times New Roman"/>
        </w:rPr>
      </w:pPr>
      <w:r w:rsidRPr="00D03A40">
        <w:t xml:space="preserve">There are </w:t>
      </w:r>
      <w:r w:rsidRPr="001815D6">
        <w:rPr>
          <w:highlight w:val="yellow"/>
        </w:rPr>
        <w:t>currently 529,880</w:t>
      </w:r>
      <w:r w:rsidRPr="00D03A40">
        <w:t xml:space="preserve"> square feet of unused commercial floor area in TRPA and local jurisdiction community/area plan pools. Since </w:t>
      </w:r>
      <w:r w:rsidRPr="001815D6">
        <w:rPr>
          <w:highlight w:val="yellow"/>
        </w:rPr>
        <w:t>2013, a total of 50,200</w:t>
      </w:r>
      <w:r w:rsidR="00F71077" w:rsidRPr="001815D6">
        <w:rPr>
          <w:highlight w:val="yellow"/>
        </w:rPr>
        <w:t xml:space="preserve"> </w:t>
      </w:r>
      <w:r w:rsidRPr="001815D6">
        <w:rPr>
          <w:highlight w:val="yellow"/>
        </w:rPr>
        <w:t>square feet of CFA has been allocated to projects; an average rate of 5,020</w:t>
      </w:r>
      <w:r w:rsidRPr="00D03A40">
        <w:t xml:space="preserve"> square feet of CFA per year. </w:t>
      </w:r>
      <w:r w:rsidRPr="00D03A40">
        <w:rPr>
          <w:rFonts w:eastAsia="Times New Roman"/>
        </w:rPr>
        <w:t xml:space="preserve">The forecast includes the construction of an additional of </w:t>
      </w:r>
      <w:r w:rsidRPr="20A6508D">
        <w:rPr>
          <w:rFonts w:eastAsia="Times New Roman"/>
        </w:rPr>
        <w:t xml:space="preserve">85,765 </w:t>
      </w:r>
      <w:r w:rsidRPr="00D03A40">
        <w:rPr>
          <w:rFonts w:eastAsia="Times New Roman"/>
        </w:rPr>
        <w:t xml:space="preserve">square feet of CFA by 2035 and 161,373 square feet by 2050. The forecasted rate of development – 5,763 square feet - is higher than the observed rate since the 2012 Regional Plan, but lower than rates used in prior regional forecasts. CFA was allocated to known projects that have been permitted or are in the planning phase, but not constructed; remaining CFA was allocated to town centers and community plans or area plans using the observed proportions from recent allocations. </w:t>
      </w:r>
    </w:p>
    <w:p w14:paraId="243310EE" w14:textId="6DC5C9B3" w:rsidR="008E7155" w:rsidRPr="000D1F78" w:rsidRDefault="00601787" w:rsidP="000D1F78">
      <w:pPr>
        <w:rPr>
          <w:rFonts w:eastAsia="Times New Roman"/>
        </w:rPr>
      </w:pPr>
      <w:r w:rsidRPr="00D03A40">
        <w:rPr>
          <w:rFonts w:eastAsia="Times New Roman"/>
        </w:rPr>
        <w:t>The forecast includes the conversion of 100,000 square feet of CFA to residential units, consistent with conversion trends since the adoption of the conversion program; recent trends indicate the net conversion from CFA and TAUs towards Residential. The converted CFA is forecasted to result in the construction of 400 additional residential units --200 multifamily units, and 200 single family units. At the end of the forecast period, 457,627 square feet of CFA remains unallocated or banked, and thus unconstructed.</w:t>
      </w:r>
    </w:p>
    <w:p w14:paraId="0C7A3247" w14:textId="23DE5A18" w:rsidR="00A3079B" w:rsidRPr="00D03A40" w:rsidRDefault="00A3079B" w:rsidP="00BB6C26">
      <w:pPr>
        <w:pStyle w:val="Heading4"/>
        <w:rPr>
          <w:rFonts w:cstheme="minorHAnsi"/>
          <w:color w:val="000000" w:themeColor="text1"/>
        </w:rPr>
      </w:pPr>
      <w:r w:rsidRPr="00D03A40">
        <w:t xml:space="preserve">Tourist Accommodation </w:t>
      </w:r>
      <w:r w:rsidRPr="00AB3E4A">
        <w:t xml:space="preserve">Units </w:t>
      </w:r>
      <w:r w:rsidR="00C1264C" w:rsidRPr="00AB3E4A">
        <w:t>(TAU)</w:t>
      </w:r>
    </w:p>
    <w:p w14:paraId="1D6F272B" w14:textId="753DC8CA" w:rsidR="00601787" w:rsidRPr="00D03A40" w:rsidRDefault="00601787" w:rsidP="000D1F78">
      <w:r w:rsidRPr="00D03A40">
        <w:t xml:space="preserve">The forecast includes the construction of an additional 489 TAUs by 2035 and another 503 TAUs by 2050. The forecast includes the completed construction of all currently permitted projects using 854 banked TAUs and the use of 138 awarded TAU bonus units. Furthermore, the forecast includes the removal, banking, and conversion to residential of 300 existing units, including units at Lakeside Inn, that were considered as part of the baseline 2022 data but have been since removed, and Motel 6 that is expected to be removed in coming years. Not all TAUs allowed in the Regional Plan are forecast to be constructed by 2050; an estimated 326 TAUs will remain undeveloped through 2050 (204 TAU bonus units and 122 banked TAUs). The TAU development rights pool is not exhausted within the forecast horizon, because of the slow rate of TAU right utilization and construction over the past 30 years. No </w:t>
      </w:r>
      <w:r w:rsidRPr="00D03A40">
        <w:lastRenderedPageBreak/>
        <w:t>TAUs have been allocated to projects and constructed since adoption of the 2012 Regional Plan, and only 58 TAUs have been allocated since the adoption of the 1987 Regional Plan. TAUs were allocated to projects that are permitted but not yet constructed (Homewood, Boulder Bay, Edgewood Casitas, Tahoe City Lodge, and Chateau/Project 3)</w:t>
      </w:r>
      <w:r w:rsidR="002C12B8" w:rsidRPr="00D03A40">
        <w:t xml:space="preserve">. </w:t>
      </w:r>
      <w:r w:rsidRPr="00D03A40">
        <w:t>Bonus TAUs were assigned to permitted projects (Homewood, Boulder Bay, Tahoe City Lodge) and no additional allocations other than existing permits were included. </w:t>
      </w:r>
    </w:p>
    <w:p w14:paraId="072452DD" w14:textId="3367DD1C" w:rsidR="00D25ED8" w:rsidRPr="000D1F78" w:rsidRDefault="00601787" w:rsidP="000D1F78">
      <w:r w:rsidRPr="00D03A40">
        <w:t>The forecast also includes the conversion of 300 TAUs to residential units, consistent with recent conversion trends since the adoption of the conversion programs; observed trends indicate the net conversion from CFA and TAUs and towards Residential. </w:t>
      </w:r>
    </w:p>
    <w:p w14:paraId="23869A53" w14:textId="178B98B1" w:rsidR="00C601A9" w:rsidRPr="00D03A40" w:rsidRDefault="00B4274C" w:rsidP="000D1F78">
      <w:pPr>
        <w:pStyle w:val="Heading3"/>
        <w:rPr>
          <w:rFonts w:eastAsia="Times New Roman" w:cstheme="minorHAnsi"/>
          <w:b w:val="0"/>
          <w:bCs/>
          <w:color w:val="000000" w:themeColor="text1"/>
        </w:rPr>
      </w:pPr>
      <w:r w:rsidRPr="00D03A40">
        <w:rPr>
          <w:rFonts w:eastAsia="Times New Roman"/>
        </w:rPr>
        <w:t>Development Rights Forecast Summary</w:t>
      </w:r>
    </w:p>
    <w:p w14:paraId="3F440D9B" w14:textId="77777777" w:rsidR="00CD3119" w:rsidRPr="001815D6" w:rsidRDefault="00CD3119" w:rsidP="000D1F78">
      <w:pPr>
        <w:rPr>
          <w:highlight w:val="yellow"/>
        </w:rPr>
      </w:pPr>
      <w:r w:rsidRPr="001815D6">
        <w:rPr>
          <w:highlight w:val="yellow"/>
        </w:rPr>
        <w:t>Total development in the Tahoe Region is capped by the Regional Plan. The type and rate of that development is further controlled by a complex system governing development rights in the Region. Development rights are land use units someone must acquire before a property is developed. Development rights include tourist accommodation units (TAUs), single and multi-family residential units of use (RUUs), and commercial floor area (CFA). Residential units of use (RUUs) are formed by combining a potential residential unit of use (PRU) and a residential allocation. The forecast differentiates between when a development right is allocated from TRPA or another jurisdiction’s pool and the final use of that development right. Development rights can be utilized in one of two ways; they can be used to construct a project (e.g. a house) or converted to a different type of development right. The forecast is grounded in projections about the utilization, transfer, conversion, and construction of development rights. Tables 2-4 summarize the fate of development rights in the forecast period.</w:t>
      </w:r>
    </w:p>
    <w:p w14:paraId="30CAB878" w14:textId="77777777" w:rsidR="00CD3119" w:rsidRPr="001815D6" w:rsidRDefault="00CD3119" w:rsidP="00842940">
      <w:pPr>
        <w:pStyle w:val="ListParagraph"/>
        <w:numPr>
          <w:ilvl w:val="0"/>
          <w:numId w:val="13"/>
        </w:numPr>
        <w:rPr>
          <w:highlight w:val="yellow"/>
        </w:rPr>
      </w:pPr>
      <w:r w:rsidRPr="001815D6">
        <w:rPr>
          <w:highlight w:val="yellow"/>
        </w:rPr>
        <w:t xml:space="preserve">Table 2 summarizes new construction which influences land use in the future scenarios. Tables 3 and 4 provide background detail on the underlying accounting that enabled the development. </w:t>
      </w:r>
    </w:p>
    <w:p w14:paraId="6C13A02B" w14:textId="77777777" w:rsidR="00CD3119" w:rsidRPr="001815D6" w:rsidRDefault="00CD3119" w:rsidP="00842940">
      <w:pPr>
        <w:pStyle w:val="ListParagraph"/>
        <w:numPr>
          <w:ilvl w:val="0"/>
          <w:numId w:val="13"/>
        </w:numPr>
        <w:rPr>
          <w:highlight w:val="yellow"/>
        </w:rPr>
      </w:pPr>
      <w:r w:rsidRPr="001815D6">
        <w:rPr>
          <w:highlight w:val="yellow"/>
        </w:rPr>
        <w:t xml:space="preserve">Table 3 summarizes the expected utilization of development rights in their current type. </w:t>
      </w:r>
    </w:p>
    <w:p w14:paraId="47F483E3" w14:textId="77777777" w:rsidR="00CD3119" w:rsidRPr="001815D6" w:rsidRDefault="00CD3119" w:rsidP="00842940">
      <w:pPr>
        <w:pStyle w:val="ListParagraph"/>
        <w:numPr>
          <w:ilvl w:val="0"/>
          <w:numId w:val="13"/>
        </w:numPr>
        <w:rPr>
          <w:highlight w:val="yellow"/>
        </w:rPr>
      </w:pPr>
      <w:r w:rsidRPr="001815D6">
        <w:rPr>
          <w:highlight w:val="yellow"/>
        </w:rPr>
        <w:t xml:space="preserve">Table 4 summarizes the expected conversion of development rights between types. </w:t>
      </w:r>
    </w:p>
    <w:p w14:paraId="30CAC2C0" w14:textId="423667DF" w:rsidR="00CD3119" w:rsidRPr="001815D6" w:rsidRDefault="00CD3119" w:rsidP="00CD3119">
      <w:pPr>
        <w:rPr>
          <w:highlight w:val="yellow"/>
        </w:rPr>
      </w:pPr>
      <w:r w:rsidRPr="001815D6">
        <w:rPr>
          <w:highlight w:val="yellow"/>
        </w:rPr>
        <w:t>The forecast includes the net annual construction of 157 residential units, 5,763 square feet of commercial floor area and 25 tourist accommodation units (Table 2).</w:t>
      </w:r>
    </w:p>
    <w:p w14:paraId="6D9E10E5" w14:textId="619D8814" w:rsidR="00CD3119" w:rsidRPr="001815D6" w:rsidRDefault="00CD3119" w:rsidP="00CD3119">
      <w:pPr>
        <w:pStyle w:val="Caption"/>
        <w:keepNext/>
        <w:rPr>
          <w:rFonts w:cstheme="minorHAnsi"/>
          <w:b/>
          <w:bCs/>
          <w:i w:val="0"/>
          <w:iCs w:val="0"/>
          <w:color w:val="000000" w:themeColor="text1"/>
          <w:sz w:val="22"/>
          <w:szCs w:val="22"/>
          <w:highlight w:val="yellow"/>
        </w:rPr>
      </w:pPr>
      <w:r w:rsidRPr="001815D6">
        <w:rPr>
          <w:rFonts w:cstheme="minorHAnsi"/>
          <w:b/>
          <w:bCs/>
          <w:i w:val="0"/>
          <w:iCs w:val="0"/>
          <w:color w:val="000000" w:themeColor="text1"/>
          <w:sz w:val="22"/>
          <w:szCs w:val="22"/>
          <w:highlight w:val="yellow"/>
        </w:rPr>
        <w:t xml:space="preserve">Table </w:t>
      </w:r>
      <w:r w:rsidR="0013139F" w:rsidRPr="001815D6">
        <w:rPr>
          <w:rFonts w:cstheme="minorHAnsi"/>
          <w:b/>
          <w:bCs/>
          <w:i w:val="0"/>
          <w:iCs w:val="0"/>
          <w:color w:val="000000" w:themeColor="text1"/>
          <w:sz w:val="22"/>
          <w:szCs w:val="22"/>
          <w:highlight w:val="yellow"/>
        </w:rPr>
        <w:t>2</w:t>
      </w:r>
      <w:r w:rsidRPr="001815D6">
        <w:rPr>
          <w:rFonts w:cstheme="minorHAnsi"/>
          <w:b/>
          <w:bCs/>
          <w:i w:val="0"/>
          <w:iCs w:val="0"/>
          <w:color w:val="000000" w:themeColor="text1"/>
          <w:sz w:val="22"/>
          <w:szCs w:val="22"/>
          <w:highlight w:val="yellow"/>
        </w:rPr>
        <w:t>: Construction Forecast Summary</w:t>
      </w:r>
    </w:p>
    <w:tbl>
      <w:tblPr>
        <w:tblW w:w="9440" w:type="dxa"/>
        <w:tblLook w:val="04A0" w:firstRow="1" w:lastRow="0" w:firstColumn="1" w:lastColumn="0" w:noHBand="0" w:noVBand="1"/>
      </w:tblPr>
      <w:tblGrid>
        <w:gridCol w:w="5120"/>
        <w:gridCol w:w="1828"/>
        <w:gridCol w:w="1440"/>
        <w:gridCol w:w="1052"/>
      </w:tblGrid>
      <w:tr w:rsidR="00CD3119" w:rsidRPr="001815D6" w14:paraId="2A000A87" w14:textId="77777777" w:rsidTr="002A0360">
        <w:trPr>
          <w:trHeight w:val="300"/>
        </w:trPr>
        <w:tc>
          <w:tcPr>
            <w:tcW w:w="5120" w:type="dxa"/>
            <w:tcBorders>
              <w:top w:val="single" w:sz="8" w:space="0" w:color="auto"/>
              <w:left w:val="single" w:sz="8" w:space="0" w:color="auto"/>
              <w:bottom w:val="nil"/>
              <w:right w:val="nil"/>
            </w:tcBorders>
            <w:shd w:val="clear" w:color="auto" w:fill="222B35"/>
            <w:noWrap/>
            <w:vAlign w:val="center"/>
            <w:hideMark/>
          </w:tcPr>
          <w:p w14:paraId="63FB1687" w14:textId="77777777" w:rsidR="00CD3119" w:rsidRPr="001815D6" w:rsidRDefault="00CD3119" w:rsidP="00A33AD3">
            <w:pPr>
              <w:spacing w:after="0" w:line="240" w:lineRule="auto"/>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Development Right Construction </w:t>
            </w:r>
          </w:p>
        </w:tc>
        <w:tc>
          <w:tcPr>
            <w:tcW w:w="1890" w:type="dxa"/>
            <w:tcBorders>
              <w:top w:val="single" w:sz="8" w:space="0" w:color="auto"/>
              <w:left w:val="nil"/>
              <w:bottom w:val="nil"/>
              <w:right w:val="nil"/>
            </w:tcBorders>
            <w:shd w:val="clear" w:color="auto" w:fill="222B35"/>
            <w:vAlign w:val="center"/>
            <w:hideMark/>
          </w:tcPr>
          <w:p w14:paraId="329C2444"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Annual Construction Rate</w:t>
            </w:r>
          </w:p>
        </w:tc>
        <w:tc>
          <w:tcPr>
            <w:tcW w:w="1440" w:type="dxa"/>
            <w:tcBorders>
              <w:top w:val="single" w:sz="8" w:space="0" w:color="auto"/>
              <w:left w:val="nil"/>
              <w:bottom w:val="nil"/>
              <w:right w:val="nil"/>
            </w:tcBorders>
            <w:shd w:val="clear" w:color="auto" w:fill="222B35"/>
            <w:noWrap/>
            <w:vAlign w:val="center"/>
            <w:hideMark/>
          </w:tcPr>
          <w:p w14:paraId="2B281BC5"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2035 </w:t>
            </w:r>
          </w:p>
          <w:p w14:paraId="3CBE30F4"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Net Change</w:t>
            </w:r>
          </w:p>
        </w:tc>
        <w:tc>
          <w:tcPr>
            <w:tcW w:w="990" w:type="dxa"/>
            <w:tcBorders>
              <w:top w:val="single" w:sz="8" w:space="0" w:color="auto"/>
              <w:left w:val="nil"/>
              <w:bottom w:val="nil"/>
              <w:right w:val="single" w:sz="8" w:space="0" w:color="auto"/>
            </w:tcBorders>
            <w:shd w:val="clear" w:color="auto" w:fill="222B35"/>
            <w:noWrap/>
            <w:vAlign w:val="center"/>
            <w:hideMark/>
          </w:tcPr>
          <w:p w14:paraId="6768D90E"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2050 </w:t>
            </w:r>
          </w:p>
          <w:p w14:paraId="3C5BD4D0"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Net Change</w:t>
            </w:r>
          </w:p>
        </w:tc>
      </w:tr>
      <w:tr w:rsidR="00CD3119" w:rsidRPr="001815D6" w14:paraId="53C62E1B" w14:textId="77777777" w:rsidTr="002A0360">
        <w:trPr>
          <w:trHeight w:val="300"/>
        </w:trPr>
        <w:tc>
          <w:tcPr>
            <w:tcW w:w="9440" w:type="dxa"/>
            <w:gridSpan w:val="4"/>
            <w:tcBorders>
              <w:top w:val="nil"/>
              <w:left w:val="single" w:sz="8" w:space="0" w:color="auto"/>
              <w:bottom w:val="single" w:sz="4" w:space="0" w:color="auto"/>
              <w:right w:val="single" w:sz="8" w:space="0" w:color="000000" w:themeColor="text1"/>
            </w:tcBorders>
            <w:shd w:val="clear" w:color="auto" w:fill="A6A6A6" w:themeFill="background1" w:themeFillShade="A6"/>
            <w:noWrap/>
            <w:vAlign w:val="center"/>
            <w:hideMark/>
          </w:tcPr>
          <w:p w14:paraId="5EA0A426" w14:textId="77777777" w:rsidR="00CD3119" w:rsidRPr="001815D6" w:rsidRDefault="00CD3119" w:rsidP="00A33AD3">
            <w:pPr>
              <w:spacing w:after="0" w:line="240" w:lineRule="auto"/>
              <w:rPr>
                <w:rFonts w:eastAsia="Times New Roman" w:cstheme="minorHAnsi"/>
                <w:b/>
                <w:bCs/>
                <w:color w:val="0D0D0D"/>
                <w:sz w:val="24"/>
                <w:szCs w:val="24"/>
                <w:highlight w:val="yellow"/>
              </w:rPr>
            </w:pPr>
            <w:r w:rsidRPr="001815D6">
              <w:rPr>
                <w:rFonts w:eastAsia="Times New Roman"/>
                <w:b/>
                <w:color w:val="0D0D0D" w:themeColor="text1" w:themeTint="F2"/>
                <w:sz w:val="24"/>
                <w:szCs w:val="24"/>
                <w:highlight w:val="yellow"/>
              </w:rPr>
              <w:t>Residential Units</w:t>
            </w:r>
          </w:p>
        </w:tc>
      </w:tr>
      <w:tr w:rsidR="00CD3119" w:rsidRPr="001815D6" w14:paraId="43CFB17C" w14:textId="77777777" w:rsidTr="002A0360">
        <w:trPr>
          <w:trHeight w:val="300"/>
        </w:trPr>
        <w:tc>
          <w:tcPr>
            <w:tcW w:w="5120" w:type="dxa"/>
            <w:tcBorders>
              <w:top w:val="single" w:sz="4" w:space="0" w:color="auto"/>
              <w:left w:val="single" w:sz="4" w:space="0" w:color="auto"/>
              <w:bottom w:val="single" w:sz="4" w:space="0" w:color="auto"/>
              <w:right w:val="single" w:sz="4" w:space="0" w:color="auto"/>
            </w:tcBorders>
            <w:noWrap/>
            <w:vAlign w:val="center"/>
            <w:hideMark/>
          </w:tcPr>
          <w:p w14:paraId="74E395A7" w14:textId="77777777" w:rsidR="00CD3119" w:rsidRPr="001815D6" w:rsidRDefault="00CD3119" w:rsidP="00A33AD3">
            <w:pPr>
              <w:spacing w:after="0" w:line="240" w:lineRule="auto"/>
              <w:rPr>
                <w:rFonts w:eastAsia="Times New Roman" w:cstheme="minorHAnsi"/>
                <w:b/>
                <w:bCs/>
                <w:color w:val="000000"/>
                <w:highlight w:val="yellow"/>
              </w:rPr>
            </w:pPr>
            <w:r w:rsidRPr="001815D6">
              <w:rPr>
                <w:rFonts w:eastAsia="Times New Roman"/>
                <w:b/>
                <w:color w:val="000000" w:themeColor="text1"/>
                <w:highlight w:val="yellow"/>
              </w:rPr>
              <w:t xml:space="preserve">Total Development of Residential Units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9F10B52"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+157</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F4C391C"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+2,041</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7A37A55C"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+4,385</w:t>
            </w:r>
          </w:p>
        </w:tc>
      </w:tr>
      <w:tr w:rsidR="00CD3119" w:rsidRPr="001815D6" w14:paraId="408A9DB5" w14:textId="77777777" w:rsidTr="002A0360">
        <w:trPr>
          <w:trHeight w:val="300"/>
        </w:trPr>
        <w:tc>
          <w:tcPr>
            <w:tcW w:w="9440" w:type="dxa"/>
            <w:gridSpan w:val="4"/>
            <w:tcBorders>
              <w:top w:val="single" w:sz="4" w:space="0" w:color="auto"/>
              <w:left w:val="single" w:sz="8" w:space="0" w:color="auto"/>
              <w:bottom w:val="single" w:sz="4" w:space="0" w:color="auto"/>
              <w:right w:val="single" w:sz="8" w:space="0" w:color="000000" w:themeColor="text1"/>
            </w:tcBorders>
            <w:shd w:val="clear" w:color="auto" w:fill="A6A6A6" w:themeFill="background1" w:themeFillShade="A6"/>
            <w:noWrap/>
            <w:vAlign w:val="center"/>
            <w:hideMark/>
          </w:tcPr>
          <w:p w14:paraId="11D8ADA7" w14:textId="77777777" w:rsidR="00CD3119" w:rsidRPr="001815D6" w:rsidRDefault="00CD3119" w:rsidP="00A33AD3">
            <w:pPr>
              <w:spacing w:after="0" w:line="240" w:lineRule="auto"/>
              <w:rPr>
                <w:rFonts w:eastAsia="Times New Roman" w:cstheme="minorHAnsi"/>
                <w:b/>
                <w:bCs/>
                <w:color w:val="0D0D0D"/>
                <w:sz w:val="24"/>
                <w:szCs w:val="24"/>
                <w:highlight w:val="yellow"/>
              </w:rPr>
            </w:pPr>
            <w:r w:rsidRPr="001815D6">
              <w:rPr>
                <w:rFonts w:eastAsia="Times New Roman"/>
                <w:b/>
                <w:color w:val="0D0D0D" w:themeColor="text1" w:themeTint="F2"/>
                <w:sz w:val="24"/>
                <w:szCs w:val="24"/>
                <w:highlight w:val="yellow"/>
              </w:rPr>
              <w:t>Commercial Floor Area (in Square Feet)</w:t>
            </w:r>
          </w:p>
        </w:tc>
      </w:tr>
      <w:tr w:rsidR="00CD3119" w:rsidRPr="001815D6" w14:paraId="2A2E3411" w14:textId="77777777" w:rsidTr="002A0360">
        <w:trPr>
          <w:trHeight w:val="300"/>
        </w:trPr>
        <w:tc>
          <w:tcPr>
            <w:tcW w:w="5120" w:type="dxa"/>
            <w:tcBorders>
              <w:top w:val="single" w:sz="4" w:space="0" w:color="auto"/>
              <w:left w:val="single" w:sz="4" w:space="0" w:color="auto"/>
              <w:bottom w:val="single" w:sz="4" w:space="0" w:color="auto"/>
              <w:right w:val="single" w:sz="4" w:space="0" w:color="auto"/>
            </w:tcBorders>
            <w:noWrap/>
            <w:vAlign w:val="center"/>
            <w:hideMark/>
          </w:tcPr>
          <w:p w14:paraId="20D111E1" w14:textId="77777777" w:rsidR="00CD3119" w:rsidRPr="001815D6" w:rsidRDefault="00CD3119" w:rsidP="00A33AD3">
            <w:pPr>
              <w:spacing w:after="0" w:line="240" w:lineRule="auto"/>
              <w:rPr>
                <w:rFonts w:eastAsia="Times New Roman" w:cstheme="minorHAnsi"/>
                <w:b/>
                <w:bCs/>
                <w:color w:val="000000"/>
                <w:highlight w:val="yellow"/>
              </w:rPr>
            </w:pPr>
            <w:r w:rsidRPr="001815D6">
              <w:rPr>
                <w:rFonts w:eastAsia="Times New Roman"/>
                <w:b/>
                <w:color w:val="000000" w:themeColor="text1"/>
                <w:highlight w:val="yellow"/>
              </w:rPr>
              <w:t xml:space="preserve">Total Utilization of CFA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FA7B883"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+5,763</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305E2FEA"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+85,765</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2860F1EF"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+161,373</w:t>
            </w:r>
          </w:p>
        </w:tc>
      </w:tr>
      <w:tr w:rsidR="00CD3119" w:rsidRPr="001815D6" w14:paraId="3FD8E899" w14:textId="77777777" w:rsidTr="002A0360">
        <w:trPr>
          <w:trHeight w:val="300"/>
        </w:trPr>
        <w:tc>
          <w:tcPr>
            <w:tcW w:w="9440" w:type="dxa"/>
            <w:gridSpan w:val="4"/>
            <w:tcBorders>
              <w:top w:val="single" w:sz="4" w:space="0" w:color="auto"/>
              <w:left w:val="single" w:sz="8" w:space="0" w:color="auto"/>
              <w:bottom w:val="single" w:sz="4" w:space="0" w:color="auto"/>
              <w:right w:val="single" w:sz="8" w:space="0" w:color="000000" w:themeColor="text1"/>
            </w:tcBorders>
            <w:shd w:val="clear" w:color="auto" w:fill="A6A6A6" w:themeFill="background1" w:themeFillShade="A6"/>
            <w:noWrap/>
            <w:vAlign w:val="center"/>
            <w:hideMark/>
          </w:tcPr>
          <w:p w14:paraId="49904CA3" w14:textId="77777777" w:rsidR="00CD3119" w:rsidRPr="001815D6" w:rsidRDefault="00CD3119" w:rsidP="00A33AD3">
            <w:pPr>
              <w:spacing w:after="0" w:line="240" w:lineRule="auto"/>
              <w:rPr>
                <w:rFonts w:eastAsia="Times New Roman" w:cstheme="minorHAnsi"/>
                <w:b/>
                <w:bCs/>
                <w:color w:val="000000"/>
                <w:sz w:val="24"/>
                <w:szCs w:val="24"/>
                <w:highlight w:val="yellow"/>
              </w:rPr>
            </w:pPr>
            <w:r w:rsidRPr="001815D6">
              <w:rPr>
                <w:rFonts w:eastAsia="Times New Roman"/>
                <w:b/>
                <w:color w:val="000000" w:themeColor="text1"/>
                <w:sz w:val="24"/>
                <w:szCs w:val="24"/>
                <w:highlight w:val="yellow"/>
              </w:rPr>
              <w:t>Tourist Accommodation Units</w:t>
            </w:r>
          </w:p>
        </w:tc>
      </w:tr>
      <w:tr w:rsidR="00CD3119" w:rsidRPr="001815D6" w14:paraId="7D3E31EE" w14:textId="77777777" w:rsidTr="002A0360">
        <w:trPr>
          <w:trHeight w:val="300"/>
        </w:trPr>
        <w:tc>
          <w:tcPr>
            <w:tcW w:w="5120" w:type="dxa"/>
            <w:tcBorders>
              <w:top w:val="single" w:sz="4" w:space="0" w:color="auto"/>
              <w:left w:val="single" w:sz="4" w:space="0" w:color="auto"/>
              <w:bottom w:val="single" w:sz="4" w:space="0" w:color="auto"/>
              <w:right w:val="single" w:sz="4" w:space="0" w:color="auto"/>
            </w:tcBorders>
            <w:noWrap/>
            <w:vAlign w:val="center"/>
            <w:hideMark/>
          </w:tcPr>
          <w:p w14:paraId="7F60182F" w14:textId="77777777" w:rsidR="00CD3119" w:rsidRPr="001815D6" w:rsidRDefault="00CD3119" w:rsidP="00A33AD3">
            <w:pPr>
              <w:spacing w:after="0" w:line="240" w:lineRule="auto"/>
              <w:rPr>
                <w:rFonts w:eastAsia="Times New Roman" w:cstheme="minorHAnsi"/>
                <w:b/>
                <w:bCs/>
                <w:color w:val="000000"/>
                <w:highlight w:val="yellow"/>
              </w:rPr>
            </w:pPr>
            <w:r w:rsidRPr="001815D6">
              <w:rPr>
                <w:rFonts w:eastAsia="Times New Roman"/>
                <w:b/>
                <w:color w:val="000000" w:themeColor="text1"/>
                <w:highlight w:val="yellow"/>
              </w:rPr>
              <w:t>Total Development of TAUs</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48CC4C7"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+25</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4765C9F4"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+325</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2701704E"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+692</w:t>
            </w:r>
          </w:p>
        </w:tc>
      </w:tr>
    </w:tbl>
    <w:p w14:paraId="560E703F" w14:textId="77777777" w:rsidR="00CD3119" w:rsidRPr="001815D6" w:rsidRDefault="00CD3119" w:rsidP="00CD3119">
      <w:pPr>
        <w:spacing w:after="0" w:line="360" w:lineRule="auto"/>
        <w:rPr>
          <w:rFonts w:eastAsia="Times New Roman" w:cstheme="minorHAnsi"/>
          <w:b/>
          <w:bCs/>
          <w:sz w:val="24"/>
          <w:szCs w:val="24"/>
          <w:highlight w:val="yellow"/>
        </w:rPr>
      </w:pPr>
    </w:p>
    <w:p w14:paraId="0A24102E" w14:textId="301E205E" w:rsidR="00CD3119" w:rsidRPr="001815D6" w:rsidRDefault="00CD3119" w:rsidP="000D1F78">
      <w:pPr>
        <w:rPr>
          <w:highlight w:val="yellow"/>
        </w:rPr>
      </w:pPr>
      <w:r w:rsidRPr="001815D6">
        <w:rPr>
          <w:highlight w:val="yellow"/>
        </w:rPr>
        <w:lastRenderedPageBreak/>
        <w:t>The forecast includes the utilization of allocation pools held by TRPA and local jurisdictions in the area plan, community plan, or plan area statement pools, as well as the use of bonus and incentive pools, special projects pools, and banked development rights (Table 3).</w:t>
      </w:r>
    </w:p>
    <w:p w14:paraId="248D5DDA" w14:textId="77777777" w:rsidR="00CD3119" w:rsidRPr="001815D6" w:rsidRDefault="00CD3119" w:rsidP="00CD3119">
      <w:pPr>
        <w:spacing w:after="0" w:line="360" w:lineRule="auto"/>
        <w:rPr>
          <w:rFonts w:eastAsia="Times New Roman" w:cstheme="minorHAnsi"/>
          <w:b/>
          <w:bCs/>
          <w:highlight w:val="yellow"/>
        </w:rPr>
      </w:pPr>
      <w:r w:rsidRPr="001815D6">
        <w:rPr>
          <w:rFonts w:eastAsia="Times New Roman" w:cstheme="minorHAnsi"/>
          <w:b/>
          <w:bCs/>
          <w:highlight w:val="yellow"/>
        </w:rPr>
        <w:t xml:space="preserve">Table 3: Development Rights Utilization Forecast Summary </w:t>
      </w:r>
    </w:p>
    <w:tbl>
      <w:tblPr>
        <w:tblW w:w="9440" w:type="dxa"/>
        <w:tblLook w:val="04A0" w:firstRow="1" w:lastRow="0" w:firstColumn="1" w:lastColumn="0" w:noHBand="0" w:noVBand="1"/>
      </w:tblPr>
      <w:tblGrid>
        <w:gridCol w:w="4670"/>
        <w:gridCol w:w="1710"/>
        <w:gridCol w:w="1620"/>
        <w:gridCol w:w="1440"/>
      </w:tblGrid>
      <w:tr w:rsidR="00CA1825" w:rsidRPr="001815D6" w14:paraId="451A5D67" w14:textId="77777777" w:rsidTr="002A0360">
        <w:trPr>
          <w:trHeight w:val="300"/>
        </w:trPr>
        <w:tc>
          <w:tcPr>
            <w:tcW w:w="4670" w:type="dxa"/>
            <w:tcBorders>
              <w:top w:val="single" w:sz="8" w:space="0" w:color="auto"/>
              <w:left w:val="single" w:sz="8" w:space="0" w:color="auto"/>
              <w:bottom w:val="nil"/>
              <w:right w:val="nil"/>
            </w:tcBorders>
            <w:shd w:val="clear" w:color="auto" w:fill="222B35"/>
            <w:noWrap/>
            <w:vAlign w:val="center"/>
            <w:hideMark/>
          </w:tcPr>
          <w:p w14:paraId="5E5633F3" w14:textId="77777777" w:rsidR="00CD3119" w:rsidRPr="001815D6" w:rsidRDefault="00CD3119" w:rsidP="00A33AD3">
            <w:pPr>
              <w:spacing w:after="0" w:line="240" w:lineRule="auto"/>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Development Right Utilization</w:t>
            </w:r>
          </w:p>
        </w:tc>
        <w:tc>
          <w:tcPr>
            <w:tcW w:w="1710" w:type="dxa"/>
            <w:tcBorders>
              <w:top w:val="single" w:sz="8" w:space="0" w:color="auto"/>
              <w:left w:val="nil"/>
              <w:bottom w:val="nil"/>
              <w:right w:val="nil"/>
            </w:tcBorders>
            <w:shd w:val="clear" w:color="auto" w:fill="222B35"/>
            <w:vAlign w:val="center"/>
            <w:hideMark/>
          </w:tcPr>
          <w:p w14:paraId="2C13D1F9"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Annual Utilization Rate</w:t>
            </w:r>
          </w:p>
        </w:tc>
        <w:tc>
          <w:tcPr>
            <w:tcW w:w="1620" w:type="dxa"/>
            <w:tcBorders>
              <w:top w:val="single" w:sz="8" w:space="0" w:color="auto"/>
              <w:left w:val="nil"/>
              <w:bottom w:val="nil"/>
              <w:right w:val="nil"/>
            </w:tcBorders>
            <w:shd w:val="clear" w:color="auto" w:fill="222B35"/>
            <w:noWrap/>
            <w:vAlign w:val="center"/>
            <w:hideMark/>
          </w:tcPr>
          <w:p w14:paraId="0F6B13C7"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2035 </w:t>
            </w:r>
          </w:p>
          <w:p w14:paraId="19E2765D"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Net Change</w:t>
            </w:r>
          </w:p>
        </w:tc>
        <w:tc>
          <w:tcPr>
            <w:tcW w:w="1440" w:type="dxa"/>
            <w:tcBorders>
              <w:top w:val="single" w:sz="8" w:space="0" w:color="auto"/>
              <w:left w:val="nil"/>
              <w:bottom w:val="nil"/>
              <w:right w:val="single" w:sz="8" w:space="0" w:color="auto"/>
            </w:tcBorders>
            <w:shd w:val="clear" w:color="auto" w:fill="222B35"/>
            <w:noWrap/>
            <w:vAlign w:val="center"/>
            <w:hideMark/>
          </w:tcPr>
          <w:p w14:paraId="1FE382B0"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2050 </w:t>
            </w:r>
          </w:p>
          <w:p w14:paraId="7619568D"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Net Change</w:t>
            </w:r>
          </w:p>
        </w:tc>
      </w:tr>
      <w:tr w:rsidR="00CD3119" w:rsidRPr="001815D6" w14:paraId="41E2C768" w14:textId="77777777" w:rsidTr="002A0360">
        <w:trPr>
          <w:trHeight w:val="300"/>
        </w:trPr>
        <w:tc>
          <w:tcPr>
            <w:tcW w:w="9440" w:type="dxa"/>
            <w:gridSpan w:val="4"/>
            <w:tcBorders>
              <w:top w:val="nil"/>
              <w:left w:val="single" w:sz="8" w:space="0" w:color="auto"/>
              <w:bottom w:val="nil"/>
              <w:right w:val="single" w:sz="8" w:space="0" w:color="000000" w:themeColor="text1"/>
            </w:tcBorders>
            <w:shd w:val="clear" w:color="auto" w:fill="A6A6A6" w:themeFill="background1" w:themeFillShade="A6"/>
            <w:noWrap/>
            <w:vAlign w:val="center"/>
            <w:hideMark/>
          </w:tcPr>
          <w:p w14:paraId="1F7E0DC3" w14:textId="77777777" w:rsidR="00CD3119" w:rsidRPr="001815D6" w:rsidRDefault="00CD3119" w:rsidP="00A33AD3">
            <w:pPr>
              <w:spacing w:after="0" w:line="240" w:lineRule="auto"/>
              <w:rPr>
                <w:rFonts w:eastAsia="Times New Roman" w:cstheme="minorHAnsi"/>
                <w:b/>
                <w:bCs/>
                <w:color w:val="0D0D0D"/>
                <w:sz w:val="24"/>
                <w:szCs w:val="24"/>
                <w:highlight w:val="yellow"/>
              </w:rPr>
            </w:pPr>
            <w:r w:rsidRPr="001815D6">
              <w:rPr>
                <w:rFonts w:eastAsia="Times New Roman"/>
                <w:b/>
                <w:color w:val="0D0D0D" w:themeColor="text1" w:themeTint="F2"/>
                <w:sz w:val="24"/>
                <w:szCs w:val="24"/>
                <w:highlight w:val="yellow"/>
              </w:rPr>
              <w:t>Residential Units</w:t>
            </w:r>
          </w:p>
        </w:tc>
      </w:tr>
      <w:tr w:rsidR="00CA1825" w:rsidRPr="001815D6" w14:paraId="6965676C" w14:textId="77777777" w:rsidTr="002A0360">
        <w:trPr>
          <w:trHeight w:val="300"/>
        </w:trPr>
        <w:tc>
          <w:tcPr>
            <w:tcW w:w="4670" w:type="dxa"/>
            <w:tcBorders>
              <w:top w:val="single" w:sz="4" w:space="0" w:color="auto"/>
              <w:left w:val="single" w:sz="8" w:space="0" w:color="auto"/>
              <w:bottom w:val="single" w:sz="4" w:space="0" w:color="auto"/>
              <w:right w:val="single" w:sz="4" w:space="0" w:color="auto"/>
            </w:tcBorders>
            <w:noWrap/>
            <w:vAlign w:val="center"/>
            <w:hideMark/>
          </w:tcPr>
          <w:p w14:paraId="3408CB41"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Residential Allocations</w:t>
            </w:r>
          </w:p>
        </w:tc>
        <w:tc>
          <w:tcPr>
            <w:tcW w:w="1710" w:type="dxa"/>
            <w:tcBorders>
              <w:top w:val="single" w:sz="4" w:space="0" w:color="auto"/>
              <w:left w:val="nil"/>
              <w:bottom w:val="single" w:sz="4" w:space="0" w:color="auto"/>
              <w:right w:val="single" w:sz="4" w:space="0" w:color="auto"/>
            </w:tcBorders>
            <w:vAlign w:val="center"/>
            <w:hideMark/>
          </w:tcPr>
          <w:p w14:paraId="506A5AB9"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+68</w:t>
            </w:r>
          </w:p>
        </w:tc>
        <w:tc>
          <w:tcPr>
            <w:tcW w:w="1620" w:type="dxa"/>
            <w:tcBorders>
              <w:top w:val="single" w:sz="4" w:space="0" w:color="auto"/>
              <w:left w:val="nil"/>
              <w:bottom w:val="single" w:sz="4" w:space="0" w:color="auto"/>
              <w:right w:val="single" w:sz="4" w:space="0" w:color="auto"/>
            </w:tcBorders>
            <w:noWrap/>
            <w:vAlign w:val="center"/>
            <w:hideMark/>
          </w:tcPr>
          <w:p w14:paraId="1B274A72" w14:textId="77777777" w:rsidR="00CD3119" w:rsidRPr="001815D6" w:rsidRDefault="00CD3119" w:rsidP="00A33AD3">
            <w:pPr>
              <w:spacing w:after="0" w:line="240" w:lineRule="auto"/>
              <w:jc w:val="center"/>
              <w:rPr>
                <w:rFonts w:eastAsia="Calibri" w:cstheme="minorHAnsi"/>
                <w:highlight w:val="yellow"/>
              </w:rPr>
            </w:pPr>
            <w:r w:rsidRPr="001815D6">
              <w:rPr>
                <w:rFonts w:eastAsia="Times New Roman"/>
                <w:color w:val="000000" w:themeColor="text1"/>
                <w:highlight w:val="yellow"/>
              </w:rPr>
              <w:t>+884</w:t>
            </w:r>
          </w:p>
        </w:tc>
        <w:tc>
          <w:tcPr>
            <w:tcW w:w="1440" w:type="dxa"/>
            <w:tcBorders>
              <w:top w:val="single" w:sz="4" w:space="0" w:color="auto"/>
              <w:left w:val="nil"/>
              <w:bottom w:val="single" w:sz="4" w:space="0" w:color="auto"/>
              <w:right w:val="single" w:sz="8" w:space="0" w:color="auto"/>
            </w:tcBorders>
            <w:noWrap/>
            <w:vAlign w:val="center"/>
            <w:hideMark/>
          </w:tcPr>
          <w:p w14:paraId="4D5FA5B8"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+1,892</w:t>
            </w:r>
          </w:p>
        </w:tc>
      </w:tr>
      <w:tr w:rsidR="00CA1825" w:rsidRPr="001815D6" w14:paraId="2F2697BF" w14:textId="77777777" w:rsidTr="002A0360">
        <w:trPr>
          <w:trHeight w:val="300"/>
        </w:trPr>
        <w:tc>
          <w:tcPr>
            <w:tcW w:w="4670" w:type="dxa"/>
            <w:tcBorders>
              <w:top w:val="nil"/>
              <w:left w:val="single" w:sz="8" w:space="0" w:color="auto"/>
              <w:bottom w:val="single" w:sz="4" w:space="0" w:color="auto"/>
              <w:right w:val="single" w:sz="4" w:space="0" w:color="auto"/>
            </w:tcBorders>
            <w:noWrap/>
            <w:vAlign w:val="center"/>
            <w:hideMark/>
          </w:tcPr>
          <w:p w14:paraId="723D836E"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Residential Bonus Units</w:t>
            </w:r>
          </w:p>
        </w:tc>
        <w:tc>
          <w:tcPr>
            <w:tcW w:w="1710" w:type="dxa"/>
            <w:tcBorders>
              <w:top w:val="nil"/>
              <w:left w:val="nil"/>
              <w:bottom w:val="single" w:sz="4" w:space="0" w:color="auto"/>
              <w:right w:val="single" w:sz="4" w:space="0" w:color="auto"/>
            </w:tcBorders>
            <w:vAlign w:val="center"/>
            <w:hideMark/>
          </w:tcPr>
          <w:p w14:paraId="3CE81410"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+52</w:t>
            </w:r>
          </w:p>
        </w:tc>
        <w:tc>
          <w:tcPr>
            <w:tcW w:w="1620" w:type="dxa"/>
            <w:tcBorders>
              <w:top w:val="nil"/>
              <w:left w:val="nil"/>
              <w:bottom w:val="single" w:sz="4" w:space="0" w:color="auto"/>
              <w:right w:val="single" w:sz="4" w:space="0" w:color="auto"/>
            </w:tcBorders>
            <w:noWrap/>
            <w:vAlign w:val="center"/>
            <w:hideMark/>
          </w:tcPr>
          <w:p w14:paraId="2E568274"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+676</w:t>
            </w:r>
          </w:p>
        </w:tc>
        <w:tc>
          <w:tcPr>
            <w:tcW w:w="1440" w:type="dxa"/>
            <w:tcBorders>
              <w:top w:val="nil"/>
              <w:left w:val="nil"/>
              <w:bottom w:val="single" w:sz="4" w:space="0" w:color="auto"/>
              <w:right w:val="single" w:sz="8" w:space="0" w:color="auto"/>
            </w:tcBorders>
            <w:noWrap/>
            <w:vAlign w:val="center"/>
            <w:hideMark/>
          </w:tcPr>
          <w:p w14:paraId="47D77169"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+1,448</w:t>
            </w:r>
          </w:p>
        </w:tc>
      </w:tr>
      <w:tr w:rsidR="00CA1825" w:rsidRPr="001815D6" w14:paraId="29751E3A" w14:textId="77777777" w:rsidTr="002A0360">
        <w:trPr>
          <w:trHeight w:val="300"/>
        </w:trPr>
        <w:tc>
          <w:tcPr>
            <w:tcW w:w="4670" w:type="dxa"/>
            <w:tcBorders>
              <w:top w:val="nil"/>
              <w:left w:val="single" w:sz="8" w:space="0" w:color="auto"/>
              <w:bottom w:val="single" w:sz="4" w:space="0" w:color="auto"/>
              <w:right w:val="single" w:sz="4" w:space="0" w:color="auto"/>
            </w:tcBorders>
            <w:noWrap/>
            <w:vAlign w:val="center"/>
            <w:hideMark/>
          </w:tcPr>
          <w:p w14:paraId="7698429D"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Banked Residential Development</w:t>
            </w:r>
          </w:p>
        </w:tc>
        <w:tc>
          <w:tcPr>
            <w:tcW w:w="1710" w:type="dxa"/>
            <w:tcBorders>
              <w:top w:val="nil"/>
              <w:left w:val="nil"/>
              <w:bottom w:val="single" w:sz="4" w:space="0" w:color="auto"/>
              <w:right w:val="single" w:sz="4" w:space="0" w:color="auto"/>
            </w:tcBorders>
            <w:vAlign w:val="center"/>
            <w:hideMark/>
          </w:tcPr>
          <w:p w14:paraId="4A408522"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+12</w:t>
            </w:r>
          </w:p>
        </w:tc>
        <w:tc>
          <w:tcPr>
            <w:tcW w:w="1620" w:type="dxa"/>
            <w:tcBorders>
              <w:top w:val="nil"/>
              <w:left w:val="nil"/>
              <w:bottom w:val="single" w:sz="4" w:space="0" w:color="auto"/>
              <w:right w:val="single" w:sz="4" w:space="0" w:color="auto"/>
            </w:tcBorders>
            <w:noWrap/>
            <w:vAlign w:val="center"/>
            <w:hideMark/>
          </w:tcPr>
          <w:p w14:paraId="28404C2F"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+156</w:t>
            </w:r>
          </w:p>
        </w:tc>
        <w:tc>
          <w:tcPr>
            <w:tcW w:w="1440" w:type="dxa"/>
            <w:tcBorders>
              <w:top w:val="nil"/>
              <w:left w:val="nil"/>
              <w:bottom w:val="single" w:sz="4" w:space="0" w:color="auto"/>
              <w:right w:val="single" w:sz="8" w:space="0" w:color="auto"/>
            </w:tcBorders>
            <w:noWrap/>
            <w:vAlign w:val="center"/>
            <w:hideMark/>
          </w:tcPr>
          <w:p w14:paraId="45B770F4"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+345</w:t>
            </w:r>
          </w:p>
        </w:tc>
      </w:tr>
      <w:tr w:rsidR="00CA1825" w:rsidRPr="001815D6" w14:paraId="1CCADE33" w14:textId="77777777" w:rsidTr="002A0360">
        <w:trPr>
          <w:trHeight w:val="300"/>
        </w:trPr>
        <w:tc>
          <w:tcPr>
            <w:tcW w:w="4670" w:type="dxa"/>
            <w:tcBorders>
              <w:top w:val="nil"/>
              <w:left w:val="single" w:sz="8" w:space="0" w:color="auto"/>
              <w:bottom w:val="nil"/>
              <w:right w:val="nil"/>
            </w:tcBorders>
            <w:noWrap/>
            <w:vAlign w:val="center"/>
            <w:hideMark/>
          </w:tcPr>
          <w:p w14:paraId="0D156BE4" w14:textId="77777777" w:rsidR="00CD3119" w:rsidRPr="001815D6" w:rsidRDefault="00CD3119" w:rsidP="00A33AD3">
            <w:pPr>
              <w:spacing w:after="0" w:line="240" w:lineRule="auto"/>
              <w:rPr>
                <w:rFonts w:eastAsia="Times New Roman" w:cstheme="minorHAnsi"/>
                <w:b/>
                <w:bCs/>
                <w:color w:val="000000"/>
                <w:highlight w:val="yellow"/>
              </w:rPr>
            </w:pPr>
            <w:r w:rsidRPr="001815D6">
              <w:rPr>
                <w:rFonts w:eastAsia="Times New Roman"/>
                <w:b/>
                <w:color w:val="000000" w:themeColor="text1"/>
                <w:highlight w:val="yellow"/>
              </w:rPr>
              <w:t>Total Development of Residential Units</w:t>
            </w:r>
          </w:p>
        </w:tc>
        <w:tc>
          <w:tcPr>
            <w:tcW w:w="1710" w:type="dxa"/>
            <w:tcBorders>
              <w:top w:val="nil"/>
              <w:left w:val="nil"/>
              <w:bottom w:val="nil"/>
              <w:right w:val="nil"/>
            </w:tcBorders>
            <w:vAlign w:val="center"/>
            <w:hideMark/>
          </w:tcPr>
          <w:p w14:paraId="09D8D4FC"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+132</w:t>
            </w:r>
          </w:p>
        </w:tc>
        <w:tc>
          <w:tcPr>
            <w:tcW w:w="1620" w:type="dxa"/>
            <w:tcBorders>
              <w:top w:val="nil"/>
              <w:left w:val="nil"/>
              <w:bottom w:val="nil"/>
              <w:right w:val="nil"/>
            </w:tcBorders>
            <w:noWrap/>
            <w:vAlign w:val="center"/>
            <w:hideMark/>
          </w:tcPr>
          <w:p w14:paraId="5E6F8224"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+1,716</w:t>
            </w:r>
          </w:p>
        </w:tc>
        <w:tc>
          <w:tcPr>
            <w:tcW w:w="1440" w:type="dxa"/>
            <w:tcBorders>
              <w:top w:val="nil"/>
              <w:left w:val="nil"/>
              <w:bottom w:val="nil"/>
              <w:right w:val="single" w:sz="8" w:space="0" w:color="auto"/>
            </w:tcBorders>
            <w:noWrap/>
            <w:vAlign w:val="center"/>
            <w:hideMark/>
          </w:tcPr>
          <w:p w14:paraId="76E07A90"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+3,685</w:t>
            </w:r>
          </w:p>
        </w:tc>
      </w:tr>
      <w:tr w:rsidR="00CD3119" w:rsidRPr="001815D6" w14:paraId="7D4714A6" w14:textId="77777777" w:rsidTr="002A0360">
        <w:trPr>
          <w:trHeight w:val="300"/>
        </w:trPr>
        <w:tc>
          <w:tcPr>
            <w:tcW w:w="9440" w:type="dxa"/>
            <w:gridSpan w:val="4"/>
            <w:tcBorders>
              <w:top w:val="nil"/>
              <w:left w:val="single" w:sz="8" w:space="0" w:color="auto"/>
              <w:bottom w:val="nil"/>
              <w:right w:val="single" w:sz="8" w:space="0" w:color="000000" w:themeColor="text1"/>
            </w:tcBorders>
            <w:shd w:val="clear" w:color="auto" w:fill="A6A6A6" w:themeFill="background1" w:themeFillShade="A6"/>
            <w:noWrap/>
            <w:vAlign w:val="center"/>
            <w:hideMark/>
          </w:tcPr>
          <w:p w14:paraId="2DBB15FB" w14:textId="77777777" w:rsidR="00CD3119" w:rsidRPr="001815D6" w:rsidRDefault="00CD3119" w:rsidP="00A33AD3">
            <w:pPr>
              <w:spacing w:after="0" w:line="240" w:lineRule="auto"/>
              <w:rPr>
                <w:rFonts w:eastAsia="Times New Roman" w:cstheme="minorHAnsi"/>
                <w:b/>
                <w:bCs/>
                <w:color w:val="0D0D0D"/>
                <w:sz w:val="24"/>
                <w:szCs w:val="24"/>
                <w:highlight w:val="yellow"/>
              </w:rPr>
            </w:pPr>
            <w:r w:rsidRPr="001815D6">
              <w:rPr>
                <w:rFonts w:eastAsia="Times New Roman"/>
                <w:b/>
                <w:color w:val="0D0D0D" w:themeColor="text1" w:themeTint="F2"/>
                <w:sz w:val="24"/>
                <w:szCs w:val="24"/>
                <w:highlight w:val="yellow"/>
              </w:rPr>
              <w:t>Commercial Floor Area (in Square Feet)</w:t>
            </w:r>
          </w:p>
        </w:tc>
      </w:tr>
      <w:tr w:rsidR="00CA1825" w:rsidRPr="001815D6" w14:paraId="313827F9" w14:textId="77777777" w:rsidTr="002A0360">
        <w:trPr>
          <w:trHeight w:val="300"/>
        </w:trPr>
        <w:tc>
          <w:tcPr>
            <w:tcW w:w="4670" w:type="dxa"/>
            <w:tcBorders>
              <w:top w:val="single" w:sz="4" w:space="0" w:color="auto"/>
              <w:left w:val="single" w:sz="8" w:space="0" w:color="auto"/>
              <w:bottom w:val="single" w:sz="4" w:space="0" w:color="auto"/>
              <w:right w:val="single" w:sz="4" w:space="0" w:color="auto"/>
            </w:tcBorders>
            <w:noWrap/>
            <w:vAlign w:val="center"/>
            <w:hideMark/>
          </w:tcPr>
          <w:p w14:paraId="2AF015AC"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 xml:space="preserve">Commercial Floor Area Allocations </w:t>
            </w:r>
          </w:p>
        </w:tc>
        <w:tc>
          <w:tcPr>
            <w:tcW w:w="1710" w:type="dxa"/>
            <w:tcBorders>
              <w:top w:val="single" w:sz="4" w:space="0" w:color="auto"/>
              <w:left w:val="nil"/>
              <w:bottom w:val="single" w:sz="4" w:space="0" w:color="auto"/>
              <w:right w:val="single" w:sz="4" w:space="0" w:color="auto"/>
            </w:tcBorders>
            <w:vAlign w:val="center"/>
            <w:hideMark/>
          </w:tcPr>
          <w:p w14:paraId="577C3A94"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+6,052</w:t>
            </w:r>
          </w:p>
        </w:tc>
        <w:tc>
          <w:tcPr>
            <w:tcW w:w="1620" w:type="dxa"/>
            <w:tcBorders>
              <w:top w:val="single" w:sz="4" w:space="0" w:color="auto"/>
              <w:left w:val="nil"/>
              <w:bottom w:val="single" w:sz="4" w:space="0" w:color="auto"/>
              <w:right w:val="single" w:sz="4" w:space="0" w:color="auto"/>
            </w:tcBorders>
            <w:noWrap/>
            <w:vAlign w:val="center"/>
            <w:hideMark/>
          </w:tcPr>
          <w:p w14:paraId="53E02A76"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+78,676</w:t>
            </w:r>
          </w:p>
        </w:tc>
        <w:tc>
          <w:tcPr>
            <w:tcW w:w="1440" w:type="dxa"/>
            <w:tcBorders>
              <w:top w:val="single" w:sz="4" w:space="0" w:color="auto"/>
              <w:left w:val="nil"/>
              <w:bottom w:val="single" w:sz="4" w:space="0" w:color="auto"/>
              <w:right w:val="single" w:sz="8" w:space="0" w:color="auto"/>
            </w:tcBorders>
            <w:noWrap/>
            <w:vAlign w:val="center"/>
            <w:hideMark/>
          </w:tcPr>
          <w:p w14:paraId="59C9E3E2"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+169,452</w:t>
            </w:r>
          </w:p>
        </w:tc>
      </w:tr>
      <w:tr w:rsidR="00CA1825" w:rsidRPr="001815D6" w14:paraId="7C8017F7" w14:textId="77777777" w:rsidTr="002A0360">
        <w:trPr>
          <w:trHeight w:val="300"/>
        </w:trPr>
        <w:tc>
          <w:tcPr>
            <w:tcW w:w="4670" w:type="dxa"/>
            <w:tcBorders>
              <w:top w:val="nil"/>
              <w:left w:val="single" w:sz="8" w:space="0" w:color="auto"/>
              <w:bottom w:val="single" w:sz="4" w:space="0" w:color="auto"/>
              <w:right w:val="single" w:sz="4" w:space="0" w:color="auto"/>
            </w:tcBorders>
            <w:noWrap/>
            <w:vAlign w:val="center"/>
            <w:hideMark/>
          </w:tcPr>
          <w:p w14:paraId="52625140"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Commercial Floor Area Allocations (TRPA special projects pool)</w:t>
            </w:r>
          </w:p>
        </w:tc>
        <w:tc>
          <w:tcPr>
            <w:tcW w:w="1710" w:type="dxa"/>
            <w:tcBorders>
              <w:top w:val="nil"/>
              <w:left w:val="nil"/>
              <w:bottom w:val="single" w:sz="4" w:space="0" w:color="auto"/>
              <w:right w:val="single" w:sz="4" w:space="0" w:color="auto"/>
            </w:tcBorders>
            <w:vAlign w:val="center"/>
            <w:hideMark/>
          </w:tcPr>
          <w:p w14:paraId="20D3DD44"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+1,609</w:t>
            </w:r>
          </w:p>
        </w:tc>
        <w:tc>
          <w:tcPr>
            <w:tcW w:w="1620" w:type="dxa"/>
            <w:tcBorders>
              <w:top w:val="nil"/>
              <w:left w:val="nil"/>
              <w:bottom w:val="single" w:sz="4" w:space="0" w:color="auto"/>
              <w:right w:val="single" w:sz="4" w:space="0" w:color="auto"/>
            </w:tcBorders>
            <w:noWrap/>
            <w:vAlign w:val="center"/>
            <w:hideMark/>
          </w:tcPr>
          <w:p w14:paraId="7ADC4B72"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+20,921</w:t>
            </w:r>
          </w:p>
        </w:tc>
        <w:tc>
          <w:tcPr>
            <w:tcW w:w="1440" w:type="dxa"/>
            <w:tcBorders>
              <w:top w:val="nil"/>
              <w:left w:val="nil"/>
              <w:bottom w:val="single" w:sz="4" w:space="0" w:color="auto"/>
              <w:right w:val="single" w:sz="8" w:space="0" w:color="auto"/>
            </w:tcBorders>
            <w:noWrap/>
            <w:vAlign w:val="center"/>
            <w:hideMark/>
          </w:tcPr>
          <w:p w14:paraId="70475B22"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+20,921</w:t>
            </w:r>
          </w:p>
        </w:tc>
      </w:tr>
      <w:tr w:rsidR="00CA1825" w:rsidRPr="001815D6" w14:paraId="6467A67F" w14:textId="77777777" w:rsidTr="002A0360">
        <w:trPr>
          <w:trHeight w:val="300"/>
        </w:trPr>
        <w:tc>
          <w:tcPr>
            <w:tcW w:w="4670" w:type="dxa"/>
            <w:tcBorders>
              <w:top w:val="nil"/>
              <w:left w:val="single" w:sz="8" w:space="0" w:color="auto"/>
              <w:bottom w:val="single" w:sz="4" w:space="0" w:color="auto"/>
              <w:right w:val="single" w:sz="4" w:space="0" w:color="auto"/>
            </w:tcBorders>
            <w:noWrap/>
            <w:vAlign w:val="center"/>
            <w:hideMark/>
          </w:tcPr>
          <w:p w14:paraId="59245F3B"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Banked Commercial Development</w:t>
            </w:r>
          </w:p>
        </w:tc>
        <w:tc>
          <w:tcPr>
            <w:tcW w:w="1710" w:type="dxa"/>
            <w:tcBorders>
              <w:top w:val="nil"/>
              <w:left w:val="nil"/>
              <w:bottom w:val="single" w:sz="4" w:space="0" w:color="auto"/>
              <w:right w:val="single" w:sz="4" w:space="0" w:color="auto"/>
            </w:tcBorders>
            <w:vAlign w:val="center"/>
            <w:hideMark/>
          </w:tcPr>
          <w:p w14:paraId="6366480D"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+21,536</w:t>
            </w:r>
          </w:p>
        </w:tc>
        <w:tc>
          <w:tcPr>
            <w:tcW w:w="1620" w:type="dxa"/>
            <w:tcBorders>
              <w:top w:val="nil"/>
              <w:left w:val="nil"/>
              <w:bottom w:val="single" w:sz="4" w:space="0" w:color="auto"/>
              <w:right w:val="single" w:sz="4" w:space="0" w:color="auto"/>
            </w:tcBorders>
            <w:noWrap/>
            <w:vAlign w:val="center"/>
            <w:hideMark/>
          </w:tcPr>
          <w:p w14:paraId="65E710F5"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+32,968</w:t>
            </w:r>
          </w:p>
        </w:tc>
        <w:tc>
          <w:tcPr>
            <w:tcW w:w="1440" w:type="dxa"/>
            <w:tcBorders>
              <w:top w:val="nil"/>
              <w:left w:val="nil"/>
              <w:bottom w:val="single" w:sz="4" w:space="0" w:color="auto"/>
              <w:right w:val="single" w:sz="8" w:space="0" w:color="auto"/>
            </w:tcBorders>
            <w:noWrap/>
            <w:vAlign w:val="center"/>
            <w:hideMark/>
          </w:tcPr>
          <w:p w14:paraId="6C8278F8"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+71,000</w:t>
            </w:r>
          </w:p>
        </w:tc>
      </w:tr>
      <w:tr w:rsidR="00CA1825" w:rsidRPr="001815D6" w14:paraId="501C82DB" w14:textId="77777777" w:rsidTr="002A0360">
        <w:trPr>
          <w:trHeight w:val="300"/>
        </w:trPr>
        <w:tc>
          <w:tcPr>
            <w:tcW w:w="4670" w:type="dxa"/>
            <w:tcBorders>
              <w:top w:val="nil"/>
              <w:left w:val="single" w:sz="8" w:space="0" w:color="auto"/>
              <w:bottom w:val="nil"/>
              <w:right w:val="nil"/>
            </w:tcBorders>
            <w:noWrap/>
            <w:vAlign w:val="center"/>
            <w:hideMark/>
          </w:tcPr>
          <w:p w14:paraId="776B3F42" w14:textId="77777777" w:rsidR="00CD3119" w:rsidRPr="001815D6" w:rsidRDefault="00CD3119" w:rsidP="00A33AD3">
            <w:pPr>
              <w:spacing w:after="0" w:line="240" w:lineRule="auto"/>
              <w:rPr>
                <w:rFonts w:eastAsia="Times New Roman" w:cstheme="minorHAnsi"/>
                <w:b/>
                <w:bCs/>
                <w:color w:val="000000"/>
                <w:highlight w:val="yellow"/>
              </w:rPr>
            </w:pPr>
            <w:r w:rsidRPr="001815D6">
              <w:rPr>
                <w:rFonts w:eastAsia="Times New Roman"/>
                <w:b/>
                <w:color w:val="000000" w:themeColor="text1"/>
                <w:highlight w:val="yellow"/>
              </w:rPr>
              <w:t xml:space="preserve">Total Utilization of CFA </w:t>
            </w:r>
          </w:p>
        </w:tc>
        <w:tc>
          <w:tcPr>
            <w:tcW w:w="1710" w:type="dxa"/>
            <w:tcBorders>
              <w:top w:val="nil"/>
              <w:left w:val="nil"/>
              <w:bottom w:val="nil"/>
              <w:right w:val="nil"/>
            </w:tcBorders>
            <w:vAlign w:val="center"/>
            <w:hideMark/>
          </w:tcPr>
          <w:p w14:paraId="6866C11C"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+10,197</w:t>
            </w:r>
          </w:p>
        </w:tc>
        <w:tc>
          <w:tcPr>
            <w:tcW w:w="1620" w:type="dxa"/>
            <w:tcBorders>
              <w:top w:val="nil"/>
              <w:left w:val="nil"/>
              <w:bottom w:val="nil"/>
              <w:right w:val="nil"/>
            </w:tcBorders>
            <w:noWrap/>
            <w:vAlign w:val="center"/>
            <w:hideMark/>
          </w:tcPr>
          <w:p w14:paraId="490B2C02"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+132,565</w:t>
            </w:r>
          </w:p>
        </w:tc>
        <w:tc>
          <w:tcPr>
            <w:tcW w:w="1440" w:type="dxa"/>
            <w:tcBorders>
              <w:top w:val="nil"/>
              <w:left w:val="nil"/>
              <w:bottom w:val="nil"/>
              <w:right w:val="single" w:sz="8" w:space="0" w:color="auto"/>
            </w:tcBorders>
            <w:noWrap/>
            <w:vAlign w:val="center"/>
            <w:hideMark/>
          </w:tcPr>
          <w:p w14:paraId="4CA42497"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+261,373</w:t>
            </w:r>
          </w:p>
        </w:tc>
      </w:tr>
      <w:tr w:rsidR="00CD3119" w:rsidRPr="001815D6" w14:paraId="32F2A5E8" w14:textId="77777777" w:rsidTr="002A0360">
        <w:trPr>
          <w:trHeight w:val="300"/>
        </w:trPr>
        <w:tc>
          <w:tcPr>
            <w:tcW w:w="9440" w:type="dxa"/>
            <w:gridSpan w:val="4"/>
            <w:tcBorders>
              <w:top w:val="nil"/>
              <w:left w:val="single" w:sz="8" w:space="0" w:color="auto"/>
              <w:bottom w:val="nil"/>
              <w:right w:val="single" w:sz="8" w:space="0" w:color="000000" w:themeColor="text1"/>
            </w:tcBorders>
            <w:shd w:val="clear" w:color="auto" w:fill="A6A6A6" w:themeFill="background1" w:themeFillShade="A6"/>
            <w:noWrap/>
            <w:vAlign w:val="center"/>
            <w:hideMark/>
          </w:tcPr>
          <w:p w14:paraId="70D4E8C4" w14:textId="77777777" w:rsidR="00CD3119" w:rsidRPr="001815D6" w:rsidRDefault="00CD3119" w:rsidP="00A33AD3">
            <w:pPr>
              <w:spacing w:after="0" w:line="240" w:lineRule="auto"/>
              <w:rPr>
                <w:rFonts w:eastAsia="Times New Roman" w:cstheme="minorHAnsi"/>
                <w:b/>
                <w:bCs/>
                <w:color w:val="000000"/>
                <w:sz w:val="24"/>
                <w:szCs w:val="24"/>
                <w:highlight w:val="yellow"/>
              </w:rPr>
            </w:pPr>
            <w:r w:rsidRPr="001815D6">
              <w:rPr>
                <w:rFonts w:eastAsia="Times New Roman"/>
                <w:b/>
                <w:color w:val="000000" w:themeColor="text1"/>
                <w:sz w:val="24"/>
                <w:szCs w:val="24"/>
                <w:highlight w:val="yellow"/>
              </w:rPr>
              <w:t>Tourist Accommodation Units</w:t>
            </w:r>
          </w:p>
        </w:tc>
      </w:tr>
      <w:tr w:rsidR="00CA1825" w:rsidRPr="001815D6" w14:paraId="4A44ED87" w14:textId="77777777" w:rsidTr="002A0360">
        <w:trPr>
          <w:trHeight w:val="300"/>
        </w:trPr>
        <w:tc>
          <w:tcPr>
            <w:tcW w:w="4670" w:type="dxa"/>
            <w:tcBorders>
              <w:top w:val="single" w:sz="4" w:space="0" w:color="auto"/>
              <w:left w:val="single" w:sz="8" w:space="0" w:color="auto"/>
              <w:bottom w:val="single" w:sz="4" w:space="0" w:color="auto"/>
              <w:right w:val="single" w:sz="4" w:space="0" w:color="auto"/>
            </w:tcBorders>
            <w:noWrap/>
            <w:vAlign w:val="center"/>
            <w:hideMark/>
          </w:tcPr>
          <w:p w14:paraId="21D3951E"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 xml:space="preserve">TAU Allocations </w:t>
            </w:r>
          </w:p>
        </w:tc>
        <w:tc>
          <w:tcPr>
            <w:tcW w:w="1710" w:type="dxa"/>
            <w:tcBorders>
              <w:top w:val="single" w:sz="4" w:space="0" w:color="auto"/>
              <w:left w:val="nil"/>
              <w:bottom w:val="single" w:sz="4" w:space="0" w:color="auto"/>
              <w:right w:val="single" w:sz="4" w:space="0" w:color="auto"/>
            </w:tcBorders>
            <w:vAlign w:val="center"/>
            <w:hideMark/>
          </w:tcPr>
          <w:p w14:paraId="4D0C5F96"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+0</w:t>
            </w:r>
          </w:p>
        </w:tc>
        <w:tc>
          <w:tcPr>
            <w:tcW w:w="1620" w:type="dxa"/>
            <w:tcBorders>
              <w:top w:val="single" w:sz="4" w:space="0" w:color="auto"/>
              <w:left w:val="nil"/>
              <w:bottom w:val="single" w:sz="4" w:space="0" w:color="auto"/>
              <w:right w:val="single" w:sz="4" w:space="0" w:color="auto"/>
            </w:tcBorders>
            <w:noWrap/>
            <w:vAlign w:val="center"/>
            <w:hideMark/>
          </w:tcPr>
          <w:p w14:paraId="6EBBE677"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+0</w:t>
            </w:r>
          </w:p>
        </w:tc>
        <w:tc>
          <w:tcPr>
            <w:tcW w:w="1440" w:type="dxa"/>
            <w:tcBorders>
              <w:top w:val="single" w:sz="4" w:space="0" w:color="auto"/>
              <w:left w:val="nil"/>
              <w:bottom w:val="single" w:sz="4" w:space="0" w:color="auto"/>
              <w:right w:val="single" w:sz="8" w:space="0" w:color="auto"/>
            </w:tcBorders>
            <w:noWrap/>
            <w:vAlign w:val="center"/>
            <w:hideMark/>
          </w:tcPr>
          <w:p w14:paraId="39854F6D"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+0</w:t>
            </w:r>
          </w:p>
        </w:tc>
      </w:tr>
      <w:tr w:rsidR="00CA1825" w:rsidRPr="001815D6" w14:paraId="68AA84D8" w14:textId="77777777" w:rsidTr="002A0360">
        <w:trPr>
          <w:trHeight w:val="300"/>
        </w:trPr>
        <w:tc>
          <w:tcPr>
            <w:tcW w:w="4670" w:type="dxa"/>
            <w:tcBorders>
              <w:top w:val="nil"/>
              <w:left w:val="single" w:sz="8" w:space="0" w:color="auto"/>
              <w:bottom w:val="single" w:sz="4" w:space="0" w:color="auto"/>
              <w:right w:val="single" w:sz="4" w:space="0" w:color="auto"/>
            </w:tcBorders>
            <w:noWrap/>
            <w:vAlign w:val="center"/>
            <w:hideMark/>
          </w:tcPr>
          <w:p w14:paraId="51592138"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 xml:space="preserve">TAU Bonus Allocations </w:t>
            </w:r>
          </w:p>
        </w:tc>
        <w:tc>
          <w:tcPr>
            <w:tcW w:w="1710" w:type="dxa"/>
            <w:tcBorders>
              <w:top w:val="nil"/>
              <w:left w:val="nil"/>
              <w:bottom w:val="single" w:sz="4" w:space="0" w:color="auto"/>
              <w:right w:val="single" w:sz="4" w:space="0" w:color="auto"/>
            </w:tcBorders>
            <w:vAlign w:val="center"/>
            <w:hideMark/>
          </w:tcPr>
          <w:p w14:paraId="635C3EA1"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+5</w:t>
            </w:r>
          </w:p>
        </w:tc>
        <w:tc>
          <w:tcPr>
            <w:tcW w:w="1620" w:type="dxa"/>
            <w:tcBorders>
              <w:top w:val="nil"/>
              <w:left w:val="nil"/>
              <w:bottom w:val="single" w:sz="4" w:space="0" w:color="auto"/>
              <w:right w:val="single" w:sz="4" w:space="0" w:color="auto"/>
            </w:tcBorders>
            <w:noWrap/>
            <w:vAlign w:val="center"/>
            <w:hideMark/>
          </w:tcPr>
          <w:p w14:paraId="64DB85CC"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+65</w:t>
            </w:r>
          </w:p>
        </w:tc>
        <w:tc>
          <w:tcPr>
            <w:tcW w:w="1440" w:type="dxa"/>
            <w:tcBorders>
              <w:top w:val="nil"/>
              <w:left w:val="nil"/>
              <w:bottom w:val="single" w:sz="4" w:space="0" w:color="auto"/>
              <w:right w:val="single" w:sz="8" w:space="0" w:color="auto"/>
            </w:tcBorders>
            <w:noWrap/>
            <w:vAlign w:val="center"/>
            <w:hideMark/>
          </w:tcPr>
          <w:p w14:paraId="54A8BEBF"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+138</w:t>
            </w:r>
          </w:p>
        </w:tc>
      </w:tr>
      <w:tr w:rsidR="00CA1825" w:rsidRPr="001815D6" w14:paraId="6203EFAE" w14:textId="77777777" w:rsidTr="002A0360">
        <w:trPr>
          <w:trHeight w:val="300"/>
        </w:trPr>
        <w:tc>
          <w:tcPr>
            <w:tcW w:w="4670" w:type="dxa"/>
            <w:tcBorders>
              <w:top w:val="nil"/>
              <w:left w:val="single" w:sz="8" w:space="0" w:color="auto"/>
              <w:bottom w:val="single" w:sz="4" w:space="0" w:color="auto"/>
              <w:right w:val="single" w:sz="4" w:space="0" w:color="auto"/>
            </w:tcBorders>
            <w:noWrap/>
            <w:vAlign w:val="center"/>
            <w:hideMark/>
          </w:tcPr>
          <w:p w14:paraId="70B73C0A"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Banked TAU Development</w:t>
            </w:r>
          </w:p>
        </w:tc>
        <w:tc>
          <w:tcPr>
            <w:tcW w:w="1710" w:type="dxa"/>
            <w:tcBorders>
              <w:top w:val="nil"/>
              <w:left w:val="nil"/>
              <w:bottom w:val="single" w:sz="4" w:space="0" w:color="auto"/>
              <w:right w:val="single" w:sz="4" w:space="0" w:color="auto"/>
            </w:tcBorders>
            <w:vAlign w:val="center"/>
            <w:hideMark/>
          </w:tcPr>
          <w:p w14:paraId="40874937"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+31</w:t>
            </w:r>
          </w:p>
        </w:tc>
        <w:tc>
          <w:tcPr>
            <w:tcW w:w="1620" w:type="dxa"/>
            <w:tcBorders>
              <w:top w:val="nil"/>
              <w:left w:val="nil"/>
              <w:bottom w:val="single" w:sz="4" w:space="0" w:color="auto"/>
              <w:right w:val="single" w:sz="4" w:space="0" w:color="auto"/>
            </w:tcBorders>
            <w:noWrap/>
            <w:vAlign w:val="center"/>
            <w:hideMark/>
          </w:tcPr>
          <w:p w14:paraId="211086F1"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+403</w:t>
            </w:r>
          </w:p>
        </w:tc>
        <w:tc>
          <w:tcPr>
            <w:tcW w:w="1440" w:type="dxa"/>
            <w:tcBorders>
              <w:top w:val="nil"/>
              <w:left w:val="nil"/>
              <w:bottom w:val="single" w:sz="4" w:space="0" w:color="auto"/>
              <w:right w:val="single" w:sz="8" w:space="0" w:color="auto"/>
            </w:tcBorders>
            <w:noWrap/>
            <w:vAlign w:val="center"/>
            <w:hideMark/>
          </w:tcPr>
          <w:p w14:paraId="12159BBA"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+854</w:t>
            </w:r>
          </w:p>
        </w:tc>
      </w:tr>
      <w:tr w:rsidR="00CA1825" w:rsidRPr="001815D6" w14:paraId="1DD65AD5" w14:textId="77777777" w:rsidTr="002A0360">
        <w:trPr>
          <w:trHeight w:val="300"/>
        </w:trPr>
        <w:tc>
          <w:tcPr>
            <w:tcW w:w="4670" w:type="dxa"/>
            <w:tcBorders>
              <w:top w:val="nil"/>
              <w:left w:val="single" w:sz="8" w:space="0" w:color="auto"/>
              <w:bottom w:val="single" w:sz="8" w:space="0" w:color="auto"/>
              <w:right w:val="nil"/>
            </w:tcBorders>
            <w:noWrap/>
            <w:vAlign w:val="center"/>
            <w:hideMark/>
          </w:tcPr>
          <w:p w14:paraId="4C0EE07E" w14:textId="77777777" w:rsidR="00CD3119" w:rsidRPr="001815D6" w:rsidRDefault="00CD3119" w:rsidP="00A33AD3">
            <w:pPr>
              <w:spacing w:after="0" w:line="240" w:lineRule="auto"/>
              <w:rPr>
                <w:rFonts w:eastAsia="Times New Roman" w:cstheme="minorHAnsi"/>
                <w:b/>
                <w:bCs/>
                <w:color w:val="000000"/>
                <w:highlight w:val="yellow"/>
              </w:rPr>
            </w:pPr>
            <w:r w:rsidRPr="001815D6">
              <w:rPr>
                <w:rFonts w:eastAsia="Times New Roman"/>
                <w:b/>
                <w:color w:val="000000" w:themeColor="text1"/>
                <w:highlight w:val="yellow"/>
              </w:rPr>
              <w:t>Total Development of TAUs</w:t>
            </w:r>
          </w:p>
        </w:tc>
        <w:tc>
          <w:tcPr>
            <w:tcW w:w="1710" w:type="dxa"/>
            <w:tcBorders>
              <w:top w:val="nil"/>
              <w:left w:val="nil"/>
              <w:bottom w:val="single" w:sz="8" w:space="0" w:color="auto"/>
              <w:right w:val="nil"/>
            </w:tcBorders>
            <w:vAlign w:val="center"/>
            <w:hideMark/>
          </w:tcPr>
          <w:p w14:paraId="71C72C65"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+36</w:t>
            </w:r>
          </w:p>
        </w:tc>
        <w:tc>
          <w:tcPr>
            <w:tcW w:w="1620" w:type="dxa"/>
            <w:tcBorders>
              <w:top w:val="nil"/>
              <w:left w:val="nil"/>
              <w:bottom w:val="single" w:sz="8" w:space="0" w:color="auto"/>
              <w:right w:val="nil"/>
            </w:tcBorders>
            <w:noWrap/>
            <w:vAlign w:val="center"/>
            <w:hideMark/>
          </w:tcPr>
          <w:p w14:paraId="00FF0ABE"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+468</w:t>
            </w:r>
          </w:p>
        </w:tc>
        <w:tc>
          <w:tcPr>
            <w:tcW w:w="1440" w:type="dxa"/>
            <w:tcBorders>
              <w:top w:val="nil"/>
              <w:left w:val="nil"/>
              <w:bottom w:val="single" w:sz="8" w:space="0" w:color="auto"/>
              <w:right w:val="single" w:sz="8" w:space="0" w:color="auto"/>
            </w:tcBorders>
            <w:noWrap/>
            <w:vAlign w:val="center"/>
            <w:hideMark/>
          </w:tcPr>
          <w:p w14:paraId="534BCBCD" w14:textId="77777777" w:rsidR="00CD3119" w:rsidRPr="001815D6" w:rsidRDefault="00CD3119" w:rsidP="00A33AD3">
            <w:pPr>
              <w:spacing w:after="0" w:line="240" w:lineRule="auto"/>
              <w:jc w:val="center"/>
              <w:rPr>
                <w:rFonts w:eastAsia="Times New Roman" w:cstheme="minorHAnsi"/>
                <w:b/>
                <w:bCs/>
                <w:color w:val="000000"/>
                <w:highlight w:val="yellow"/>
              </w:rPr>
            </w:pPr>
            <w:r w:rsidRPr="001815D6">
              <w:rPr>
                <w:rFonts w:eastAsia="Times New Roman"/>
                <w:b/>
                <w:color w:val="000000" w:themeColor="text1"/>
                <w:highlight w:val="yellow"/>
              </w:rPr>
              <w:t>+992</w:t>
            </w:r>
          </w:p>
        </w:tc>
      </w:tr>
    </w:tbl>
    <w:p w14:paraId="436756C6" w14:textId="77777777" w:rsidR="00CD3119" w:rsidRPr="001815D6" w:rsidRDefault="00CD3119" w:rsidP="00CD3119">
      <w:pPr>
        <w:spacing w:after="0" w:line="360" w:lineRule="auto"/>
        <w:rPr>
          <w:rFonts w:eastAsia="Times New Roman" w:cstheme="minorHAnsi"/>
          <w:b/>
          <w:bCs/>
          <w:sz w:val="24"/>
          <w:szCs w:val="24"/>
          <w:highlight w:val="yellow"/>
        </w:rPr>
      </w:pPr>
    </w:p>
    <w:p w14:paraId="2AC46530" w14:textId="7D6D5894" w:rsidR="00CD3119" w:rsidRDefault="00CD3119" w:rsidP="000D1F78">
      <w:r w:rsidRPr="001815D6">
        <w:rPr>
          <w:highlight w:val="yellow"/>
        </w:rPr>
        <w:t xml:space="preserve">The forecast includes the conversion of development rights between the various types of development (Table 4). TRPA approved a comprehensive update to Tahoe’s development rights system in 2018. This allows conversions between different types of development rights using environmentally-neutral exchange rates and makes development rights simpler to transfer around the Basin, keeping limits on Tahoe’s total development potential. The changes make it easier for the private sector to invest in redevelopment projects that benefit </w:t>
      </w:r>
      <w:r w:rsidR="52BB1CB2" w:rsidRPr="001815D6">
        <w:rPr>
          <w:highlight w:val="yellow"/>
        </w:rPr>
        <w:t>the Tahoe region</w:t>
      </w:r>
      <w:r w:rsidRPr="001815D6">
        <w:rPr>
          <w:highlight w:val="yellow"/>
        </w:rPr>
        <w:t xml:space="preserve"> and provide needed workforce housing</w:t>
      </w:r>
      <w:r w:rsidR="002C12B8" w:rsidRPr="001815D6">
        <w:rPr>
          <w:highlight w:val="yellow"/>
        </w:rPr>
        <w:t xml:space="preserve">. </w:t>
      </w:r>
      <w:r w:rsidRPr="001815D6">
        <w:rPr>
          <w:highlight w:val="yellow"/>
        </w:rPr>
        <w:t>The projected conversions are consistent with conversion trends since the adoption of the conversion programs and observed development rights utilization rates. The observed trends indicate a net conversion that reduces CFA by 3,600 square feet and 11 TAUs and creates an additional 28 residential units each year.</w:t>
      </w:r>
    </w:p>
    <w:p w14:paraId="5E72DA98" w14:textId="77777777" w:rsidR="002A0360" w:rsidRDefault="002A0360" w:rsidP="000D1F78"/>
    <w:p w14:paraId="5C5B9D38" w14:textId="77777777" w:rsidR="002A0360" w:rsidRDefault="002A0360" w:rsidP="000D1F78"/>
    <w:p w14:paraId="6690FCCF" w14:textId="77777777" w:rsidR="002A0360" w:rsidRDefault="002A0360" w:rsidP="000D1F78"/>
    <w:p w14:paraId="14D75AD7" w14:textId="77777777" w:rsidR="002A0360" w:rsidRPr="000D1F78" w:rsidRDefault="002A0360" w:rsidP="000D1F78"/>
    <w:p w14:paraId="4B6AA7E5" w14:textId="77777777" w:rsidR="00CD3119" w:rsidRPr="001815D6" w:rsidRDefault="00CD3119" w:rsidP="00CD3119">
      <w:pPr>
        <w:spacing w:after="0" w:line="360" w:lineRule="auto"/>
        <w:rPr>
          <w:rFonts w:eastAsia="Times New Roman" w:cstheme="minorHAnsi"/>
          <w:b/>
          <w:bCs/>
          <w:highlight w:val="yellow"/>
        </w:rPr>
      </w:pPr>
      <w:r w:rsidRPr="001815D6">
        <w:rPr>
          <w:rFonts w:eastAsia="Times New Roman" w:cstheme="minorHAnsi"/>
          <w:b/>
          <w:bCs/>
          <w:highlight w:val="yellow"/>
        </w:rPr>
        <w:lastRenderedPageBreak/>
        <w:t xml:space="preserve">Table 4: Development Rights Conversion Summary </w:t>
      </w:r>
    </w:p>
    <w:tbl>
      <w:tblPr>
        <w:tblW w:w="8990" w:type="dxa"/>
        <w:tblLook w:val="04A0" w:firstRow="1" w:lastRow="0" w:firstColumn="1" w:lastColumn="0" w:noHBand="0" w:noVBand="1"/>
      </w:tblPr>
      <w:tblGrid>
        <w:gridCol w:w="4580"/>
        <w:gridCol w:w="1710"/>
        <w:gridCol w:w="1260"/>
        <w:gridCol w:w="1440"/>
      </w:tblGrid>
      <w:tr w:rsidR="006C6D71" w:rsidRPr="001815D6" w14:paraId="3BA98CE3" w14:textId="77777777" w:rsidTr="006C6D71">
        <w:trPr>
          <w:trHeight w:val="300"/>
        </w:trPr>
        <w:tc>
          <w:tcPr>
            <w:tcW w:w="4580" w:type="dxa"/>
            <w:tcBorders>
              <w:top w:val="single" w:sz="8" w:space="0" w:color="auto"/>
              <w:left w:val="single" w:sz="8" w:space="0" w:color="auto"/>
              <w:bottom w:val="nil"/>
              <w:right w:val="nil"/>
            </w:tcBorders>
            <w:shd w:val="clear" w:color="auto" w:fill="222B35"/>
            <w:noWrap/>
            <w:vAlign w:val="center"/>
            <w:hideMark/>
          </w:tcPr>
          <w:p w14:paraId="55B7E4A4" w14:textId="77777777" w:rsidR="00CD3119" w:rsidRPr="001815D6" w:rsidRDefault="00CD3119" w:rsidP="00A33AD3">
            <w:pPr>
              <w:spacing w:after="0" w:line="240" w:lineRule="auto"/>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Development Right Conversion</w:t>
            </w:r>
          </w:p>
        </w:tc>
        <w:tc>
          <w:tcPr>
            <w:tcW w:w="1710" w:type="dxa"/>
            <w:tcBorders>
              <w:top w:val="single" w:sz="8" w:space="0" w:color="auto"/>
              <w:left w:val="nil"/>
              <w:bottom w:val="nil"/>
              <w:right w:val="nil"/>
            </w:tcBorders>
            <w:shd w:val="clear" w:color="auto" w:fill="222B35"/>
            <w:vAlign w:val="center"/>
            <w:hideMark/>
          </w:tcPr>
          <w:p w14:paraId="0ACB495D"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Annual Change as a Result of Conversion </w:t>
            </w:r>
          </w:p>
        </w:tc>
        <w:tc>
          <w:tcPr>
            <w:tcW w:w="1260" w:type="dxa"/>
            <w:tcBorders>
              <w:top w:val="single" w:sz="8" w:space="0" w:color="auto"/>
              <w:left w:val="nil"/>
              <w:bottom w:val="nil"/>
              <w:right w:val="nil"/>
            </w:tcBorders>
            <w:shd w:val="clear" w:color="auto" w:fill="222B35"/>
            <w:noWrap/>
            <w:vAlign w:val="center"/>
            <w:hideMark/>
          </w:tcPr>
          <w:p w14:paraId="33CA29D6"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2035 </w:t>
            </w:r>
          </w:p>
          <w:p w14:paraId="6DB3C14B"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Net Change</w:t>
            </w:r>
          </w:p>
        </w:tc>
        <w:tc>
          <w:tcPr>
            <w:tcW w:w="1440" w:type="dxa"/>
            <w:tcBorders>
              <w:top w:val="single" w:sz="8" w:space="0" w:color="auto"/>
              <w:left w:val="nil"/>
              <w:bottom w:val="nil"/>
              <w:right w:val="single" w:sz="8" w:space="0" w:color="auto"/>
            </w:tcBorders>
            <w:shd w:val="clear" w:color="auto" w:fill="222B35"/>
            <w:noWrap/>
            <w:vAlign w:val="center"/>
            <w:hideMark/>
          </w:tcPr>
          <w:p w14:paraId="240B502F"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 xml:space="preserve">2050 </w:t>
            </w:r>
          </w:p>
          <w:p w14:paraId="610FF151" w14:textId="77777777" w:rsidR="00CD3119" w:rsidRPr="001815D6" w:rsidRDefault="00CD3119" w:rsidP="00A33AD3">
            <w:pPr>
              <w:spacing w:after="0" w:line="240" w:lineRule="auto"/>
              <w:jc w:val="center"/>
              <w:rPr>
                <w:rFonts w:eastAsia="Times New Roman" w:cstheme="minorHAnsi"/>
                <w:b/>
                <w:bCs/>
                <w:color w:val="FFFFFF"/>
                <w:sz w:val="24"/>
                <w:szCs w:val="24"/>
                <w:highlight w:val="yellow"/>
              </w:rPr>
            </w:pPr>
            <w:r w:rsidRPr="001815D6">
              <w:rPr>
                <w:rFonts w:eastAsia="Times New Roman"/>
                <w:b/>
                <w:color w:val="FFFFFF" w:themeColor="background1"/>
                <w:sz w:val="24"/>
                <w:szCs w:val="24"/>
                <w:highlight w:val="yellow"/>
              </w:rPr>
              <w:t>Net Change</w:t>
            </w:r>
          </w:p>
        </w:tc>
      </w:tr>
      <w:tr w:rsidR="00CD3119" w:rsidRPr="001815D6" w14:paraId="6962CA6F" w14:textId="77777777" w:rsidTr="002A0360">
        <w:trPr>
          <w:trHeight w:val="300"/>
        </w:trPr>
        <w:tc>
          <w:tcPr>
            <w:tcW w:w="8990" w:type="dxa"/>
            <w:gridSpan w:val="4"/>
            <w:tcBorders>
              <w:top w:val="nil"/>
              <w:left w:val="single" w:sz="8" w:space="0" w:color="auto"/>
              <w:bottom w:val="nil"/>
              <w:right w:val="single" w:sz="8" w:space="0" w:color="000000" w:themeColor="text1"/>
            </w:tcBorders>
            <w:shd w:val="clear" w:color="auto" w:fill="A6A6A6" w:themeFill="background1" w:themeFillShade="A6"/>
            <w:noWrap/>
            <w:vAlign w:val="center"/>
            <w:hideMark/>
          </w:tcPr>
          <w:p w14:paraId="728EBFD9" w14:textId="77777777" w:rsidR="00CD3119" w:rsidRPr="001815D6" w:rsidRDefault="00CD3119" w:rsidP="00A33AD3">
            <w:pPr>
              <w:spacing w:after="0" w:line="240" w:lineRule="auto"/>
              <w:rPr>
                <w:rFonts w:eastAsia="Times New Roman" w:cstheme="minorHAnsi"/>
                <w:b/>
                <w:bCs/>
                <w:color w:val="0D0D0D"/>
                <w:sz w:val="24"/>
                <w:szCs w:val="24"/>
                <w:highlight w:val="yellow"/>
              </w:rPr>
            </w:pPr>
            <w:r w:rsidRPr="001815D6">
              <w:rPr>
                <w:rFonts w:eastAsia="Times New Roman"/>
                <w:b/>
                <w:color w:val="0D0D0D" w:themeColor="text1" w:themeTint="F2"/>
                <w:sz w:val="24"/>
                <w:szCs w:val="24"/>
                <w:highlight w:val="yellow"/>
              </w:rPr>
              <w:t>Residential Units</w:t>
            </w:r>
          </w:p>
        </w:tc>
      </w:tr>
      <w:tr w:rsidR="006C6D71" w:rsidRPr="001815D6" w14:paraId="59A8254B" w14:textId="77777777" w:rsidTr="002A0360">
        <w:trPr>
          <w:trHeight w:val="300"/>
        </w:trPr>
        <w:tc>
          <w:tcPr>
            <w:tcW w:w="4580" w:type="dxa"/>
            <w:tcBorders>
              <w:top w:val="nil"/>
              <w:left w:val="single" w:sz="8" w:space="0" w:color="auto"/>
              <w:bottom w:val="single" w:sz="8" w:space="0" w:color="auto"/>
              <w:right w:val="single" w:sz="4" w:space="0" w:color="auto"/>
            </w:tcBorders>
            <w:noWrap/>
            <w:vAlign w:val="center"/>
            <w:hideMark/>
          </w:tcPr>
          <w:p w14:paraId="0DFD0607"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Net Development Right Conversions to Residential</w:t>
            </w:r>
          </w:p>
        </w:tc>
        <w:tc>
          <w:tcPr>
            <w:tcW w:w="1710" w:type="dxa"/>
            <w:tcBorders>
              <w:top w:val="nil"/>
              <w:left w:val="nil"/>
              <w:bottom w:val="single" w:sz="8" w:space="0" w:color="auto"/>
              <w:right w:val="single" w:sz="4" w:space="0" w:color="auto"/>
            </w:tcBorders>
            <w:vAlign w:val="center"/>
            <w:hideMark/>
          </w:tcPr>
          <w:p w14:paraId="3EDCFE21"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+25</w:t>
            </w:r>
          </w:p>
        </w:tc>
        <w:tc>
          <w:tcPr>
            <w:tcW w:w="1260" w:type="dxa"/>
            <w:tcBorders>
              <w:top w:val="nil"/>
              <w:left w:val="nil"/>
              <w:bottom w:val="single" w:sz="8" w:space="0" w:color="auto"/>
              <w:right w:val="single" w:sz="4" w:space="0" w:color="auto"/>
            </w:tcBorders>
            <w:noWrap/>
            <w:vAlign w:val="center"/>
            <w:hideMark/>
          </w:tcPr>
          <w:p w14:paraId="3F0E0BAF"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+325</w:t>
            </w:r>
          </w:p>
        </w:tc>
        <w:tc>
          <w:tcPr>
            <w:tcW w:w="1440" w:type="dxa"/>
            <w:tcBorders>
              <w:top w:val="nil"/>
              <w:left w:val="nil"/>
              <w:bottom w:val="single" w:sz="8" w:space="0" w:color="auto"/>
              <w:right w:val="single" w:sz="8" w:space="0" w:color="auto"/>
            </w:tcBorders>
            <w:noWrap/>
            <w:vAlign w:val="center"/>
            <w:hideMark/>
          </w:tcPr>
          <w:p w14:paraId="18E30E4B"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+700</w:t>
            </w:r>
          </w:p>
        </w:tc>
      </w:tr>
      <w:tr w:rsidR="00CD3119" w:rsidRPr="001815D6" w14:paraId="28F82C85" w14:textId="77777777" w:rsidTr="002A0360">
        <w:trPr>
          <w:trHeight w:val="300"/>
        </w:trPr>
        <w:tc>
          <w:tcPr>
            <w:tcW w:w="8990" w:type="dxa"/>
            <w:gridSpan w:val="4"/>
            <w:tcBorders>
              <w:top w:val="nil"/>
              <w:left w:val="single" w:sz="8" w:space="0" w:color="auto"/>
              <w:bottom w:val="nil"/>
              <w:right w:val="single" w:sz="8" w:space="0" w:color="000000" w:themeColor="text1"/>
            </w:tcBorders>
            <w:shd w:val="clear" w:color="auto" w:fill="A6A6A6" w:themeFill="background1" w:themeFillShade="A6"/>
            <w:noWrap/>
            <w:vAlign w:val="center"/>
            <w:hideMark/>
          </w:tcPr>
          <w:p w14:paraId="22AB841E" w14:textId="77777777" w:rsidR="00CD3119" w:rsidRPr="001815D6" w:rsidRDefault="00CD3119" w:rsidP="00A33AD3">
            <w:pPr>
              <w:spacing w:after="0" w:line="240" w:lineRule="auto"/>
              <w:rPr>
                <w:rFonts w:eastAsia="Times New Roman" w:cstheme="minorHAnsi"/>
                <w:b/>
                <w:bCs/>
                <w:color w:val="0D0D0D"/>
                <w:sz w:val="24"/>
                <w:szCs w:val="24"/>
                <w:highlight w:val="yellow"/>
              </w:rPr>
            </w:pPr>
            <w:r w:rsidRPr="001815D6">
              <w:rPr>
                <w:rFonts w:eastAsia="Times New Roman"/>
                <w:b/>
                <w:color w:val="0D0D0D" w:themeColor="text1" w:themeTint="F2"/>
                <w:sz w:val="24"/>
                <w:szCs w:val="24"/>
                <w:highlight w:val="yellow"/>
              </w:rPr>
              <w:t>Commercial Floor Area (in Square Feet)</w:t>
            </w:r>
          </w:p>
        </w:tc>
      </w:tr>
      <w:tr w:rsidR="006C6D71" w:rsidRPr="001815D6" w14:paraId="2D476A36" w14:textId="77777777" w:rsidTr="002A0360">
        <w:trPr>
          <w:trHeight w:val="300"/>
        </w:trPr>
        <w:tc>
          <w:tcPr>
            <w:tcW w:w="4580" w:type="dxa"/>
            <w:tcBorders>
              <w:top w:val="single" w:sz="4" w:space="0" w:color="auto"/>
              <w:left w:val="single" w:sz="8" w:space="0" w:color="auto"/>
              <w:bottom w:val="single" w:sz="4" w:space="0" w:color="auto"/>
              <w:right w:val="single" w:sz="4" w:space="0" w:color="auto"/>
            </w:tcBorders>
            <w:noWrap/>
            <w:vAlign w:val="center"/>
            <w:hideMark/>
          </w:tcPr>
          <w:p w14:paraId="53D0B7F1"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Net Development Right Conversions from CFA to RUU</w:t>
            </w:r>
          </w:p>
        </w:tc>
        <w:tc>
          <w:tcPr>
            <w:tcW w:w="1710" w:type="dxa"/>
            <w:tcBorders>
              <w:top w:val="single" w:sz="4" w:space="0" w:color="auto"/>
              <w:left w:val="nil"/>
              <w:bottom w:val="single" w:sz="4" w:space="0" w:color="auto"/>
              <w:right w:val="single" w:sz="4" w:space="0" w:color="auto"/>
            </w:tcBorders>
            <w:vAlign w:val="center"/>
            <w:hideMark/>
          </w:tcPr>
          <w:p w14:paraId="092D7949"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-3,600</w:t>
            </w:r>
          </w:p>
        </w:tc>
        <w:tc>
          <w:tcPr>
            <w:tcW w:w="1260" w:type="dxa"/>
            <w:tcBorders>
              <w:top w:val="single" w:sz="4" w:space="0" w:color="auto"/>
              <w:left w:val="nil"/>
              <w:bottom w:val="single" w:sz="4" w:space="0" w:color="auto"/>
              <w:right w:val="single" w:sz="4" w:space="0" w:color="auto"/>
            </w:tcBorders>
            <w:noWrap/>
            <w:vAlign w:val="center"/>
            <w:hideMark/>
          </w:tcPr>
          <w:p w14:paraId="3092AC1A"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-46,800</w:t>
            </w:r>
          </w:p>
        </w:tc>
        <w:tc>
          <w:tcPr>
            <w:tcW w:w="1440" w:type="dxa"/>
            <w:tcBorders>
              <w:top w:val="single" w:sz="4" w:space="0" w:color="auto"/>
              <w:left w:val="nil"/>
              <w:bottom w:val="single" w:sz="4" w:space="0" w:color="auto"/>
              <w:right w:val="single" w:sz="8" w:space="0" w:color="auto"/>
            </w:tcBorders>
            <w:noWrap/>
            <w:vAlign w:val="center"/>
            <w:hideMark/>
          </w:tcPr>
          <w:p w14:paraId="05E13F56"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-100,000</w:t>
            </w:r>
          </w:p>
        </w:tc>
      </w:tr>
      <w:tr w:rsidR="00CD3119" w:rsidRPr="001815D6" w14:paraId="652856F9" w14:textId="77777777" w:rsidTr="002A0360">
        <w:trPr>
          <w:trHeight w:val="300"/>
        </w:trPr>
        <w:tc>
          <w:tcPr>
            <w:tcW w:w="8990" w:type="dxa"/>
            <w:gridSpan w:val="4"/>
            <w:tcBorders>
              <w:top w:val="nil"/>
              <w:left w:val="single" w:sz="8" w:space="0" w:color="auto"/>
              <w:bottom w:val="nil"/>
              <w:right w:val="single" w:sz="8" w:space="0" w:color="000000" w:themeColor="text1"/>
            </w:tcBorders>
            <w:shd w:val="clear" w:color="auto" w:fill="A6A6A6" w:themeFill="background1" w:themeFillShade="A6"/>
            <w:noWrap/>
            <w:vAlign w:val="center"/>
            <w:hideMark/>
          </w:tcPr>
          <w:p w14:paraId="27C2544A" w14:textId="77777777" w:rsidR="00CD3119" w:rsidRPr="001815D6" w:rsidRDefault="00CD3119" w:rsidP="00A33AD3">
            <w:pPr>
              <w:spacing w:after="0" w:line="240" w:lineRule="auto"/>
              <w:rPr>
                <w:rFonts w:eastAsia="Times New Roman" w:cstheme="minorHAnsi"/>
                <w:b/>
                <w:bCs/>
                <w:color w:val="000000"/>
                <w:sz w:val="24"/>
                <w:szCs w:val="24"/>
                <w:highlight w:val="yellow"/>
              </w:rPr>
            </w:pPr>
            <w:r w:rsidRPr="001815D6">
              <w:rPr>
                <w:rFonts w:eastAsia="Times New Roman"/>
                <w:b/>
                <w:color w:val="000000" w:themeColor="text1"/>
                <w:sz w:val="24"/>
                <w:szCs w:val="24"/>
                <w:highlight w:val="yellow"/>
              </w:rPr>
              <w:t>Tourist Accommodation Units</w:t>
            </w:r>
          </w:p>
        </w:tc>
      </w:tr>
      <w:tr w:rsidR="006C6D71" w:rsidRPr="00D03A40" w14:paraId="41B01E6B" w14:textId="77777777" w:rsidTr="002A0360">
        <w:trPr>
          <w:trHeight w:val="300"/>
        </w:trPr>
        <w:tc>
          <w:tcPr>
            <w:tcW w:w="4580" w:type="dxa"/>
            <w:tcBorders>
              <w:top w:val="nil"/>
              <w:left w:val="single" w:sz="8" w:space="0" w:color="auto"/>
              <w:bottom w:val="single" w:sz="8" w:space="0" w:color="auto"/>
              <w:right w:val="single" w:sz="4" w:space="0" w:color="auto"/>
            </w:tcBorders>
            <w:noWrap/>
            <w:vAlign w:val="center"/>
            <w:hideMark/>
          </w:tcPr>
          <w:p w14:paraId="579D8238" w14:textId="77777777" w:rsidR="00CD3119" w:rsidRPr="001815D6" w:rsidRDefault="00CD3119" w:rsidP="00A33AD3">
            <w:pPr>
              <w:spacing w:after="0" w:line="240" w:lineRule="auto"/>
              <w:rPr>
                <w:rFonts w:eastAsia="Times New Roman" w:cstheme="minorHAnsi"/>
                <w:color w:val="000000"/>
                <w:highlight w:val="yellow"/>
              </w:rPr>
            </w:pPr>
            <w:r w:rsidRPr="001815D6">
              <w:rPr>
                <w:rFonts w:eastAsia="Times New Roman"/>
                <w:color w:val="000000" w:themeColor="text1"/>
                <w:highlight w:val="yellow"/>
              </w:rPr>
              <w:t>Net Development Right Conversions from TAUs to RUU</w:t>
            </w:r>
          </w:p>
        </w:tc>
        <w:tc>
          <w:tcPr>
            <w:tcW w:w="1710" w:type="dxa"/>
            <w:tcBorders>
              <w:top w:val="nil"/>
              <w:left w:val="nil"/>
              <w:bottom w:val="single" w:sz="8" w:space="0" w:color="auto"/>
              <w:right w:val="single" w:sz="4" w:space="0" w:color="auto"/>
            </w:tcBorders>
            <w:vAlign w:val="center"/>
            <w:hideMark/>
          </w:tcPr>
          <w:p w14:paraId="50999089"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-11</w:t>
            </w:r>
          </w:p>
        </w:tc>
        <w:tc>
          <w:tcPr>
            <w:tcW w:w="1260" w:type="dxa"/>
            <w:tcBorders>
              <w:top w:val="nil"/>
              <w:left w:val="nil"/>
              <w:bottom w:val="single" w:sz="8" w:space="0" w:color="auto"/>
              <w:right w:val="single" w:sz="4" w:space="0" w:color="auto"/>
            </w:tcBorders>
            <w:noWrap/>
            <w:vAlign w:val="center"/>
            <w:hideMark/>
          </w:tcPr>
          <w:p w14:paraId="2E4AAAB7" w14:textId="77777777" w:rsidR="00CD3119" w:rsidRPr="001815D6" w:rsidRDefault="00CD3119" w:rsidP="00A33AD3">
            <w:pPr>
              <w:spacing w:after="0" w:line="240" w:lineRule="auto"/>
              <w:jc w:val="center"/>
              <w:rPr>
                <w:rFonts w:eastAsia="Times New Roman" w:cstheme="minorHAnsi"/>
                <w:color w:val="000000"/>
                <w:highlight w:val="yellow"/>
              </w:rPr>
            </w:pPr>
            <w:r w:rsidRPr="001815D6">
              <w:rPr>
                <w:rFonts w:eastAsia="Times New Roman"/>
                <w:color w:val="000000" w:themeColor="text1"/>
                <w:highlight w:val="yellow"/>
              </w:rPr>
              <w:t>-143</w:t>
            </w:r>
          </w:p>
        </w:tc>
        <w:tc>
          <w:tcPr>
            <w:tcW w:w="1440" w:type="dxa"/>
            <w:tcBorders>
              <w:top w:val="nil"/>
              <w:left w:val="nil"/>
              <w:bottom w:val="single" w:sz="8" w:space="0" w:color="auto"/>
              <w:right w:val="single" w:sz="8" w:space="0" w:color="auto"/>
            </w:tcBorders>
            <w:noWrap/>
            <w:vAlign w:val="center"/>
            <w:hideMark/>
          </w:tcPr>
          <w:p w14:paraId="01840B3F" w14:textId="77777777" w:rsidR="00CD3119" w:rsidRPr="00567E6C" w:rsidRDefault="00CD3119" w:rsidP="00A33AD3">
            <w:pPr>
              <w:spacing w:after="0" w:line="240" w:lineRule="auto"/>
              <w:jc w:val="center"/>
              <w:rPr>
                <w:rFonts w:eastAsia="Times New Roman" w:cstheme="minorHAnsi"/>
                <w:color w:val="000000"/>
              </w:rPr>
            </w:pPr>
            <w:r w:rsidRPr="001815D6">
              <w:rPr>
                <w:rFonts w:eastAsia="Times New Roman"/>
                <w:color w:val="000000" w:themeColor="text1"/>
                <w:highlight w:val="yellow"/>
              </w:rPr>
              <w:t>-300</w:t>
            </w:r>
          </w:p>
        </w:tc>
      </w:tr>
    </w:tbl>
    <w:p w14:paraId="3553B163" w14:textId="77777777" w:rsidR="00874723" w:rsidRPr="00D03A40" w:rsidRDefault="00874723" w:rsidP="0054657A">
      <w:pPr>
        <w:spacing w:after="0" w:line="360" w:lineRule="auto"/>
        <w:rPr>
          <w:rFonts w:eastAsia="Times New Roman" w:cstheme="minorHAnsi"/>
          <w:b/>
          <w:bCs/>
          <w:color w:val="000000" w:themeColor="text1"/>
        </w:rPr>
      </w:pPr>
    </w:p>
    <w:p w14:paraId="2A0FB11A" w14:textId="1037520F" w:rsidR="0054657A" w:rsidRPr="00D03A40" w:rsidRDefault="0054657A" w:rsidP="000D1F78">
      <w:pPr>
        <w:pStyle w:val="Heading3"/>
        <w:rPr>
          <w:rFonts w:eastAsia="Times New Roman"/>
        </w:rPr>
      </w:pPr>
      <w:r w:rsidRPr="00D03A40">
        <w:rPr>
          <w:rFonts w:eastAsia="Times New Roman"/>
        </w:rPr>
        <w:t>Employment</w:t>
      </w:r>
    </w:p>
    <w:p w14:paraId="1F8BE744" w14:textId="7152973B" w:rsidR="001967CA" w:rsidRPr="00D03A40" w:rsidRDefault="001967CA" w:rsidP="000D1F78">
      <w:pPr>
        <w:rPr>
          <w:color w:val="000000" w:themeColor="text1"/>
        </w:rPr>
      </w:pPr>
      <w:commentRangeStart w:id="12"/>
      <w:r w:rsidRPr="00D03A40">
        <w:t xml:space="preserve">The most recent region-wide data estimates that summertime employment in the Tahoe region decreased by 6% between 2018 and 2022, from 28,604 to 26,777 jobs. </w:t>
      </w:r>
      <w:r w:rsidRPr="00D03A40">
        <w:rPr>
          <w:color w:val="000000" w:themeColor="text1"/>
        </w:rPr>
        <w:t>The forecast projects a small increase in employment in the region as a result of increased visitation, construction of new CFA and TAUs, and population growth. In the 2022 model base year there are an estimated 28,558 workers living in the Tahoe region and 26,777 jobs (some residents hold jobs outside the region). The forecast projects continued growth of jobs in the region, with 803 (+3%) new jobs in the region by 2050. The number of external workers (those commuting into the region for work) is not expected to grow because more workers are expected to find housing locally as a result of the regional housing initiatives</w:t>
      </w:r>
      <w:r w:rsidR="002F5F29">
        <w:rPr>
          <w:color w:val="000000" w:themeColor="text1"/>
        </w:rPr>
        <w:t>.</w:t>
      </w:r>
      <w:commentRangeEnd w:id="12"/>
      <w:r w:rsidR="001815D6" w:rsidRPr="00D03A40">
        <w:rPr>
          <w:rStyle w:val="CommentReference"/>
          <w:color w:val="000000" w:themeColor="text1"/>
          <w:sz w:val="22"/>
          <w:szCs w:val="22"/>
        </w:rPr>
        <w:commentReference w:id="12"/>
      </w:r>
    </w:p>
    <w:p w14:paraId="3E9925BB" w14:textId="0F8432A0" w:rsidR="0054657A" w:rsidRPr="00D03A40" w:rsidRDefault="0054657A" w:rsidP="0054657A">
      <w:pPr>
        <w:spacing w:after="0" w:line="360" w:lineRule="auto"/>
        <w:rPr>
          <w:rFonts w:eastAsia="Times New Roman"/>
        </w:rPr>
      </w:pPr>
    </w:p>
    <w:p w14:paraId="49E873BF" w14:textId="1942BBD5" w:rsidR="00E16133" w:rsidRPr="00D03A40" w:rsidRDefault="00E16133" w:rsidP="000D1F78">
      <w:pPr>
        <w:pStyle w:val="Heading3"/>
        <w:rPr>
          <w:rFonts w:eastAsia="Times New Roman"/>
        </w:rPr>
      </w:pPr>
      <w:r w:rsidRPr="00D03A40">
        <w:rPr>
          <w:rFonts w:eastAsia="Times New Roman"/>
        </w:rPr>
        <w:lastRenderedPageBreak/>
        <w:t xml:space="preserve">Visitation </w:t>
      </w:r>
    </w:p>
    <w:p w14:paraId="1A0499D6" w14:textId="0D3F1B2D" w:rsidR="00D65215" w:rsidRPr="00D03A40" w:rsidRDefault="000D1F78" w:rsidP="000D1F78">
      <w:pPr>
        <w:rPr>
          <w:rFonts w:cstheme="minorHAnsi"/>
        </w:rPr>
      </w:pPr>
      <w:r>
        <w:rPr>
          <w:noProof/>
        </w:rPr>
        <mc:AlternateContent>
          <mc:Choice Requires="wps">
            <w:drawing>
              <wp:anchor distT="0" distB="0" distL="114300" distR="114300" simplePos="0" relativeHeight="251658242" behindDoc="1" locked="0" layoutInCell="1" allowOverlap="1" wp14:anchorId="3A299650" wp14:editId="1A26EFCD">
                <wp:simplePos x="0" y="0"/>
                <wp:positionH relativeFrom="column">
                  <wp:posOffset>3171825</wp:posOffset>
                </wp:positionH>
                <wp:positionV relativeFrom="paragraph">
                  <wp:posOffset>3473450</wp:posOffset>
                </wp:positionV>
                <wp:extent cx="3012440" cy="635"/>
                <wp:effectExtent l="0" t="0" r="0" b="0"/>
                <wp:wrapTight wrapText="bothSides">
                  <wp:wrapPolygon edited="0">
                    <wp:start x="0" y="0"/>
                    <wp:lineTo x="0" y="19716"/>
                    <wp:lineTo x="21445" y="19716"/>
                    <wp:lineTo x="21445" y="0"/>
                    <wp:lineTo x="0" y="0"/>
                  </wp:wrapPolygon>
                </wp:wrapTight>
                <wp:docPr id="1050260465" name="Text Box 846891181"/>
                <wp:cNvGraphicFramePr/>
                <a:graphic xmlns:a="http://schemas.openxmlformats.org/drawingml/2006/main">
                  <a:graphicData uri="http://schemas.microsoft.com/office/word/2010/wordprocessingShape">
                    <wps:wsp>
                      <wps:cNvSpPr txBox="1"/>
                      <wps:spPr>
                        <a:xfrm>
                          <a:off x="0" y="0"/>
                          <a:ext cx="3012440" cy="635"/>
                        </a:xfrm>
                        <a:prstGeom prst="rect">
                          <a:avLst/>
                        </a:prstGeom>
                        <a:solidFill>
                          <a:prstClr val="white"/>
                        </a:solidFill>
                        <a:ln>
                          <a:noFill/>
                        </a:ln>
                      </wps:spPr>
                      <wps:txbx>
                        <w:txbxContent>
                          <w:p w14:paraId="5EA7686A" w14:textId="77777777" w:rsidR="000D1F78" w:rsidRPr="0013139F" w:rsidRDefault="000D1F78" w:rsidP="000D1F78">
                            <w:pPr>
                              <w:pStyle w:val="Caption"/>
                              <w:jc w:val="right"/>
                              <w:rPr>
                                <w:rFonts w:eastAsia="Times New Roman"/>
                                <w:b/>
                                <w:bCs/>
                                <w:i w:val="0"/>
                                <w:iCs w:val="0"/>
                                <w:noProof/>
                                <w:color w:val="000000" w:themeColor="text1"/>
                                <w:sz w:val="22"/>
                                <w:szCs w:val="22"/>
                              </w:rPr>
                            </w:pPr>
                            <w:r w:rsidRPr="0013139F">
                              <w:rPr>
                                <w:b/>
                                <w:bCs/>
                                <w:i w:val="0"/>
                                <w:iCs w:val="0"/>
                                <w:color w:val="000000" w:themeColor="text1"/>
                                <w:sz w:val="22"/>
                                <w:szCs w:val="22"/>
                              </w:rPr>
                              <w:t>Figure 6: Tahoe Mega-Region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A299650" id="_x0000_t202" coordsize="21600,21600" o:spt="202" path="m,l,21600r21600,l21600,xe">
                <v:stroke joinstyle="miter"/>
                <v:path gradientshapeok="t" o:connecttype="rect"/>
              </v:shapetype>
              <v:shape id="Text Box 846891181" o:spid="_x0000_s1026" type="#_x0000_t202" style="position:absolute;margin-left:249.75pt;margin-top:273.5pt;width:237.2pt;height:.0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aYFQIAADgEAAAOAAAAZHJzL2Uyb0RvYy54bWysU8Fu2zAMvQ/YPwi6L07Sr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NdDa/vaWUpNzdz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fuYop+IAAAALAQAADwAAAGRycy9kb3ducmV2LnhtbEyPsU7DMBCGdyTewTokFkSd&#10;0rQlIU5VVTCUpSJ0YXPjaxyIz5HttOHta1hgvLtP/31/sRpNx07ofGtJwHSSAEOqrWqpEbB/f7l/&#10;BOaDJCU7SyjgGz2syuurQubKnukNT1VoWAwhn0sBOoQ+59zXGo30E9sjxdvROiNDHF3DlZPnGG46&#10;/pAkC25kS/GDlj1uNNZf1WAE7NKPnb4bjs+v63Tmtvths/hsKiFub8b1E7CAY/iD4Uc/qkMZnQ52&#10;IOVZJyDNsnlEBczTZSwViWw5y4AdfjdT4GXB/3coLwAAAP//AwBQSwECLQAUAAYACAAAACEAtoM4&#10;kv4AAADhAQAAEwAAAAAAAAAAAAAAAAAAAAAAW0NvbnRlbnRfVHlwZXNdLnhtbFBLAQItABQABgAI&#10;AAAAIQA4/SH/1gAAAJQBAAALAAAAAAAAAAAAAAAAAC8BAABfcmVscy8ucmVsc1BLAQItABQABgAI&#10;AAAAIQDzYnaYFQIAADgEAAAOAAAAAAAAAAAAAAAAAC4CAABkcnMvZTJvRG9jLnhtbFBLAQItABQA&#10;BgAIAAAAIQB+5iin4gAAAAsBAAAPAAAAAAAAAAAAAAAAAG8EAABkcnMvZG93bnJldi54bWxQSwUG&#10;AAAAAAQABADzAAAAfgUAAAAA&#10;" stroked="f">
                <v:textbox style="mso-fit-shape-to-text:t" inset="0,0,0,0">
                  <w:txbxContent>
                    <w:p w14:paraId="5EA7686A" w14:textId="77777777" w:rsidR="000D1F78" w:rsidRPr="0013139F" w:rsidRDefault="000D1F78" w:rsidP="000D1F78">
                      <w:pPr>
                        <w:pStyle w:val="Caption"/>
                        <w:jc w:val="right"/>
                        <w:rPr>
                          <w:rFonts w:eastAsia="Times New Roman"/>
                          <w:b/>
                          <w:bCs/>
                          <w:i w:val="0"/>
                          <w:iCs w:val="0"/>
                          <w:noProof/>
                          <w:color w:val="000000" w:themeColor="text1"/>
                          <w:sz w:val="22"/>
                          <w:szCs w:val="22"/>
                        </w:rPr>
                      </w:pPr>
                      <w:r w:rsidRPr="0013139F">
                        <w:rPr>
                          <w:b/>
                          <w:bCs/>
                          <w:i w:val="0"/>
                          <w:iCs w:val="0"/>
                          <w:color w:val="000000" w:themeColor="text1"/>
                          <w:sz w:val="22"/>
                          <w:szCs w:val="22"/>
                        </w:rPr>
                        <w:t>Figure 6: Tahoe Mega-Region</w:t>
                      </w:r>
                    </w:p>
                  </w:txbxContent>
                </v:textbox>
                <w10:wrap type="tight"/>
              </v:shape>
            </w:pict>
          </mc:Fallback>
        </mc:AlternateContent>
      </w:r>
      <w:r w:rsidR="00D65215">
        <w:rPr>
          <w:noProof/>
        </w:rPr>
        <w:drawing>
          <wp:anchor distT="0" distB="0" distL="114300" distR="114300" simplePos="0" relativeHeight="251658240" behindDoc="1" locked="0" layoutInCell="1" allowOverlap="1" wp14:anchorId="4D801AB6" wp14:editId="4198BADF">
            <wp:simplePos x="0" y="0"/>
            <wp:positionH relativeFrom="page">
              <wp:posOffset>4371975</wp:posOffset>
            </wp:positionH>
            <wp:positionV relativeFrom="paragraph">
              <wp:posOffset>555625</wp:posOffset>
            </wp:positionV>
            <wp:extent cx="2559050" cy="2920433"/>
            <wp:effectExtent l="0" t="0" r="0" b="0"/>
            <wp:wrapSquare wrapText="bothSides"/>
            <wp:docPr id="934431882" name="Picture 312730067"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300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9050" cy="2920433"/>
                    </a:xfrm>
                    <a:prstGeom prst="rect">
                      <a:avLst/>
                    </a:prstGeom>
                  </pic:spPr>
                </pic:pic>
              </a:graphicData>
            </a:graphic>
            <wp14:sizeRelH relativeFrom="page">
              <wp14:pctWidth>0</wp14:pctWidth>
            </wp14:sizeRelH>
            <wp14:sizeRelV relativeFrom="page">
              <wp14:pctHeight>0</wp14:pctHeight>
            </wp14:sizeRelV>
          </wp:anchor>
        </w:drawing>
      </w:r>
      <w:r w:rsidR="00D65215" w:rsidRPr="0614FEAD">
        <w:rPr>
          <w:color w:val="000000" w:themeColor="text1"/>
        </w:rPr>
        <w:t xml:space="preserve">The forecast includes an increase in visitation which is influenced by several factors. </w:t>
      </w:r>
      <w:r w:rsidR="00D65215" w:rsidRPr="0614FEAD">
        <w:t xml:space="preserve">The Tahoe </w:t>
      </w:r>
      <w:r w:rsidR="00D26CA4">
        <w:t>R</w:t>
      </w:r>
      <w:r w:rsidR="00D65215" w:rsidRPr="0614FEAD">
        <w:t xml:space="preserve">egion is located near and draws visitors from several regions that are projected to experience between 20% and 30% growth in the coming decades (Figure </w:t>
      </w:r>
      <w:r w:rsidR="0076506C">
        <w:t>5</w:t>
      </w:r>
      <w:r w:rsidR="00D65215" w:rsidRPr="0614FEAD">
        <w:t xml:space="preserve">, Table 5). The Sacramento Council of Governments (SACOG), predicts that population in the greater Sacramento </w:t>
      </w:r>
      <w:r w:rsidR="00D26CA4">
        <w:t>R</w:t>
      </w:r>
      <w:r w:rsidR="00D65215" w:rsidRPr="0614FEAD">
        <w:t>egion</w:t>
      </w:r>
      <w:r w:rsidR="00D65215" w:rsidRPr="00D03A40">
        <w:rPr>
          <w:rStyle w:val="FootnoteReference"/>
          <w:rFonts w:eastAsia="Times New Roman" w:cstheme="minorHAnsi"/>
        </w:rPr>
        <w:footnoteReference w:id="4"/>
      </w:r>
      <w:r w:rsidR="00D65215" w:rsidRPr="0614FEAD">
        <w:t xml:space="preserve"> will grow 26% by 2050</w:t>
      </w:r>
      <w:r w:rsidR="001F6CE9" w:rsidRPr="0614FEAD">
        <w:t xml:space="preserve"> </w:t>
      </w:r>
      <w:sdt>
        <w:sdtPr>
          <w:id w:val="-809250488"/>
          <w:citation/>
        </w:sdtPr>
        <w:sdtContent>
          <w:r w:rsidR="001F6CE9" w:rsidRPr="0614FEAD">
            <w:fldChar w:fldCharType="begin"/>
          </w:r>
          <w:r w:rsidR="001F6CE9" w:rsidRPr="0614FEAD">
            <w:instrText xml:space="preserve"> CITATION Sac22 \l 1033 </w:instrText>
          </w:r>
          <w:r w:rsidR="001F6CE9" w:rsidRPr="0614FEAD">
            <w:fldChar w:fldCharType="separate"/>
          </w:r>
          <w:r w:rsidR="001F6CE9" w:rsidRPr="20A6508D">
            <w:t>(Sacramento Area Council of Governments, 2022)</w:t>
          </w:r>
          <w:r w:rsidR="001F6CE9" w:rsidRPr="0614FEAD">
            <w:fldChar w:fldCharType="end"/>
          </w:r>
        </w:sdtContent>
      </w:sdt>
      <w:r w:rsidR="00D65215" w:rsidRPr="0614FEAD">
        <w:t xml:space="preserve">. </w:t>
      </w:r>
      <w:r w:rsidR="00D65215" w:rsidRPr="0614FEAD">
        <w:fldChar w:fldCharType="begin"/>
      </w:r>
      <w:r w:rsidR="00D65215" w:rsidRPr="0614FEAD">
        <w:instrText xml:space="preserve"> ADDIN ZOTERO_ITEM CSL_CITATION {"citationID":"tLU2c2tG","properties":{"formattedCitation":"(SACOG 2019)","plainCitation":"(SACOG 2019)","noteIndex":0},"citationItems":[{"id":3804,"uris":["http://zotero.org/users/2786121/items/P7BFBQEG"],"uri":["http://zotero.org/users/2786121/items/P7BFBQEG"],"itemData":{"id":3804,"type":"report","publisher":"Sacramento Area Council of Governments","title":"2020 Metropolitan Transportation Plan/Sustainable Communities Strategy","URL":"https://www.sacog.org/post/adopted-2020-mtpscs","author":[{"literal":"SACOG"}],"issued":{"date-parts":[["2019"]]}}}],"schema":"https://github.com/citation-style-language/schema/raw/master/csl-citation.json"} </w:instrText>
      </w:r>
      <w:r w:rsidR="00D65215" w:rsidRPr="0614FEAD">
        <w:fldChar w:fldCharType="separate"/>
      </w:r>
      <w:r w:rsidR="00D65215" w:rsidRPr="0614FEAD">
        <w:fldChar w:fldCharType="end"/>
      </w:r>
      <w:r w:rsidR="00D65215" w:rsidRPr="0614FEAD">
        <w:t>Farther west, but still within the Tahoe Mega-Region, the Association of Bay Area Governments (ABAG)</w:t>
      </w:r>
      <w:r w:rsidR="00D65215" w:rsidRPr="00D03A40">
        <w:rPr>
          <w:rStyle w:val="FootnoteReference"/>
          <w:rFonts w:eastAsia="Times New Roman" w:cstheme="minorHAnsi"/>
        </w:rPr>
        <w:footnoteReference w:id="5"/>
      </w:r>
      <w:r w:rsidR="00D65215" w:rsidRPr="0614FEAD">
        <w:t xml:space="preserve"> forecasts 30% population increase by 2050 </w:t>
      </w:r>
      <w:sdt>
        <w:sdtPr>
          <w:id w:val="814142403"/>
          <w:citation/>
        </w:sdtPr>
        <w:sdtContent>
          <w:r w:rsidR="00F27BB7" w:rsidRPr="0614FEAD">
            <w:fldChar w:fldCharType="begin"/>
          </w:r>
          <w:r w:rsidR="00F27BB7" w:rsidRPr="0614FEAD">
            <w:instrText xml:space="preserve"> CITATION Ass21 \l 1033 </w:instrText>
          </w:r>
          <w:r w:rsidR="00F27BB7" w:rsidRPr="0614FEAD">
            <w:fldChar w:fldCharType="separate"/>
          </w:r>
          <w:r w:rsidR="00F27BB7" w:rsidRPr="20A6508D">
            <w:t>(Association of Bay Area Governments, 2021)</w:t>
          </w:r>
          <w:r w:rsidR="00F27BB7" w:rsidRPr="0614FEAD">
            <w:fldChar w:fldCharType="end"/>
          </w:r>
        </w:sdtContent>
      </w:sdt>
      <w:r w:rsidR="00F27BB7" w:rsidRPr="0614FEAD">
        <w:t>.</w:t>
      </w:r>
      <w:r w:rsidR="00D65215" w:rsidRPr="0614FEAD">
        <w:t xml:space="preserve"> To the north and east of Tahoe, RTC-Washoe predicts a 28% growth in population in the Reno/Sparks Metropolitan area</w:t>
      </w:r>
      <w:r w:rsidR="00D65215" w:rsidRPr="00D03A40">
        <w:rPr>
          <w:rStyle w:val="FootnoteReference"/>
          <w:rFonts w:eastAsia="Times New Roman" w:cstheme="minorHAnsi"/>
        </w:rPr>
        <w:footnoteReference w:id="6"/>
      </w:r>
      <w:r w:rsidR="00D65215" w:rsidRPr="0614FEAD">
        <w:t xml:space="preserve"> by 2050</w:t>
      </w:r>
      <w:r w:rsidR="00FF63D5" w:rsidRPr="0614FEAD">
        <w:t xml:space="preserve"> </w:t>
      </w:r>
      <w:sdt>
        <w:sdtPr>
          <w:id w:val="-1756277473"/>
          <w:citation/>
        </w:sdtPr>
        <w:sdtContent>
          <w:r w:rsidR="00FF63D5" w:rsidRPr="0614FEAD">
            <w:fldChar w:fldCharType="begin"/>
          </w:r>
          <w:r w:rsidR="00FF63D5" w:rsidRPr="0614FEAD">
            <w:instrText xml:space="preserve"> CITATION Reg24 \l 1033 </w:instrText>
          </w:r>
          <w:r w:rsidR="00FF63D5" w:rsidRPr="0614FEAD">
            <w:fldChar w:fldCharType="separate"/>
          </w:r>
          <w:r w:rsidR="00FF63D5" w:rsidRPr="20A6508D">
            <w:t>(Regional Transportation Commission of Washoe County, 2024)</w:t>
          </w:r>
          <w:r w:rsidR="00FF63D5" w:rsidRPr="0614FEAD">
            <w:fldChar w:fldCharType="end"/>
          </w:r>
        </w:sdtContent>
      </w:sdt>
      <w:r w:rsidR="00D65215" w:rsidRPr="0614FEAD">
        <w:t xml:space="preserve"> and the Carson Area MPO</w:t>
      </w:r>
      <w:r w:rsidR="00D65215" w:rsidRPr="00D03A40">
        <w:rPr>
          <w:rStyle w:val="FootnoteReference"/>
          <w:rFonts w:eastAsia="Times New Roman" w:cstheme="minorHAnsi"/>
        </w:rPr>
        <w:footnoteReference w:id="7"/>
      </w:r>
      <w:r w:rsidR="00D65215" w:rsidRPr="0614FEAD">
        <w:t xml:space="preserve"> predicts a 23.5% growth in population</w:t>
      </w:r>
      <w:r w:rsidR="00FF63D5" w:rsidRPr="0614FEAD">
        <w:t xml:space="preserve"> </w:t>
      </w:r>
      <w:sdt>
        <w:sdtPr>
          <w:id w:val="-300774823"/>
          <w:citation/>
        </w:sdtPr>
        <w:sdtContent>
          <w:r w:rsidR="00FF63D5" w:rsidRPr="0614FEAD">
            <w:fldChar w:fldCharType="begin"/>
          </w:r>
          <w:r w:rsidR="00FF63D5" w:rsidRPr="0614FEAD">
            <w:instrText xml:space="preserve"> CITATION Car24 \l 1033 </w:instrText>
          </w:r>
          <w:r w:rsidR="00FF63D5" w:rsidRPr="0614FEAD">
            <w:fldChar w:fldCharType="separate"/>
          </w:r>
          <w:r w:rsidR="00FF63D5" w:rsidRPr="20A6508D">
            <w:t>(Carson Area Metropolitan Planning Organization, 2024)</w:t>
          </w:r>
          <w:r w:rsidR="00FF63D5" w:rsidRPr="0614FEAD">
            <w:fldChar w:fldCharType="end"/>
          </w:r>
        </w:sdtContent>
      </w:sdt>
      <w:r w:rsidR="00FF63D5" w:rsidRPr="0614FEAD">
        <w:t xml:space="preserve">. </w:t>
      </w:r>
      <w:r w:rsidR="00D65215" w:rsidRPr="0614FEAD">
        <w:rPr>
          <w:color w:val="000000" w:themeColor="text1"/>
        </w:rPr>
        <w:t>Population growth in the mega-region is likely to create increased demand for recreation opportunities and the unique experience that Tahoe provides.</w:t>
      </w:r>
      <w:r w:rsidRPr="000D1F78">
        <w:rPr>
          <w:noProof/>
        </w:rPr>
        <w:t xml:space="preserve"> </w:t>
      </w:r>
    </w:p>
    <w:p w14:paraId="3D8E6AA1" w14:textId="77777777" w:rsidR="00D65215" w:rsidRPr="0013139F" w:rsidRDefault="00D65215" w:rsidP="00D65215">
      <w:pPr>
        <w:spacing w:after="0" w:line="360" w:lineRule="auto"/>
        <w:rPr>
          <w:rFonts w:eastAsia="Times New Roman" w:cstheme="minorHAnsi"/>
          <w:b/>
          <w:bCs/>
        </w:rPr>
      </w:pPr>
      <w:r w:rsidRPr="0013139F">
        <w:rPr>
          <w:rFonts w:eastAsia="Times New Roman" w:cstheme="minorHAnsi"/>
          <w:b/>
          <w:bCs/>
        </w:rPr>
        <w:t>Table 5: Mega-Region Growth Forecasts</w:t>
      </w:r>
    </w:p>
    <w:tbl>
      <w:tblPr>
        <w:tblStyle w:val="TableGrid"/>
        <w:tblpPr w:leftFromText="180" w:rightFromText="180" w:vertAnchor="text" w:horzAnchor="margin" w:tblpY="173"/>
        <w:tblW w:w="9355" w:type="dxa"/>
        <w:tblLook w:val="04A0" w:firstRow="1" w:lastRow="0" w:firstColumn="1" w:lastColumn="0" w:noHBand="0" w:noVBand="1"/>
      </w:tblPr>
      <w:tblGrid>
        <w:gridCol w:w="2155"/>
        <w:gridCol w:w="1890"/>
        <w:gridCol w:w="1440"/>
        <w:gridCol w:w="1440"/>
        <w:gridCol w:w="2430"/>
      </w:tblGrid>
      <w:tr w:rsidR="00D65215" w:rsidRPr="00D03A40" w14:paraId="2398F5CE" w14:textId="77777777" w:rsidTr="002A0360">
        <w:trPr>
          <w:trHeight w:val="300"/>
        </w:trPr>
        <w:tc>
          <w:tcPr>
            <w:tcW w:w="2155" w:type="dxa"/>
            <w:shd w:val="clear" w:color="auto" w:fill="1F3864" w:themeFill="accent1" w:themeFillShade="80"/>
          </w:tcPr>
          <w:p w14:paraId="1B9D6BB2" w14:textId="77777777" w:rsidR="00D65215" w:rsidRPr="00D03A40" w:rsidRDefault="00D65215" w:rsidP="00A33AD3">
            <w:pPr>
              <w:spacing w:line="360" w:lineRule="auto"/>
              <w:rPr>
                <w:rFonts w:eastAsia="Times New Roman" w:cstheme="minorHAnsi"/>
              </w:rPr>
            </w:pPr>
            <w:r w:rsidRPr="00D03A40">
              <w:rPr>
                <w:rFonts w:eastAsia="Times New Roman" w:cstheme="minorHAnsi"/>
              </w:rPr>
              <w:t>Location</w:t>
            </w:r>
          </w:p>
        </w:tc>
        <w:tc>
          <w:tcPr>
            <w:tcW w:w="1890" w:type="dxa"/>
            <w:shd w:val="clear" w:color="auto" w:fill="1F3864" w:themeFill="accent1" w:themeFillShade="80"/>
          </w:tcPr>
          <w:p w14:paraId="013950E7" w14:textId="77777777" w:rsidR="00D65215" w:rsidRPr="00D03A40" w:rsidRDefault="00D65215" w:rsidP="00A33AD3">
            <w:pPr>
              <w:spacing w:line="360" w:lineRule="auto"/>
              <w:rPr>
                <w:rFonts w:eastAsia="Times New Roman" w:cstheme="minorHAnsi"/>
              </w:rPr>
            </w:pPr>
            <w:r w:rsidRPr="00D03A40">
              <w:rPr>
                <w:rFonts w:eastAsia="Times New Roman" w:cstheme="minorHAnsi"/>
              </w:rPr>
              <w:t>Metric</w:t>
            </w:r>
          </w:p>
        </w:tc>
        <w:tc>
          <w:tcPr>
            <w:tcW w:w="1440" w:type="dxa"/>
            <w:shd w:val="clear" w:color="auto" w:fill="1F3864" w:themeFill="accent1" w:themeFillShade="80"/>
          </w:tcPr>
          <w:p w14:paraId="0EE15B1A" w14:textId="77777777" w:rsidR="00D65215" w:rsidRPr="00D03A40" w:rsidRDefault="00D65215" w:rsidP="00A33AD3">
            <w:pPr>
              <w:spacing w:line="360" w:lineRule="auto"/>
              <w:jc w:val="center"/>
              <w:rPr>
                <w:rFonts w:eastAsia="Times New Roman" w:cstheme="minorHAnsi"/>
              </w:rPr>
            </w:pPr>
            <w:r w:rsidRPr="00D03A40">
              <w:rPr>
                <w:rFonts w:eastAsia="Times New Roman" w:cstheme="minorHAnsi"/>
              </w:rPr>
              <w:t>Growth</w:t>
            </w:r>
          </w:p>
        </w:tc>
        <w:tc>
          <w:tcPr>
            <w:tcW w:w="1440" w:type="dxa"/>
            <w:shd w:val="clear" w:color="auto" w:fill="1F3864" w:themeFill="accent1" w:themeFillShade="80"/>
          </w:tcPr>
          <w:p w14:paraId="7670BC3A" w14:textId="77777777" w:rsidR="00D65215" w:rsidRPr="00D03A40" w:rsidRDefault="00D65215" w:rsidP="00A33AD3">
            <w:pPr>
              <w:spacing w:line="360" w:lineRule="auto"/>
              <w:jc w:val="center"/>
              <w:rPr>
                <w:rFonts w:eastAsia="Times New Roman" w:cstheme="minorHAnsi"/>
              </w:rPr>
            </w:pPr>
            <w:r w:rsidRPr="00D03A40">
              <w:rPr>
                <w:rFonts w:eastAsia="Times New Roman" w:cstheme="minorHAnsi"/>
              </w:rPr>
              <w:t>Forecast Year</w:t>
            </w:r>
          </w:p>
        </w:tc>
        <w:tc>
          <w:tcPr>
            <w:tcW w:w="2430" w:type="dxa"/>
            <w:shd w:val="clear" w:color="auto" w:fill="1F3864" w:themeFill="accent1" w:themeFillShade="80"/>
          </w:tcPr>
          <w:p w14:paraId="5DF1E2DC" w14:textId="77777777" w:rsidR="00D65215" w:rsidRPr="00D03A40" w:rsidRDefault="00D65215" w:rsidP="00A33AD3">
            <w:pPr>
              <w:spacing w:line="360" w:lineRule="auto"/>
              <w:rPr>
                <w:rFonts w:eastAsia="Times New Roman" w:cstheme="minorHAnsi"/>
              </w:rPr>
            </w:pPr>
            <w:r w:rsidRPr="00D03A40">
              <w:rPr>
                <w:rFonts w:eastAsia="Times New Roman" w:cstheme="minorHAnsi"/>
              </w:rPr>
              <w:t>Source</w:t>
            </w:r>
          </w:p>
        </w:tc>
      </w:tr>
      <w:tr w:rsidR="00D65215" w:rsidRPr="00D03A40" w14:paraId="327C12FD" w14:textId="77777777" w:rsidTr="002A0360">
        <w:trPr>
          <w:trHeight w:val="300"/>
        </w:trPr>
        <w:tc>
          <w:tcPr>
            <w:tcW w:w="2155" w:type="dxa"/>
          </w:tcPr>
          <w:p w14:paraId="3E1A982F"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Sacramento Region</w:t>
            </w:r>
          </w:p>
        </w:tc>
        <w:tc>
          <w:tcPr>
            <w:tcW w:w="1890" w:type="dxa"/>
          </w:tcPr>
          <w:p w14:paraId="1D4D0D55"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Population</w:t>
            </w:r>
          </w:p>
        </w:tc>
        <w:tc>
          <w:tcPr>
            <w:tcW w:w="1440" w:type="dxa"/>
          </w:tcPr>
          <w:p w14:paraId="30052995"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+23%</w:t>
            </w:r>
          </w:p>
        </w:tc>
        <w:tc>
          <w:tcPr>
            <w:tcW w:w="1440" w:type="dxa"/>
          </w:tcPr>
          <w:p w14:paraId="5118F957" w14:textId="77777777" w:rsidR="00D65215" w:rsidRPr="00567E6C" w:rsidRDefault="00D65215" w:rsidP="00A33AD3">
            <w:pPr>
              <w:spacing w:line="360" w:lineRule="auto"/>
              <w:jc w:val="center"/>
              <w:rPr>
                <w:rFonts w:eastAsia="Calibri" w:cstheme="minorHAnsi"/>
                <w:sz w:val="18"/>
                <w:szCs w:val="18"/>
              </w:rPr>
            </w:pPr>
            <w:r w:rsidRPr="00D03A40">
              <w:rPr>
                <w:rFonts w:eastAsia="Times New Roman" w:cstheme="minorHAnsi"/>
                <w:sz w:val="18"/>
                <w:szCs w:val="18"/>
              </w:rPr>
              <w:t>2050</w:t>
            </w:r>
          </w:p>
        </w:tc>
        <w:tc>
          <w:tcPr>
            <w:tcW w:w="2430" w:type="dxa"/>
          </w:tcPr>
          <w:p w14:paraId="462271FF"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SACOG </w:t>
            </w:r>
            <w:r w:rsidRPr="00D03A40">
              <w:rPr>
                <w:rFonts w:cstheme="minorHAnsi"/>
                <w:sz w:val="18"/>
                <w:szCs w:val="18"/>
              </w:rPr>
              <w:t>2025 MTP/SCS</w:t>
            </w:r>
          </w:p>
        </w:tc>
      </w:tr>
      <w:tr w:rsidR="00D65215" w:rsidRPr="00D03A40" w14:paraId="2AF0D368" w14:textId="77777777" w:rsidTr="002A0360">
        <w:trPr>
          <w:trHeight w:val="300"/>
        </w:trPr>
        <w:tc>
          <w:tcPr>
            <w:tcW w:w="2155" w:type="dxa"/>
          </w:tcPr>
          <w:p w14:paraId="5CF13519"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Sacramento Region</w:t>
            </w:r>
          </w:p>
        </w:tc>
        <w:tc>
          <w:tcPr>
            <w:tcW w:w="1890" w:type="dxa"/>
          </w:tcPr>
          <w:p w14:paraId="2C8EDAF9"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Employment</w:t>
            </w:r>
          </w:p>
        </w:tc>
        <w:tc>
          <w:tcPr>
            <w:tcW w:w="1440" w:type="dxa"/>
          </w:tcPr>
          <w:p w14:paraId="7F734298"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+23%</w:t>
            </w:r>
          </w:p>
        </w:tc>
        <w:tc>
          <w:tcPr>
            <w:tcW w:w="1440" w:type="dxa"/>
          </w:tcPr>
          <w:p w14:paraId="03CEADA5"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2AE84020"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SACOG </w:t>
            </w:r>
            <w:r w:rsidRPr="00D03A40">
              <w:rPr>
                <w:rFonts w:cstheme="minorHAnsi"/>
                <w:sz w:val="18"/>
                <w:szCs w:val="18"/>
              </w:rPr>
              <w:t>2025 MTP/SCS</w:t>
            </w:r>
          </w:p>
        </w:tc>
      </w:tr>
      <w:tr w:rsidR="00D65215" w:rsidRPr="00D03A40" w14:paraId="4419FB75" w14:textId="77777777" w:rsidTr="002A0360">
        <w:trPr>
          <w:trHeight w:val="300"/>
        </w:trPr>
        <w:tc>
          <w:tcPr>
            <w:tcW w:w="2155" w:type="dxa"/>
          </w:tcPr>
          <w:p w14:paraId="73EB1711"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Reno/Sparks Metro </w:t>
            </w:r>
          </w:p>
        </w:tc>
        <w:tc>
          <w:tcPr>
            <w:tcW w:w="1890" w:type="dxa"/>
          </w:tcPr>
          <w:p w14:paraId="1CE0E2A9"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Population</w:t>
            </w:r>
          </w:p>
        </w:tc>
        <w:tc>
          <w:tcPr>
            <w:tcW w:w="1440" w:type="dxa"/>
          </w:tcPr>
          <w:p w14:paraId="7A642E0E"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+28%</w:t>
            </w:r>
          </w:p>
        </w:tc>
        <w:tc>
          <w:tcPr>
            <w:tcW w:w="1440" w:type="dxa"/>
          </w:tcPr>
          <w:p w14:paraId="7047C5EB"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0C80CBE0"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RTC-Washoe 2050 RTP, 2018</w:t>
            </w:r>
          </w:p>
        </w:tc>
      </w:tr>
      <w:tr w:rsidR="00D65215" w:rsidRPr="00D03A40" w14:paraId="54AF571B" w14:textId="77777777" w:rsidTr="002A0360">
        <w:trPr>
          <w:trHeight w:val="300"/>
        </w:trPr>
        <w:tc>
          <w:tcPr>
            <w:tcW w:w="2155" w:type="dxa"/>
          </w:tcPr>
          <w:p w14:paraId="33D0A25A"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Reno/Sparks Metro </w:t>
            </w:r>
          </w:p>
        </w:tc>
        <w:tc>
          <w:tcPr>
            <w:tcW w:w="1890" w:type="dxa"/>
          </w:tcPr>
          <w:p w14:paraId="65F13148"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Employment</w:t>
            </w:r>
          </w:p>
        </w:tc>
        <w:tc>
          <w:tcPr>
            <w:tcW w:w="1440" w:type="dxa"/>
          </w:tcPr>
          <w:p w14:paraId="70FC8825"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+34%</w:t>
            </w:r>
          </w:p>
        </w:tc>
        <w:tc>
          <w:tcPr>
            <w:tcW w:w="1440" w:type="dxa"/>
          </w:tcPr>
          <w:p w14:paraId="22FFF059"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4FB45861"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RTC-Washoe 2040 RTP, 2018</w:t>
            </w:r>
          </w:p>
        </w:tc>
      </w:tr>
      <w:tr w:rsidR="00D65215" w:rsidRPr="00D03A40" w14:paraId="310B6504" w14:textId="77777777" w:rsidTr="002A0360">
        <w:trPr>
          <w:trHeight w:val="300"/>
        </w:trPr>
        <w:tc>
          <w:tcPr>
            <w:tcW w:w="2155" w:type="dxa"/>
          </w:tcPr>
          <w:p w14:paraId="65AD86CA"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Carson City Region</w:t>
            </w:r>
          </w:p>
        </w:tc>
        <w:tc>
          <w:tcPr>
            <w:tcW w:w="1890" w:type="dxa"/>
          </w:tcPr>
          <w:p w14:paraId="4D18E75F"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Population</w:t>
            </w:r>
          </w:p>
        </w:tc>
        <w:tc>
          <w:tcPr>
            <w:tcW w:w="1440" w:type="dxa"/>
          </w:tcPr>
          <w:p w14:paraId="4F71083E"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+23.5%</w:t>
            </w:r>
          </w:p>
        </w:tc>
        <w:tc>
          <w:tcPr>
            <w:tcW w:w="1440" w:type="dxa"/>
          </w:tcPr>
          <w:p w14:paraId="3E561F78"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09021C7C"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CAMPO 2040 RTP, 2018</w:t>
            </w:r>
          </w:p>
        </w:tc>
      </w:tr>
      <w:tr w:rsidR="00D65215" w:rsidRPr="00D03A40" w14:paraId="1074E95D" w14:textId="77777777" w:rsidTr="002A0360">
        <w:trPr>
          <w:trHeight w:val="300"/>
        </w:trPr>
        <w:tc>
          <w:tcPr>
            <w:tcW w:w="2155" w:type="dxa"/>
          </w:tcPr>
          <w:p w14:paraId="1D2F0520"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San Francisco Region </w:t>
            </w:r>
          </w:p>
        </w:tc>
        <w:tc>
          <w:tcPr>
            <w:tcW w:w="1890" w:type="dxa"/>
          </w:tcPr>
          <w:p w14:paraId="2FE458B8"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Population </w:t>
            </w:r>
          </w:p>
        </w:tc>
        <w:tc>
          <w:tcPr>
            <w:tcW w:w="1440" w:type="dxa"/>
          </w:tcPr>
          <w:p w14:paraId="662C583E"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+30%</w:t>
            </w:r>
          </w:p>
        </w:tc>
        <w:tc>
          <w:tcPr>
            <w:tcW w:w="1440" w:type="dxa"/>
          </w:tcPr>
          <w:p w14:paraId="4E4234B7"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5CED236D"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ABAG 2050 RTP</w:t>
            </w:r>
          </w:p>
        </w:tc>
      </w:tr>
    </w:tbl>
    <w:p w14:paraId="70294350" w14:textId="77777777" w:rsidR="00D65215" w:rsidRPr="00D03A40" w:rsidRDefault="00D65215" w:rsidP="00D65215">
      <w:pPr>
        <w:spacing w:after="0" w:line="360" w:lineRule="auto"/>
        <w:rPr>
          <w:rFonts w:eastAsia="Times New Roman" w:cstheme="minorHAnsi"/>
        </w:rPr>
      </w:pPr>
    </w:p>
    <w:p w14:paraId="2B6D73B2" w14:textId="79DDEC76" w:rsidR="00D65215" w:rsidRPr="00D03A40" w:rsidRDefault="00D65215" w:rsidP="000D1F78">
      <w:r w:rsidRPr="00D03A40">
        <w:t xml:space="preserve">Population growth outside the </w:t>
      </w:r>
      <w:r w:rsidR="00AC1C93">
        <w:t>r</w:t>
      </w:r>
      <w:r w:rsidRPr="00D03A40">
        <w:t xml:space="preserve">egion over the last 20 years has not translated to a linear increase in visitation into the region. Therefore, the forecast does not project increases in visitation in proportion to </w:t>
      </w:r>
      <w:r w:rsidRPr="00D03A40">
        <w:lastRenderedPageBreak/>
        <w:t xml:space="preserve">the projected growth in the mega-region. It is uncertain why past population growth has not translated in a linear fashion to increased visitation, but working theories include the decline in popularity of the local casinos as the gaming experience has become more widely available, limited tourist accommodation capacity, the limited roadway capacity into the region and associated willingness to travel to the region given the longer travel times. </w:t>
      </w:r>
    </w:p>
    <w:p w14:paraId="0A869BEB" w14:textId="57160C15" w:rsidR="00D65215" w:rsidRPr="00D03A40" w:rsidRDefault="00D65215" w:rsidP="000D1F78">
      <w:r w:rsidRPr="00D03A40">
        <w:t>The visitation forecast is comprised of related but independent projections regarding the expected characteristics of both the number and occupancy of overnight lodging accommodations types, and day visitation. The visitation forecast can be broken down into overnight visitors (staying in Hotels/Motels/Casinos/STRs/Private homes</w:t>
      </w:r>
      <w:r w:rsidRPr="00D03A40">
        <w:rPr>
          <w:i/>
        </w:rPr>
        <w:t xml:space="preserve">) </w:t>
      </w:r>
      <w:r w:rsidRPr="00D03A40">
        <w:t xml:space="preserve">and day visitors. The number of occupied overnight visitor units is forecast to grow by 7% by 2050. </w:t>
      </w:r>
    </w:p>
    <w:p w14:paraId="61534CCC" w14:textId="04665573" w:rsidR="00D65215" w:rsidRPr="00D03A40" w:rsidRDefault="00D65215" w:rsidP="000D1F78">
      <w:r w:rsidRPr="00D03A40">
        <w:rPr>
          <w:i/>
        </w:rPr>
        <w:t>Overnight Visitors in Hotels/Motels/Casinos</w:t>
      </w:r>
      <w:r w:rsidRPr="00D03A40">
        <w:t xml:space="preserve"> – In the 2022 model base year, 5,666 of the region’s 11,805 TAUs are occupied (48%) during the modeled day. The forecast includes the construction of an additional </w:t>
      </w:r>
      <w:r w:rsidRPr="20A6508D">
        <w:t xml:space="preserve">683 TAUs by 2050, a 5.8% increase in tourist accommodation units. </w:t>
      </w:r>
      <w:r w:rsidRPr="00D03A40">
        <w:fldChar w:fldCharType="begin"/>
      </w:r>
      <w:r w:rsidRPr="00D03A40">
        <w:instrText xml:space="preserve"> ADDIN ZOTERO_ITEM CSL_CITATION {"citationID":"cjae2wFJ","properties":{"formattedCitation":"(MBI 2017)","plainCitation":"(MBI 2017)","noteIndex":0},"citationItems":[{"id":3853,"uris":["http://zotero.org/users/2786121/items/HIZIHRST"],"uri":["http://zotero.org/users/2786121/items/HIZIHRST"],"itemData":{"id":3853,"type":"report","event-place":"Rancho Cordova, CA","publisher":"Michael Baker International for The City of South Lake Tahoe","publisher-place":"Rancho Cordova, CA","title":"Socioeconomic Impacts of Vacation Home Rentals in South Lake Tahoe","author":[{"literal":"MBI"}],"issued":{"date-parts":[["2017"]]}}}],"schema":"https://github.com/citation-style-language/schema/raw/master/csl-citation.json"} </w:instrText>
      </w:r>
      <w:r w:rsidRPr="00D03A40">
        <w:fldChar w:fldCharType="separate"/>
      </w:r>
      <w:r w:rsidRPr="00D03A40">
        <w:fldChar w:fldCharType="end"/>
      </w:r>
      <w:r w:rsidRPr="00D03A40">
        <w:t xml:space="preserve">TRPA is assuming added TAUs are occupied at the same rate as current units, keeping the occupancy rate the same in the future. As a result of additional unit availability from new TAU construction, the actual number of occupied Hotel/Motel/Casino units increases by 5.8% in 2050. </w:t>
      </w:r>
    </w:p>
    <w:p w14:paraId="09B7C2D0" w14:textId="6E96CB91" w:rsidR="00D65215" w:rsidRPr="00D03A40" w:rsidRDefault="00D65215" w:rsidP="000D1F78">
      <w:r w:rsidRPr="00D03A40">
        <w:rPr>
          <w:i/>
        </w:rPr>
        <w:t>Overnight Visitors in STRs</w:t>
      </w:r>
      <w:r w:rsidRPr="00D03A40">
        <w:t xml:space="preserve"> – In 2</w:t>
      </w:r>
      <w:r w:rsidRPr="00D03A40">
        <w:rPr>
          <w:i/>
        </w:rPr>
        <w:t>022</w:t>
      </w:r>
      <w:r w:rsidRPr="00D03A40">
        <w:t xml:space="preserve">, TRPA estimated that there were </w:t>
      </w:r>
      <w:r w:rsidRPr="00D03A40">
        <w:rPr>
          <w:i/>
        </w:rPr>
        <w:t>4,313</w:t>
      </w:r>
      <w:r w:rsidRPr="00D03A40">
        <w:t xml:space="preserve"> permitted STRs in the Tahoe Region, which comprised approximately 13% of all existing residential units and 23% of the vacant housing units. On the model day, 45% of the units, or 1,941 properties are occupied. The forecast projects </w:t>
      </w:r>
      <w:r>
        <w:t>that</w:t>
      </w:r>
      <w:r w:rsidR="00A079FB">
        <w:t xml:space="preserve"> </w:t>
      </w:r>
      <w:r>
        <w:t>the</w:t>
      </w:r>
      <w:r w:rsidRPr="00D03A40">
        <w:t xml:space="preserve"> number </w:t>
      </w:r>
      <w:r w:rsidR="003B4EBC">
        <w:t>of occupied</w:t>
      </w:r>
      <w:r w:rsidRPr="00D03A40">
        <w:t xml:space="preserve"> STRs </w:t>
      </w:r>
      <w:r w:rsidR="003B4EBC">
        <w:t>is</w:t>
      </w:r>
      <w:r w:rsidRPr="00D03A40">
        <w:t xml:space="preserve"> relatively flat in the forecast years, with an assumption that the number of Douglas County and Placer County units increases to the legal cap.</w:t>
      </w:r>
      <w:r w:rsidR="008746F6">
        <w:t xml:space="preserve"> Future year STR occupancy rates were decreased slightly from 2022 numbers to account for </w:t>
      </w:r>
      <w:r w:rsidR="00531ABA">
        <w:t>recent data indicating that California side</w:t>
      </w:r>
      <w:r w:rsidR="007D69BE">
        <w:t xml:space="preserve"> summer</w:t>
      </w:r>
      <w:r w:rsidR="00531ABA">
        <w:t xml:space="preserve"> weekday visitors have decreased</w:t>
      </w:r>
      <w:r w:rsidR="007D69BE">
        <w:t xml:space="preserve"> since 2022, as well</w:t>
      </w:r>
      <w:r w:rsidRPr="00D03A40">
        <w:t xml:space="preserve"> </w:t>
      </w:r>
      <w:r w:rsidR="007D69BE">
        <w:t xml:space="preserve">as statements by Placer County indicating that </w:t>
      </w:r>
      <w:r w:rsidR="00D0008C">
        <w:t xml:space="preserve">there are plans to reduce the county STR cap when more </w:t>
      </w:r>
      <w:r w:rsidR="007072BF">
        <w:t>hotel units become operational.</w:t>
      </w:r>
    </w:p>
    <w:p w14:paraId="09C441D7" w14:textId="23BCFCD5" w:rsidR="00D65215" w:rsidRPr="00D03A40" w:rsidRDefault="00D65215" w:rsidP="000D1F78">
      <w:r w:rsidRPr="00D03A40">
        <w:rPr>
          <w:i/>
        </w:rPr>
        <w:t xml:space="preserve">Overnight Visitors in Seasonal Units </w:t>
      </w:r>
      <w:r w:rsidRPr="00D03A40">
        <w:t>– Seasonal units are residences within the model that are not claimed as the primary residence for the owner. Within the model they could be occupied by the owner, friends of the owner, time-shares, informally rented, but are not accounted for included in the total of STRs. These units comprise approximately 36% of the total housing market in the region, of which 37% were estimated to be occupied on</w:t>
      </w:r>
      <w:r w:rsidR="00D444FB">
        <w:t xml:space="preserve"> the</w:t>
      </w:r>
      <w:r w:rsidRPr="00D03A40">
        <w:t xml:space="preserve"> modeled day in the 2018 base year</w:t>
      </w:r>
      <w:r w:rsidR="002C12B8" w:rsidRPr="00D03A40">
        <w:t xml:space="preserve">. </w:t>
      </w:r>
      <w:r w:rsidRPr="00D03A40">
        <w:t xml:space="preserve">During Covid, the occupancy rate for seasonal units increased significantly to 45% as seasonal homes were used more frequently. The forecast assumes a return to pre-Covid occupancy rates for seasonal homes. Recent data suggests that workers are returning (or being required to return) to their offices more frequently, so </w:t>
      </w:r>
      <w:r w:rsidR="00123055">
        <w:t>the current model</w:t>
      </w:r>
      <w:r w:rsidRPr="00D03A40">
        <w:t xml:space="preserve"> returned the second home occupancy rate to the 2018 levels. The proportion of seasonal units in the region has grown in the last 10 years. The proportion of seasonal units is not forecast to continue to increase, due to three factors: 1) the construction of additional workforce housing units which cannot be used for second homes, 2) initiatives focused on making the existing stocking more affordable for workers and residents, and 3) the conversion of some existing vacation rentals to resident housing. As a </w:t>
      </w:r>
      <w:r w:rsidRPr="00D03A40">
        <w:lastRenderedPageBreak/>
        <w:t xml:space="preserve">result of the increase in the total number of homes in the </w:t>
      </w:r>
      <w:r w:rsidR="00596868">
        <w:t>r</w:t>
      </w:r>
      <w:r w:rsidRPr="00D03A40">
        <w:t>egion the number of seasonal units increases by 7% in 2050.</w:t>
      </w:r>
    </w:p>
    <w:p w14:paraId="046DF780" w14:textId="29AC129E" w:rsidR="00B60894" w:rsidRPr="00D03A40" w:rsidRDefault="00D65215" w:rsidP="000D1F78">
      <w:r w:rsidRPr="00D03A40">
        <w:rPr>
          <w:i/>
        </w:rPr>
        <w:t>Day Visitors</w:t>
      </w:r>
      <w:r w:rsidRPr="00D03A40">
        <w:t xml:space="preserve"> – Day visitation is forecast to increase as a result of population growth in the mega-region, at a rate slightly faster than overnight visitation. Day visitors are one of the more challenging travel parties to forecast. The model assumes the factors that drive overnight visitation are positively correlated with factors driving day visitation. The relationship between these two types of visitors was established as part of the calibration and validation for the 2018 base year. </w:t>
      </w:r>
    </w:p>
    <w:p w14:paraId="702D34FB" w14:textId="70BA2613" w:rsidR="00B60894" w:rsidRPr="00D03A40" w:rsidRDefault="00B60894" w:rsidP="000D1F78">
      <w:r w:rsidRPr="00D03A40">
        <w:rPr>
          <w:i/>
        </w:rPr>
        <w:t>Passenger Traffic at Reno-Tahoe International Airport</w:t>
      </w:r>
      <w:r w:rsidRPr="00D03A40">
        <w:t xml:space="preserve"> – The Reno Tahoe International Airport has a significant role in visitation to the Tahoe Region, as increases in the number of passengers through the airport can affect both overnight and day visitation to the </w:t>
      </w:r>
      <w:r w:rsidR="00491268">
        <w:t xml:space="preserve">Lake </w:t>
      </w:r>
      <w:r w:rsidRPr="00D03A40">
        <w:t>Tahoe. The Reno Tahoe Airport Authority publishes monthly data on passenger volumes through the airport (Figure 18). Passenger volumes dropped precipitously during the Covid-19 pandemic, with lower volumes through 2020 and 2021. By 2022, passenger volumes through Reno had recovered and exceeded 2018 levels. Passenger volumes have continued to rise since 2022, with the full year 2023 volumes reaching the highest level since 2007, and through August 2024, ten of the last twelve months have recorded the highest monthly passenger volumes since 2018</w:t>
      </w:r>
      <w:r w:rsidR="00A32B6D" w:rsidRPr="00D03A40">
        <w:t xml:space="preserve"> </w:t>
      </w:r>
      <w:sdt>
        <w:sdtPr>
          <w:id w:val="87517707"/>
          <w:citation/>
        </w:sdtPr>
        <w:sdtContent>
          <w:r w:rsidR="00A32B6D" w:rsidRPr="00D03A40">
            <w:fldChar w:fldCharType="begin"/>
          </w:r>
          <w:r w:rsidR="00A32B6D" w:rsidRPr="00D03A40">
            <w:instrText xml:space="preserve"> CITATION Ren24 \l 1033 </w:instrText>
          </w:r>
          <w:r w:rsidR="00A32B6D" w:rsidRPr="00D03A40">
            <w:fldChar w:fldCharType="separate"/>
          </w:r>
          <w:r w:rsidR="00A32B6D" w:rsidRPr="00D03A40">
            <w:t>(Reno-Tahoe Airport Authority, 2024)</w:t>
          </w:r>
          <w:r w:rsidR="00A32B6D" w:rsidRPr="00D03A40">
            <w:fldChar w:fldCharType="end"/>
          </w:r>
        </w:sdtContent>
      </w:sdt>
      <w:r w:rsidRPr="00D03A40">
        <w:t>.</w:t>
      </w:r>
    </w:p>
    <w:p w14:paraId="0A83529A" w14:textId="26C90D2E" w:rsidR="00B60894" w:rsidRPr="000D1F78" w:rsidRDefault="0035509B" w:rsidP="000D1F78">
      <w:pPr>
        <w:spacing w:after="240" w:line="360" w:lineRule="auto"/>
        <w:rPr>
          <w:rFonts w:cstheme="minorHAnsi"/>
          <w:b/>
        </w:rPr>
      </w:pPr>
      <w:r>
        <w:rPr>
          <w:noProof/>
        </w:rPr>
        <w:drawing>
          <wp:inline distT="0" distB="0" distL="0" distR="0" wp14:anchorId="1EDF71D5" wp14:editId="1E0A7E70">
            <wp:extent cx="5943600" cy="2884170"/>
            <wp:effectExtent l="0" t="0" r="0" b="11430"/>
            <wp:docPr id="1366667226" name="Chart 1">
              <a:extLst xmlns:a="http://schemas.openxmlformats.org/drawingml/2006/main">
                <a:ext uri="{FF2B5EF4-FFF2-40B4-BE49-F238E27FC236}">
                  <a16:creationId xmlns:a16="http://schemas.microsoft.com/office/drawing/2014/main" id="{ED4E96D0-455B-4AC5-B5C0-983570A384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6C26F4">
        <w:rPr>
          <w:rFonts w:cstheme="minorHAnsi"/>
          <w:b/>
          <w:bCs/>
        </w:rPr>
        <w:t>Figure 7</w:t>
      </w:r>
      <w:r w:rsidR="0013139F">
        <w:rPr>
          <w:rFonts w:cstheme="minorHAnsi"/>
          <w:b/>
          <w:bCs/>
        </w:rPr>
        <w:t>: Reno Tahoe International Airport: Total Passengers</w:t>
      </w:r>
    </w:p>
    <w:p w14:paraId="5B1B0F73" w14:textId="2F51F030" w:rsidR="00B60894" w:rsidRPr="00D03A40" w:rsidRDefault="007E3A8D" w:rsidP="000D1F78">
      <w:pPr>
        <w:pStyle w:val="Heading3"/>
        <w:rPr>
          <w:rFonts w:eastAsia="Times New Roman"/>
        </w:rPr>
      </w:pPr>
      <w:r w:rsidRPr="00D03A40">
        <w:rPr>
          <w:rFonts w:eastAsia="Times New Roman"/>
        </w:rPr>
        <w:t>School Enrollment</w:t>
      </w:r>
    </w:p>
    <w:p w14:paraId="382C92A8" w14:textId="75781B81" w:rsidR="00B60894" w:rsidRPr="00D03A40" w:rsidRDefault="00B60894" w:rsidP="000D1F78">
      <w:r w:rsidRPr="00D03A40">
        <w:t xml:space="preserve">Like the overall population, school enrollment in the region has decreased in the last two decades. In recent years, school enrollment has </w:t>
      </w:r>
      <w:r w:rsidR="00E8798B">
        <w:t>remained</w:t>
      </w:r>
      <w:r w:rsidRPr="00D03A40">
        <w:t xml:space="preserve"> relatively level on the California side, with decreases continuing on the Nevada side. Between 2003 and 2022, enrollment on the California side decreased by 17%</w:t>
      </w:r>
      <w:r w:rsidR="0044684B">
        <w:t xml:space="preserve"> </w:t>
      </w:r>
      <w:sdt>
        <w:sdtPr>
          <w:id w:val="-597403386"/>
          <w:citation/>
        </w:sdtPr>
        <w:sdtContent>
          <w:r w:rsidR="0044684B">
            <w:fldChar w:fldCharType="begin"/>
          </w:r>
          <w:r w:rsidR="0044684B">
            <w:instrText xml:space="preserve"> CITATION Cal24 \l 1033 </w:instrText>
          </w:r>
          <w:r w:rsidR="0044684B">
            <w:fldChar w:fldCharType="separate"/>
          </w:r>
          <w:r w:rsidR="0044684B" w:rsidRPr="20A6508D">
            <w:t>(California Department of Education, 2024)</w:t>
          </w:r>
          <w:r w:rsidR="0044684B">
            <w:fldChar w:fldCharType="end"/>
          </w:r>
        </w:sdtContent>
      </w:sdt>
      <w:r w:rsidRPr="00D03A40">
        <w:t>, while enrollment on the Nevada side decreased by 46%</w:t>
      </w:r>
      <w:r w:rsidR="0044684B">
        <w:t xml:space="preserve"> </w:t>
      </w:r>
      <w:sdt>
        <w:sdtPr>
          <w:id w:val="-1497793857"/>
          <w:citation/>
        </w:sdtPr>
        <w:sdtContent>
          <w:r w:rsidR="0044684B">
            <w:fldChar w:fldCharType="begin"/>
          </w:r>
          <w:r w:rsidR="0044684B">
            <w:instrText xml:space="preserve"> CITATION Nev23 \l 1033 </w:instrText>
          </w:r>
          <w:r w:rsidR="0044684B">
            <w:fldChar w:fldCharType="separate"/>
          </w:r>
          <w:r w:rsidR="0044684B" w:rsidRPr="20A6508D">
            <w:t>(Nevada Department of Education, 2023)</w:t>
          </w:r>
          <w:r w:rsidR="0044684B">
            <w:fldChar w:fldCharType="end"/>
          </w:r>
        </w:sdtContent>
      </w:sdt>
      <w:r w:rsidRPr="00D03A40">
        <w:t>.</w:t>
      </w:r>
      <w:r w:rsidRPr="00D03A40">
        <w:rPr>
          <w:b/>
        </w:rPr>
        <w:t xml:space="preserve"> </w:t>
      </w:r>
      <w:r w:rsidRPr="00D03A40">
        <w:t xml:space="preserve">The forecast projects that school enrollment will increase by </w:t>
      </w:r>
      <w:r w:rsidRPr="00D03A40">
        <w:lastRenderedPageBreak/>
        <w:t>3.5% as new employment (</w:t>
      </w:r>
      <w:r w:rsidRPr="00D03A40">
        <w:rPr>
          <w:color w:val="000000" w:themeColor="text1"/>
        </w:rPr>
        <w:t>803 additional jobs)</w:t>
      </w:r>
      <w:r w:rsidRPr="00D03A40">
        <w:t xml:space="preserve"> and residents (3,769 additional full time residents) are added to the region. As many of Tahoe’s new residents do not have school-aged children, school enrollment is expected to increase at about one-half the rate of population growth.</w:t>
      </w:r>
    </w:p>
    <w:p w14:paraId="7018C729" w14:textId="745CAA16" w:rsidR="006C26F4" w:rsidRDefault="00236D93" w:rsidP="007E3A8D">
      <w:pPr>
        <w:spacing w:after="0" w:line="360" w:lineRule="auto"/>
      </w:pPr>
      <w:r>
        <w:rPr>
          <w:noProof/>
        </w:rPr>
        <w:drawing>
          <wp:inline distT="0" distB="0" distL="0" distR="0" wp14:anchorId="00C49597" wp14:editId="3B4DA88D">
            <wp:extent cx="5006340" cy="2529840"/>
            <wp:effectExtent l="0" t="0" r="3810" b="3810"/>
            <wp:docPr id="34550948" name="Chart 1">
              <a:extLst xmlns:a="http://schemas.openxmlformats.org/drawingml/2006/main">
                <a:ext uri="{FF2B5EF4-FFF2-40B4-BE49-F238E27FC236}">
                  <a16:creationId xmlns:a16="http://schemas.microsoft.com/office/drawing/2014/main" id="{ECD09315-C5D6-A0D2-F565-8B39D0A354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083E0E4" w14:textId="75F81F9D" w:rsidR="006C26F4" w:rsidRPr="00BF7226" w:rsidRDefault="006C26F4" w:rsidP="007E3A8D">
      <w:pPr>
        <w:spacing w:after="0" w:line="360" w:lineRule="auto"/>
        <w:rPr>
          <w:b/>
        </w:rPr>
      </w:pPr>
      <w:r>
        <w:rPr>
          <w:b/>
          <w:bCs/>
        </w:rPr>
        <w:t>Figure 8</w:t>
      </w:r>
      <w:r w:rsidR="0013139F">
        <w:rPr>
          <w:b/>
          <w:bCs/>
        </w:rPr>
        <w:t>: Tahoe Nevada School Enrollment, 2003-2023</w:t>
      </w:r>
    </w:p>
    <w:p w14:paraId="6FBEDEE9" w14:textId="48812C95" w:rsidR="00D35601" w:rsidRPr="00BF7226" w:rsidRDefault="00D35601" w:rsidP="00B60894">
      <w:pPr>
        <w:spacing w:after="0" w:line="360" w:lineRule="auto"/>
      </w:pPr>
      <w:r>
        <w:rPr>
          <w:noProof/>
        </w:rPr>
        <w:drawing>
          <wp:inline distT="0" distB="0" distL="0" distR="0" wp14:anchorId="1E983788" wp14:editId="39867455">
            <wp:extent cx="4991100" cy="2743200"/>
            <wp:effectExtent l="0" t="0" r="0" b="0"/>
            <wp:docPr id="1661997343" name="Chart 1">
              <a:extLst xmlns:a="http://schemas.openxmlformats.org/drawingml/2006/main">
                <a:ext uri="{FF2B5EF4-FFF2-40B4-BE49-F238E27FC236}">
                  <a16:creationId xmlns:a16="http://schemas.microsoft.com/office/drawing/2014/main" id="{33862BB1-7515-2C69-3452-1993310318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5B87358" w14:textId="290BFDCC" w:rsidR="006C26F4" w:rsidRPr="000D1F78" w:rsidRDefault="006C26F4" w:rsidP="007E3A8D">
      <w:pPr>
        <w:spacing w:after="0" w:line="360" w:lineRule="auto"/>
        <w:rPr>
          <w:rFonts w:eastAsia="Times New Roman"/>
          <w:b/>
        </w:rPr>
      </w:pPr>
      <w:r>
        <w:rPr>
          <w:rFonts w:eastAsia="Times New Roman"/>
          <w:b/>
          <w:bCs/>
        </w:rPr>
        <w:t>Figure 9</w:t>
      </w:r>
      <w:r w:rsidR="0013139F">
        <w:rPr>
          <w:rFonts w:eastAsia="Times New Roman"/>
          <w:b/>
          <w:bCs/>
        </w:rPr>
        <w:t>: Tahoe California School Enrollment, 2003-2023</w:t>
      </w:r>
    </w:p>
    <w:p w14:paraId="2A0B395F" w14:textId="5F4C7DC7" w:rsidR="000E3D6A" w:rsidRPr="00D03A40" w:rsidRDefault="0081115F" w:rsidP="003A2F93">
      <w:pPr>
        <w:pStyle w:val="Heading3"/>
        <w:rPr>
          <w:b w:val="0"/>
        </w:rPr>
      </w:pPr>
      <w:r w:rsidRPr="00D03A40">
        <w:t xml:space="preserve">Household </w:t>
      </w:r>
      <w:r w:rsidR="0018765C" w:rsidRPr="003A2F93">
        <w:t>Income</w:t>
      </w:r>
    </w:p>
    <w:p w14:paraId="7C4C4AE7" w14:textId="4C9BD8AD" w:rsidR="00B60894" w:rsidRPr="00D03A40" w:rsidRDefault="00B60894" w:rsidP="000D1F78">
      <w:pPr>
        <w:rPr>
          <w:b/>
          <w:sz w:val="24"/>
          <w:szCs w:val="24"/>
        </w:rPr>
      </w:pPr>
      <w:r w:rsidRPr="00D03A40">
        <w:t>Household income is a key characteristic of the residential population, which influences travel behavior. Census data over the last nine years show that household income in the region is trending upwards towards higher incomes</w:t>
      </w:r>
      <w:r w:rsidR="00644C2F" w:rsidRPr="00D03A40">
        <w:t xml:space="preserve"> </w:t>
      </w:r>
      <w:sdt>
        <w:sdtPr>
          <w:id w:val="-1776003897"/>
          <w:citation/>
        </w:sdtPr>
        <w:sdtContent>
          <w:r w:rsidR="00644C2F" w:rsidRPr="00D03A40">
            <w:fldChar w:fldCharType="begin"/>
          </w:r>
          <w:r w:rsidR="00644C2F" w:rsidRPr="00D03A40">
            <w:instrText xml:space="preserve"> CITATION USD22 \l 1033 </w:instrText>
          </w:r>
          <w:r w:rsidR="00644C2F" w:rsidRPr="00D03A40">
            <w:fldChar w:fldCharType="separate"/>
          </w:r>
          <w:r w:rsidR="00644C2F" w:rsidRPr="20A6508D">
            <w:t>(U.S. Department of Commerce, 2022)</w:t>
          </w:r>
          <w:r w:rsidR="00644C2F" w:rsidRPr="00D03A40">
            <w:fldChar w:fldCharType="end"/>
          </w:r>
        </w:sdtContent>
      </w:sdt>
      <w:r w:rsidRPr="00D03A40">
        <w:t xml:space="preserve">. Median annual income for households nationally rose to $74,580 in 2022, within California it is $91,905, and in Nevada it is $71,646 </w:t>
      </w:r>
      <w:r w:rsidRPr="00D03A40">
        <w:fldChar w:fldCharType="begin"/>
      </w:r>
      <w:r w:rsidRPr="00D03A40">
        <w:instrText xml:space="preserve"> ADDIN ZOTERO_ITEM CSL_CITATION {"citationID":"Sz80Pak1","properties":{"formattedCitation":"(Guzman 2019)","plainCitation":"(Guzman 2019)","noteIndex":0},"citationItems":[{"id":3859,"uris":["http://zotero.org/users/2786121/items/9IAA57F9"],"uri":["http://zotero.org/users/2786121/items/9IAA57F9"],"itemData":{"id":3859,"type":"report","genre":"American Community Survey Briefs","publisher":"U.S. Census Bureau","title":"Household Income: 2018: American Community Survey Briefs","author":[{"family":"Guzman","given":"Gloria G."}],"issued":{"date-parts":[["2019"]]}}}],"schema":"https://github.com/citation-style-language/schema/raw/master/csl-citation.json"} </w:instrText>
      </w:r>
      <w:r w:rsidRPr="00D03A40">
        <w:fldChar w:fldCharType="separate"/>
      </w:r>
      <w:r w:rsidRPr="20A6508D">
        <w:t>(Guzman 2024)</w:t>
      </w:r>
      <w:r w:rsidRPr="00D03A40">
        <w:fldChar w:fldCharType="end"/>
      </w:r>
      <w:r w:rsidRPr="00D03A40">
        <w:t xml:space="preserve">. Median income in the Tahoe Region has continued to grow in recent years, with the regional median remaining near or slightly above the national median. Between 2010 and 2018, the proportions </w:t>
      </w:r>
      <w:r w:rsidRPr="00D03A40">
        <w:lastRenderedPageBreak/>
        <w:t xml:space="preserve">of households in each income category have remained relatively stable, but in recent years, there has been a substantial shift towards higher-income households in Tahoe. Between 2018 and 2022, the proportion of households earning less than $25,000/year fell significantly, from 19% to 12%. Between 2018 and 2022, the number of households earning over $200,000/year doubled and those earning between $100,000 and $200,000 increased from 20% to 26%. While households earning less than $100,000/year outnumber households earning more than $100,000/year, only 54% of households earn less than $100,000/year. Some have suggested the decline in lower-income households has been driven by workers leaving the region in search of more affordable housing. </w:t>
      </w:r>
      <w:r w:rsidRPr="001815D6">
        <w:rPr>
          <w:highlight w:val="yellow"/>
        </w:rPr>
        <w:t>The forecast projects that the relative distribution of household incomes will be maintained near the current level, with slight increases among those earning less than $75,000/year or above $125,000/year. Initiatives to provide workforce and affordable housing are expected to increase the regional housing availability at the lower end of income distribution.</w:t>
      </w:r>
      <w:r w:rsidRPr="00D03A40">
        <w:t xml:space="preserve"> </w:t>
      </w:r>
    </w:p>
    <w:p w14:paraId="3D9F9934" w14:textId="1149A5C4" w:rsidR="00E81BC9" w:rsidRPr="00D03A40" w:rsidRDefault="00B93B28" w:rsidP="007A3469">
      <w:pPr>
        <w:spacing w:after="0" w:line="360" w:lineRule="auto"/>
        <w:rPr>
          <w:rFonts w:eastAsia="Times New Roman"/>
        </w:rPr>
      </w:pPr>
      <w:r>
        <w:rPr>
          <w:noProof/>
        </w:rPr>
        <w:drawing>
          <wp:inline distT="0" distB="0" distL="0" distR="0" wp14:anchorId="73D86976" wp14:editId="5EA9BAE8">
            <wp:extent cx="5676900" cy="3451860"/>
            <wp:effectExtent l="0" t="0" r="0" b="15240"/>
            <wp:docPr id="1306485631" name="Chart 1">
              <a:extLst xmlns:a="http://schemas.openxmlformats.org/drawingml/2006/main">
                <a:ext uri="{FF2B5EF4-FFF2-40B4-BE49-F238E27FC236}">
                  <a16:creationId xmlns:a16="http://schemas.microsoft.com/office/drawing/2014/main" id="{1C355E49-8357-72E8-8D51-5AD88C9FB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End w:id="0"/>
      <w:bookmarkEnd w:id="1"/>
      <w:bookmarkEnd w:id="3"/>
    </w:p>
    <w:p w14:paraId="79F4D596" w14:textId="16A9FEE7" w:rsidR="006C26F4" w:rsidRPr="0013139F" w:rsidRDefault="006C26F4" w:rsidP="007A3469">
      <w:pPr>
        <w:spacing w:after="0" w:line="360" w:lineRule="auto"/>
        <w:rPr>
          <w:rFonts w:eastAsia="Times New Roman" w:cstheme="minorHAnsi"/>
          <w:b/>
          <w:bCs/>
        </w:rPr>
      </w:pPr>
      <w:r w:rsidRPr="0013139F">
        <w:rPr>
          <w:rFonts w:eastAsia="Times New Roman" w:cstheme="minorHAnsi"/>
          <w:b/>
          <w:bCs/>
        </w:rPr>
        <w:t>Figure 10</w:t>
      </w:r>
      <w:r w:rsidR="0013139F">
        <w:rPr>
          <w:rFonts w:eastAsia="Times New Roman" w:cstheme="minorHAnsi"/>
          <w:b/>
          <w:bCs/>
        </w:rPr>
        <w:t>: Household Income Categories in Tahoe Region (% of Households, ACS 2010-2022)</w:t>
      </w:r>
    </w:p>
    <w:p w14:paraId="2B09B64E" w14:textId="694A3978" w:rsidR="00096EF3" w:rsidRPr="00D03A40" w:rsidRDefault="00096EF3" w:rsidP="007A3469">
      <w:pPr>
        <w:spacing w:after="0" w:line="360" w:lineRule="auto"/>
        <w:rPr>
          <w:rFonts w:eastAsia="Times New Roman"/>
          <w:b/>
          <w:sz w:val="24"/>
          <w:szCs w:val="24"/>
        </w:rPr>
      </w:pPr>
    </w:p>
    <w:p w14:paraId="334B78F1" w14:textId="7DB12E83" w:rsidR="00C748FF" w:rsidRPr="00D03A40" w:rsidRDefault="00C406A6" w:rsidP="00B10D48">
      <w:pPr>
        <w:spacing w:after="0" w:line="360" w:lineRule="auto"/>
        <w:rPr>
          <w:rFonts w:eastAsia="Times New Roman"/>
          <w:b/>
          <w:sz w:val="24"/>
          <w:szCs w:val="24"/>
        </w:rPr>
      </w:pPr>
      <w:r w:rsidRPr="0614FEAD">
        <w:rPr>
          <w:rFonts w:eastAsia="Times New Roman"/>
          <w:b/>
          <w:sz w:val="24"/>
          <w:szCs w:val="24"/>
        </w:rPr>
        <w:t>Addendum</w:t>
      </w:r>
    </w:p>
    <w:p w14:paraId="60061E4C" w14:textId="5FFF78E3" w:rsidR="00096EF3" w:rsidRDefault="00B10D48" w:rsidP="00096EF3">
      <w:pPr>
        <w:spacing w:after="0" w:line="360" w:lineRule="auto"/>
      </w:pPr>
      <w:r w:rsidRPr="20A6508D">
        <w:t xml:space="preserve"> </w:t>
      </w:r>
    </w:p>
    <w:p w14:paraId="4C948F37" w14:textId="77777777" w:rsidR="002D32CF" w:rsidRDefault="002D32CF" w:rsidP="00096EF3">
      <w:pPr>
        <w:spacing w:after="0" w:line="360" w:lineRule="auto"/>
      </w:pPr>
    </w:p>
    <w:p w14:paraId="12266F96" w14:textId="77777777" w:rsidR="002D32CF" w:rsidRPr="00D03A40" w:rsidDel="0044684B" w:rsidRDefault="002D32CF" w:rsidP="00096EF3">
      <w:pPr>
        <w:spacing w:after="0" w:line="360" w:lineRule="auto"/>
      </w:pPr>
    </w:p>
    <w:p w14:paraId="04DB6305" w14:textId="1FE3E798" w:rsidR="00E7363F" w:rsidRPr="002D32CF" w:rsidRDefault="00E7363F" w:rsidP="00BC2AD7">
      <w:pPr>
        <w:pStyle w:val="Heading2"/>
        <w:rPr>
          <w:rFonts w:eastAsiaTheme="majorEastAsia" w:cstheme="majorBidi"/>
        </w:rPr>
      </w:pPr>
      <w:r w:rsidRPr="00D03A40">
        <w:lastRenderedPageBreak/>
        <w:t>Transportation Projects &amp; Strategies Forecast Summary</w:t>
      </w:r>
    </w:p>
    <w:p w14:paraId="1B4D9CB6" w14:textId="075E8E08" w:rsidR="003C5747" w:rsidRPr="00D03A40" w:rsidRDefault="00E7363F" w:rsidP="002D32CF">
      <w:pPr>
        <w:pStyle w:val="Heading3"/>
      </w:pPr>
      <w:r w:rsidRPr="00D03A40">
        <w:t>Transportation Projects</w:t>
      </w:r>
    </w:p>
    <w:p w14:paraId="3FC028E4" w14:textId="3C0B68A0" w:rsidR="00520E0C" w:rsidRPr="002D32CF" w:rsidRDefault="008259D4" w:rsidP="002D32CF">
      <w:r w:rsidRPr="52470809">
        <w:t>In this model update,</w:t>
      </w:r>
      <w:r w:rsidR="00520E0C" w:rsidRPr="52470809">
        <w:t xml:space="preserve"> </w:t>
      </w:r>
      <w:r w:rsidR="0082498B" w:rsidRPr="52470809">
        <w:t>several changes were made to better reflect</w:t>
      </w:r>
      <w:r w:rsidR="00992DAA" w:rsidRPr="52470809">
        <w:t xml:space="preserve"> the changing e</w:t>
      </w:r>
      <w:r w:rsidR="2304E646" w:rsidRPr="52470809">
        <w:t>conomy</w:t>
      </w:r>
      <w:r w:rsidR="00992DAA" w:rsidRPr="52470809">
        <w:t xml:space="preserve"> in the Lake Tahoe region, account for </w:t>
      </w:r>
      <w:r w:rsidR="00673C9F" w:rsidRPr="52470809">
        <w:t xml:space="preserve">methodological advances and new technologies, </w:t>
      </w:r>
      <w:r w:rsidR="00CD7A4F" w:rsidRPr="52470809">
        <w:t xml:space="preserve">and </w:t>
      </w:r>
      <w:r w:rsidR="00CC238A" w:rsidRPr="52470809">
        <w:t xml:space="preserve">ensure </w:t>
      </w:r>
      <w:r w:rsidR="007E2945" w:rsidRPr="52470809">
        <w:t xml:space="preserve">future </w:t>
      </w:r>
      <w:r w:rsidR="00D34BAE" w:rsidRPr="52470809">
        <w:t>development is properly represented.</w:t>
      </w:r>
    </w:p>
    <w:p w14:paraId="1C7C205C" w14:textId="2B73B789" w:rsidR="009E2103" w:rsidRPr="002D32CF" w:rsidRDefault="00405B7D" w:rsidP="002D32CF">
      <w:r w:rsidRPr="52470809">
        <w:t xml:space="preserve">The largest single update </w:t>
      </w:r>
      <w:r w:rsidR="002B1F44" w:rsidRPr="52470809">
        <w:t>in advance of the 2025 RTP was</w:t>
      </w:r>
      <w:r w:rsidR="001A5DBD" w:rsidRPr="52470809">
        <w:t xml:space="preserve"> a full revision of </w:t>
      </w:r>
      <w:r w:rsidR="009E2103" w:rsidRPr="52470809">
        <w:t>nonmotorized mode choice,</w:t>
      </w:r>
      <w:r w:rsidR="002B1F44" w:rsidRPr="52470809">
        <w:t xml:space="preserve"> </w:t>
      </w:r>
      <w:r w:rsidR="008031DB" w:rsidRPr="52470809">
        <w:t xml:space="preserve">creating a dedicated network to model bicycle and pedestrian trips. </w:t>
      </w:r>
      <w:r w:rsidR="00A13F66" w:rsidRPr="52470809">
        <w:t xml:space="preserve">In previous model runs, </w:t>
      </w:r>
      <w:r w:rsidR="00416F5E" w:rsidRPr="52470809">
        <w:t xml:space="preserve">it was only possible to route bicycle and pedestrian trips along the roadway network, without consideration for </w:t>
      </w:r>
      <w:r w:rsidR="25EAC7E2" w:rsidRPr="52470809">
        <w:t>actual infrastructure</w:t>
      </w:r>
      <w:r w:rsidR="001C38C4" w:rsidRPr="52470809">
        <w:t xml:space="preserve">. </w:t>
      </w:r>
      <w:r w:rsidR="00BC3FE3" w:rsidRPr="52470809">
        <w:t xml:space="preserve">Furthermore, all nonmotorized modes were combined into a single “nonmotorized” </w:t>
      </w:r>
      <w:r w:rsidR="008171B0" w:rsidRPr="52470809">
        <w:t>option in the mode choice equations</w:t>
      </w:r>
      <w:r w:rsidR="00382FB1" w:rsidRPr="52470809">
        <w:t xml:space="preserve"> in previous model runs</w:t>
      </w:r>
      <w:r w:rsidR="000437D0" w:rsidRPr="52470809">
        <w:t xml:space="preserve">, not accounting for </w:t>
      </w:r>
      <w:r w:rsidR="0032579C" w:rsidRPr="52470809">
        <w:t xml:space="preserve">differences between bicycle and pedestrian travel. </w:t>
      </w:r>
      <w:r w:rsidR="00CB26A9" w:rsidRPr="52470809">
        <w:t xml:space="preserve">The new active transportation network included all </w:t>
      </w:r>
      <w:r w:rsidR="00AD4874" w:rsidRPr="52470809">
        <w:t xml:space="preserve">current and future shared-use paths, as well as attributes for each roadway that indicate </w:t>
      </w:r>
      <w:r w:rsidR="004E572D" w:rsidRPr="52470809">
        <w:t xml:space="preserve">the type of bicycle facility. </w:t>
      </w:r>
      <w:r w:rsidR="00FE1E78" w:rsidRPr="52470809">
        <w:t xml:space="preserve">The routing function for bicycle and pedestrian modes favors </w:t>
      </w:r>
      <w:r w:rsidR="008331C1" w:rsidRPr="52470809">
        <w:t>shared-use paths</w:t>
      </w:r>
      <w:r w:rsidR="00F0176D" w:rsidRPr="52470809">
        <w:t>,</w:t>
      </w:r>
      <w:r w:rsidR="008331C1" w:rsidRPr="52470809">
        <w:t xml:space="preserve"> bicycle-friendly facilities, and low-volume streets </w:t>
      </w:r>
      <w:r w:rsidR="00F551E7" w:rsidRPr="52470809">
        <w:t>in decreasing priority, only routing along high-traffic and high-speed roads when unavoidable.</w:t>
      </w:r>
      <w:r w:rsidR="00EE55AB" w:rsidRPr="52470809">
        <w:t xml:space="preserve"> The effect of this</w:t>
      </w:r>
      <w:r w:rsidR="008B23EB" w:rsidRPr="52470809">
        <w:t xml:space="preserve"> new network is the ability to incorporate projected active transportation projects into the model, greatly improving the accuracy of projected active transportation trips</w:t>
      </w:r>
      <w:r w:rsidR="182B8590" w:rsidRPr="52470809">
        <w:t xml:space="preserve"> and ensuring that the model can properly represent recreational trips and benefits the trail network can provide to the regional economy</w:t>
      </w:r>
      <w:r w:rsidR="008B23EB" w:rsidRPr="52470809">
        <w:t>.</w:t>
      </w:r>
    </w:p>
    <w:p w14:paraId="7E3CFE8E" w14:textId="4714D3BB" w:rsidR="00625A53" w:rsidRPr="002D32CF" w:rsidRDefault="0092253B" w:rsidP="002D32CF">
      <w:r w:rsidRPr="52470809">
        <w:t xml:space="preserve">With both nonmotorized network improvement and </w:t>
      </w:r>
      <w:r w:rsidR="00D43C26" w:rsidRPr="52470809">
        <w:t xml:space="preserve">improvements in available data, TRPA and its contractors modified </w:t>
      </w:r>
      <w:r w:rsidR="009E62C0" w:rsidRPr="52470809">
        <w:t>mode share to best reflect current behavior</w:t>
      </w:r>
      <w:r w:rsidR="001878F5" w:rsidRPr="52470809">
        <w:t xml:space="preserve"> as shown by TRPA’s monitoring program, big data, and surveys from around the United States</w:t>
      </w:r>
      <w:r w:rsidR="009E62C0" w:rsidRPr="52470809">
        <w:t>.</w:t>
      </w:r>
      <w:r w:rsidR="0065034B" w:rsidRPr="52470809">
        <w:t xml:space="preserve"> Walk trips are capped at 3 miles in the model</w:t>
      </w:r>
      <w:r w:rsidR="00EB58FE" w:rsidRPr="52470809">
        <w:t>, with increasing cost for longer trips</w:t>
      </w:r>
      <w:r w:rsidR="0065034B" w:rsidRPr="52470809">
        <w:t xml:space="preserve">, while bicycle trips </w:t>
      </w:r>
      <w:r w:rsidR="00EB58FE" w:rsidRPr="52470809">
        <w:t>have no limit</w:t>
      </w:r>
      <w:r w:rsidR="00E92679" w:rsidRPr="52470809">
        <w:t>, though mode share d</w:t>
      </w:r>
      <w:r w:rsidR="00D7292A" w:rsidRPr="52470809">
        <w:t xml:space="preserve">ecreases with distance and </w:t>
      </w:r>
      <w:r w:rsidR="00FF5FAB" w:rsidRPr="52470809">
        <w:t>mode share for trips over 8 miles in length is less than 0.5%.</w:t>
      </w:r>
      <w:r w:rsidR="00BE182C" w:rsidRPr="52470809">
        <w:t xml:space="preserve"> </w:t>
      </w:r>
      <w:r w:rsidR="00153336" w:rsidRPr="52470809">
        <w:t>T</w:t>
      </w:r>
      <w:r w:rsidR="00916FCE" w:rsidRPr="52470809">
        <w:t>h</w:t>
      </w:r>
      <w:r w:rsidR="00B21511" w:rsidRPr="52470809">
        <w:t>e changes</w:t>
      </w:r>
      <w:r w:rsidR="00916FCE" w:rsidRPr="52470809">
        <w:t xml:space="preserve"> resulted in increased nonmotorized</w:t>
      </w:r>
      <w:r w:rsidR="55F2395B" w:rsidRPr="52470809">
        <w:t xml:space="preserve"> model</w:t>
      </w:r>
      <w:r w:rsidR="00916FCE" w:rsidRPr="52470809">
        <w:t xml:space="preserve"> mode share, particularly for overnight visitors and seasonal residents</w:t>
      </w:r>
      <w:r w:rsidR="004173DB" w:rsidRPr="52470809">
        <w:t xml:space="preserve">, with </w:t>
      </w:r>
      <w:r w:rsidR="008B79CF" w:rsidRPr="52470809">
        <w:t>approximately</w:t>
      </w:r>
      <w:r w:rsidR="004173DB" w:rsidRPr="52470809">
        <w:t xml:space="preserve"> one-third </w:t>
      </w:r>
      <w:r w:rsidR="008B79CF" w:rsidRPr="52470809">
        <w:t xml:space="preserve">of overnight visitor and seasonal resident trips occurring by </w:t>
      </w:r>
      <w:r w:rsidR="00153336" w:rsidRPr="52470809">
        <w:t>nonmotorized</w:t>
      </w:r>
      <w:r w:rsidR="008B79CF" w:rsidRPr="52470809">
        <w:t xml:space="preserve"> modes</w:t>
      </w:r>
      <w:r w:rsidR="00916FCE" w:rsidRPr="52470809">
        <w:t>.</w:t>
      </w:r>
      <w:r w:rsidR="00153336" w:rsidRPr="52470809">
        <w:t xml:space="preserve"> Over half of trips shorter than one-half mile </w:t>
      </w:r>
      <w:r w:rsidR="00ED5A16" w:rsidRPr="52470809">
        <w:t xml:space="preserve">and over 40% of trips shorter than one mile </w:t>
      </w:r>
      <w:r w:rsidR="00153336" w:rsidRPr="52470809">
        <w:t>use nonmotorized modes, a large increase from previous assumptions.</w:t>
      </w:r>
      <w:r w:rsidR="00916FCE" w:rsidRPr="52470809">
        <w:t xml:space="preserve"> </w:t>
      </w:r>
      <w:r w:rsidR="0065034B" w:rsidRPr="52470809">
        <w:t xml:space="preserve">The new calibration targets provided by </w:t>
      </w:r>
      <w:r w:rsidR="00B21511" w:rsidRPr="52470809">
        <w:t xml:space="preserve">TRPA’s consultants </w:t>
      </w:r>
      <w:r w:rsidR="00D55E8C" w:rsidRPr="52470809">
        <w:t>also include some</w:t>
      </w:r>
      <w:r w:rsidR="004173DB" w:rsidRPr="52470809">
        <w:t xml:space="preserve"> initial</w:t>
      </w:r>
      <w:r w:rsidR="00D55E8C" w:rsidRPr="52470809">
        <w:t xml:space="preserve"> E-bike</w:t>
      </w:r>
      <w:r w:rsidR="004173DB" w:rsidRPr="52470809">
        <w:t xml:space="preserve"> use</w:t>
      </w:r>
      <w:r w:rsidR="0094001D" w:rsidRPr="52470809">
        <w:t>, reducing reliance on TRPA’s off-model tools to evaluate the projected effect of E-bikes.</w:t>
      </w:r>
    </w:p>
    <w:p w14:paraId="26C3FE83" w14:textId="285F2033" w:rsidR="00E85E0C" w:rsidRDefault="00353135" w:rsidP="002D32CF">
      <w:pPr>
        <w:rPr>
          <w:b/>
          <w:bCs/>
          <w:color w:val="FF0000"/>
        </w:rPr>
      </w:pPr>
      <w:r>
        <w:t xml:space="preserve">Yet another significant change to the TRPA model involved a recalibration of origin-destination trip pairs to better reflect modern travel patterns. </w:t>
      </w:r>
      <w:r w:rsidR="00F15174">
        <w:t>Over the past two decades, there has been a large shift away from casino visitation to recreation trips, and TRPA expects this</w:t>
      </w:r>
      <w:r w:rsidR="00765CD0">
        <w:t xml:space="preserve"> shift to be permanent. Therefore, it was important to</w:t>
      </w:r>
      <w:r w:rsidR="00ED1386">
        <w:t xml:space="preserve"> recalibrate </w:t>
      </w:r>
      <w:r w:rsidR="00CE123D">
        <w:t xml:space="preserve">to ensure that the impacts of proposed recreation and hotel projects are properly accounted for. </w:t>
      </w:r>
      <w:r w:rsidR="00CC238A">
        <w:t xml:space="preserve">This recalibration used StreetLight data to </w:t>
      </w:r>
      <w:r w:rsidR="0020669D">
        <w:t xml:space="preserve">examine the </w:t>
      </w:r>
      <w:r w:rsidR="00226472">
        <w:t xml:space="preserve">start and end points of </w:t>
      </w:r>
      <w:r w:rsidR="00584B28">
        <w:t>trips and</w:t>
      </w:r>
      <w:r w:rsidR="00AB0E89">
        <w:t xml:space="preserve"> use that information to make modifications to the model. </w:t>
      </w:r>
      <w:r w:rsidR="00584B28">
        <w:t>The analysis performed by TRPA’s contractors indicated that the prior model was overestimating trips to and from the south shore casino core while underestimating trips to recreation sites across the region</w:t>
      </w:r>
      <w:r w:rsidR="00E85E0C">
        <w:t>. Using the results of this analysis, trip patterns were recalibrated to ensure that recreation and gaming travel was properly represented.</w:t>
      </w:r>
    </w:p>
    <w:p w14:paraId="2F629A3F" w14:textId="4970222A" w:rsidR="612A1BE4" w:rsidRDefault="612A1BE4" w:rsidP="612A1BE4">
      <w:pPr>
        <w:spacing w:after="0" w:line="360" w:lineRule="auto"/>
        <w:rPr>
          <w:rFonts w:eastAsia="Times New Roman"/>
          <w:b/>
          <w:bCs/>
          <w:color w:val="000000" w:themeColor="text1"/>
        </w:rPr>
      </w:pPr>
    </w:p>
    <w:p w14:paraId="37C1017D" w14:textId="35B87589" w:rsidR="00E7363F" w:rsidRPr="00D03A40" w:rsidRDefault="00E7363F" w:rsidP="00BC2AD7">
      <w:pPr>
        <w:pStyle w:val="Heading2"/>
      </w:pPr>
      <w:r w:rsidRPr="00D03A40">
        <w:t>Transportation Strategies</w:t>
      </w:r>
    </w:p>
    <w:p w14:paraId="1F7949DF" w14:textId="04DD07FD" w:rsidR="00054F09" w:rsidRPr="00D03A40" w:rsidRDefault="00BF5B1F" w:rsidP="00096EF3">
      <w:pPr>
        <w:spacing w:after="0" w:line="360" w:lineRule="auto"/>
        <w:rPr>
          <w:rFonts w:eastAsia="Times New Roman" w:cstheme="minorHAnsi"/>
          <w:b/>
          <w:bCs/>
          <w:color w:val="FF0000"/>
        </w:rPr>
      </w:pPr>
      <w:r>
        <w:rPr>
          <w:rFonts w:eastAsia="Times New Roman" w:cstheme="minorHAnsi"/>
          <w:b/>
          <w:bCs/>
          <w:color w:val="FF0000"/>
        </w:rPr>
        <w:t xml:space="preserve"> See attachment at end of document</w:t>
      </w:r>
    </w:p>
    <w:p w14:paraId="5B505FB1" w14:textId="7ECF3CCF" w:rsidR="00096EF3" w:rsidRPr="00D03A40" w:rsidRDefault="00096EF3" w:rsidP="00BC2AD7">
      <w:pPr>
        <w:pStyle w:val="Heading2"/>
      </w:pPr>
      <w:r w:rsidRPr="00D03A40">
        <w:t>References</w:t>
      </w:r>
    </w:p>
    <w:sdt>
      <w:sdtPr>
        <w:rPr>
          <w:rFonts w:eastAsiaTheme="minorEastAsia" w:cstheme="minorBidi"/>
          <w:b w:val="0"/>
          <w:color w:val="auto"/>
          <w:sz w:val="22"/>
          <w:szCs w:val="22"/>
        </w:rPr>
        <w:id w:val="2095744802"/>
        <w:docPartObj>
          <w:docPartGallery w:val="Bibliographies"/>
          <w:docPartUnique/>
        </w:docPartObj>
      </w:sdtPr>
      <w:sdtContent>
        <w:p w14:paraId="4D6D627F" w14:textId="16D5F514" w:rsidR="00D03A40" w:rsidRPr="00567E6C" w:rsidRDefault="00D03A40">
          <w:pPr>
            <w:pStyle w:val="Heading1"/>
            <w:rPr>
              <w:rFonts w:cstheme="minorHAnsi"/>
            </w:rPr>
          </w:pPr>
        </w:p>
        <w:sdt>
          <w:sdtPr>
            <w:rPr>
              <w:rFonts w:asciiTheme="minorHAnsi" w:eastAsiaTheme="minorHAnsi" w:hAnsiTheme="minorHAnsi" w:cstheme="minorHAnsi"/>
            </w:rPr>
            <w:id w:val="-573587230"/>
            <w:bibliography/>
          </w:sdtPr>
          <w:sdtEndPr>
            <w:rPr>
              <w:rFonts w:ascii="Calibri" w:hAnsi="Calibri"/>
            </w:rPr>
          </w:sdtEndPr>
          <w:sdtContent>
            <w:p w14:paraId="366A186E" w14:textId="77777777" w:rsidR="00D03A40" w:rsidRPr="00567E6C" w:rsidRDefault="00D03A40" w:rsidP="002D32CF">
              <w:pPr>
                <w:pStyle w:val="Bibliography"/>
                <w:ind w:left="0" w:firstLine="0"/>
                <w:rPr>
                  <w:rFonts w:asciiTheme="minorHAnsi" w:hAnsiTheme="minorHAnsi" w:cstheme="minorHAnsi"/>
                  <w:noProof/>
                  <w:sz w:val="24"/>
                  <w:szCs w:val="24"/>
                </w:rPr>
              </w:pPr>
              <w:r w:rsidRPr="0614FEAD">
                <w:rPr>
                  <w:rFonts w:asciiTheme="minorHAnsi" w:hAnsiTheme="minorHAnsi" w:cstheme="minorBidi"/>
                </w:rPr>
                <w:fldChar w:fldCharType="begin"/>
              </w:r>
              <w:r w:rsidRPr="20A6508D">
                <w:rPr>
                  <w:rFonts w:asciiTheme="minorHAnsi" w:hAnsiTheme="minorHAnsi" w:cstheme="minorBidi"/>
                </w:rPr>
                <w:instrText xml:space="preserve"> BIBLIOGRAPHY </w:instrText>
              </w:r>
              <w:r w:rsidRPr="0614FEAD">
                <w:rPr>
                  <w:rFonts w:asciiTheme="minorHAnsi" w:hAnsiTheme="minorHAnsi" w:cstheme="minorBidi"/>
                </w:rPr>
                <w:fldChar w:fldCharType="separate"/>
              </w:r>
              <w:r w:rsidRPr="20A6508D">
                <w:rPr>
                  <w:rFonts w:asciiTheme="minorHAnsi" w:hAnsiTheme="minorHAnsi" w:cstheme="minorBidi"/>
                </w:rPr>
                <w:t xml:space="preserve">Association of Bay Area Governments. (2021). </w:t>
              </w:r>
              <w:r w:rsidRPr="20A6508D">
                <w:rPr>
                  <w:rFonts w:asciiTheme="minorHAnsi" w:hAnsiTheme="minorHAnsi" w:cstheme="minorBidi"/>
                  <w:i/>
                </w:rPr>
                <w:t>Plan Bay Area 2050 Forecasting and Modeling Report.</w:t>
              </w:r>
              <w:r w:rsidRPr="20A6508D">
                <w:rPr>
                  <w:rFonts w:asciiTheme="minorHAnsi" w:hAnsiTheme="minorHAnsi" w:cstheme="minorBidi"/>
                </w:rPr>
                <w:t xml:space="preserve"> San Francisco.</w:t>
              </w:r>
            </w:p>
            <w:p w14:paraId="1F37FDEB"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Carson Area Metropolitan Planning Organization. (2024). </w:t>
              </w:r>
              <w:r w:rsidRPr="20A6508D">
                <w:rPr>
                  <w:rFonts w:asciiTheme="minorHAnsi" w:hAnsiTheme="minorHAnsi" w:cstheme="minorBidi"/>
                  <w:i/>
                </w:rPr>
                <w:t>2050 Regional Transportation Plan.</w:t>
              </w:r>
              <w:r w:rsidRPr="20A6508D">
                <w:rPr>
                  <w:rFonts w:asciiTheme="minorHAnsi" w:hAnsiTheme="minorHAnsi" w:cstheme="minorBidi"/>
                </w:rPr>
                <w:t xml:space="preserve"> Carson City, Nevada.</w:t>
              </w:r>
            </w:p>
            <w:p w14:paraId="4214EA07"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City of South Lake Tahoe. (n.d.). </w:t>
              </w:r>
              <w:r w:rsidRPr="20A6508D">
                <w:rPr>
                  <w:rFonts w:asciiTheme="minorHAnsi" w:hAnsiTheme="minorHAnsi" w:cstheme="minorBidi"/>
                  <w:i/>
                </w:rPr>
                <w:t>Measure T</w:t>
              </w:r>
              <w:r w:rsidRPr="20A6508D">
                <w:rPr>
                  <w:rFonts w:asciiTheme="minorHAnsi" w:hAnsiTheme="minorHAnsi" w:cstheme="minorBidi"/>
                </w:rPr>
                <w:t>. Retrieved from City of South Lake Tahoe: https://cityofslt.us/2418/Measure-T</w:t>
              </w:r>
            </w:p>
            <w:p w14:paraId="3762D739"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Douglas County Board of County Commissioners. (2024, March 21). Chapter 20.622: Lake Tahoe Vacation Home Rentals. </w:t>
              </w:r>
              <w:r w:rsidRPr="20A6508D">
                <w:rPr>
                  <w:rFonts w:asciiTheme="minorHAnsi" w:hAnsiTheme="minorHAnsi" w:cstheme="minorBidi"/>
                  <w:i/>
                </w:rPr>
                <w:t>Douglas County Code</w:t>
              </w:r>
              <w:r w:rsidRPr="20A6508D">
                <w:rPr>
                  <w:rFonts w:asciiTheme="minorHAnsi" w:hAnsiTheme="minorHAnsi" w:cstheme="minorBidi"/>
                </w:rPr>
                <w:t>. Minden, Nevada: Douglas County. Retrieved from https://www.douglascountynv.gov/common/pages/DownloadFileByUrl.aspx?key=Saa9swlNqveUYCQRdoh9q6nHI4aw3oLFXiatih5MFm5SIGRV3cTmKuWcX%2f%2bel8qQwh2ceV0q8iKNsz52mT9Oz5X8MpJMUaxgXopGsO0fimm9EiFcmvaC6Utgv9XvNa2ZYC%2buVUaaZBRBn570fSbtJmfBpgnLWZjbkuVsmolx%2bxoMv64</w:t>
              </w:r>
            </w:p>
            <w:p w14:paraId="65E786E3"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El Dorado County. (n.d.). </w:t>
              </w:r>
              <w:r w:rsidRPr="20A6508D">
                <w:rPr>
                  <w:rFonts w:asciiTheme="minorHAnsi" w:hAnsiTheme="minorHAnsi" w:cstheme="minorBidi"/>
                  <w:i/>
                </w:rPr>
                <w:t>VHR Ordinance Information</w:t>
              </w:r>
              <w:r w:rsidRPr="20A6508D">
                <w:rPr>
                  <w:rFonts w:asciiTheme="minorHAnsi" w:hAnsiTheme="minorHAnsi" w:cstheme="minorBidi"/>
                </w:rPr>
                <w:t>. Retrieved from El Dorado County: https://www.eldoradocounty.ca.gov/Services/My-Property/Vacation-Home-Rentals-Division/VHR-Ordinance-Information</w:t>
              </w:r>
            </w:p>
            <w:p w14:paraId="7E2EA2DB"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Placer County Code Enforcement Services. (2024). </w:t>
              </w:r>
              <w:r w:rsidRPr="20A6508D">
                <w:rPr>
                  <w:rFonts w:asciiTheme="minorHAnsi" w:hAnsiTheme="minorHAnsi" w:cstheme="minorBidi"/>
                  <w:i/>
                </w:rPr>
                <w:t>Short-Term Vacation Rental Program</w:t>
              </w:r>
              <w:r w:rsidRPr="20A6508D">
                <w:rPr>
                  <w:rFonts w:asciiTheme="minorHAnsi" w:hAnsiTheme="minorHAnsi" w:cstheme="minorBidi"/>
                </w:rPr>
                <w:t>. Retrieved from Placer County Community Development Resource Agence: https://www.placer.ca.gov/6109/Short-Term-Rental-Program</w:t>
              </w:r>
            </w:p>
            <w:p w14:paraId="5E2A9714"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Regional Transportation Commission of Washoe County. (2024). </w:t>
              </w:r>
              <w:r w:rsidRPr="20A6508D">
                <w:rPr>
                  <w:rFonts w:asciiTheme="minorHAnsi" w:hAnsiTheme="minorHAnsi" w:cstheme="minorBidi"/>
                  <w:i/>
                </w:rPr>
                <w:t>2050 Regional Transportation Plan.</w:t>
              </w:r>
              <w:r w:rsidRPr="20A6508D">
                <w:rPr>
                  <w:rFonts w:asciiTheme="minorHAnsi" w:hAnsiTheme="minorHAnsi" w:cstheme="minorBidi"/>
                </w:rPr>
                <w:t xml:space="preserve"> Reno, Nevada.</w:t>
              </w:r>
            </w:p>
            <w:p w14:paraId="22F2CD48"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Reno-Tahoe Airport Authority. (2024, October). </w:t>
              </w:r>
              <w:r w:rsidRPr="20A6508D">
                <w:rPr>
                  <w:rFonts w:asciiTheme="minorHAnsi" w:hAnsiTheme="minorHAnsi" w:cstheme="minorBidi"/>
                  <w:i/>
                </w:rPr>
                <w:t>About the Reno-Tahoe Airport Authority</w:t>
              </w:r>
              <w:r w:rsidRPr="20A6508D">
                <w:rPr>
                  <w:rFonts w:asciiTheme="minorHAnsi" w:hAnsiTheme="minorHAnsi" w:cstheme="minorBidi"/>
                </w:rPr>
                <w:t>. Retrieved from Reno-Tahoe International Airport: https://www.renoairport.com/airport-authority/about/</w:t>
              </w:r>
            </w:p>
            <w:p w14:paraId="57BA1607"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Sacramento Area Council of Governments. (2022). </w:t>
              </w:r>
              <w:r w:rsidRPr="20A6508D">
                <w:rPr>
                  <w:rFonts w:asciiTheme="minorHAnsi" w:hAnsiTheme="minorHAnsi" w:cstheme="minorBidi"/>
                  <w:i/>
                </w:rPr>
                <w:t>Sacramento Region Draft Growth Projections.</w:t>
              </w:r>
              <w:r w:rsidRPr="20A6508D">
                <w:rPr>
                  <w:rFonts w:asciiTheme="minorHAnsi" w:hAnsiTheme="minorHAnsi" w:cstheme="minorBidi"/>
                </w:rPr>
                <w:t xml:space="preserve"> Sacramento, California.</w:t>
              </w:r>
            </w:p>
            <w:p w14:paraId="18EBE057"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U.S. Department of Commerce. (2022). </w:t>
              </w:r>
              <w:r w:rsidRPr="20A6508D">
                <w:rPr>
                  <w:rFonts w:asciiTheme="minorHAnsi" w:hAnsiTheme="minorHAnsi" w:cstheme="minorBidi"/>
                  <w:i/>
                </w:rPr>
                <w:t>American Community Survey.</w:t>
              </w:r>
              <w:r w:rsidRPr="20A6508D">
                <w:rPr>
                  <w:rFonts w:asciiTheme="minorHAnsi" w:hAnsiTheme="minorHAnsi" w:cstheme="minorBidi"/>
                </w:rPr>
                <w:t xml:space="preserve"> Washington, DC.</w:t>
              </w:r>
            </w:p>
            <w:p w14:paraId="2C0A1C42"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U.S. Department of Commerce. (2023). </w:t>
              </w:r>
              <w:r w:rsidRPr="20A6508D">
                <w:rPr>
                  <w:rFonts w:asciiTheme="minorHAnsi" w:hAnsiTheme="minorHAnsi" w:cstheme="minorBidi"/>
                  <w:i/>
                </w:rPr>
                <w:t>H14: Occupied Housing Units.</w:t>
              </w:r>
              <w:r w:rsidRPr="20A6508D">
                <w:rPr>
                  <w:rFonts w:asciiTheme="minorHAnsi" w:hAnsiTheme="minorHAnsi" w:cstheme="minorBidi"/>
                </w:rPr>
                <w:t xml:space="preserve"> Washington, DC.</w:t>
              </w:r>
            </w:p>
            <w:p w14:paraId="1AEAE1BA"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Washoe County Community Services Department. (2024, July 1). </w:t>
              </w:r>
              <w:r w:rsidRPr="20A6508D">
                <w:rPr>
                  <w:rFonts w:asciiTheme="minorHAnsi" w:hAnsiTheme="minorHAnsi" w:cstheme="minorBidi"/>
                  <w:i/>
                </w:rPr>
                <w:t>Short Term Rentals</w:t>
              </w:r>
              <w:r w:rsidRPr="20A6508D">
                <w:rPr>
                  <w:rFonts w:asciiTheme="minorHAnsi" w:hAnsiTheme="minorHAnsi" w:cstheme="minorBidi"/>
                </w:rPr>
                <w:t>. Retrieved from Washoe County, Nevada: https://www.washoecounty.gov/csd/planning_and_development/short_term_rentals/index.php</w:t>
              </w:r>
            </w:p>
            <w:p w14:paraId="5186E3E7" w14:textId="77777777" w:rsidR="002D32CF" w:rsidRDefault="00D03A40" w:rsidP="002D32CF">
              <w:pPr>
                <w:rPr>
                  <w:rFonts w:eastAsiaTheme="minorEastAsia"/>
                </w:rPr>
              </w:pPr>
              <w:r w:rsidRPr="0614FEAD">
                <w:rPr>
                  <w:b/>
                </w:rPr>
                <w:fldChar w:fldCharType="end"/>
              </w:r>
            </w:p>
          </w:sdtContent>
        </w:sdt>
      </w:sdtContent>
    </w:sdt>
    <w:p w14:paraId="35F61201" w14:textId="0260AAD8" w:rsidR="00BF5B1F" w:rsidRDefault="00096EF3" w:rsidP="002D32CF">
      <w:r>
        <w:br w:type="page"/>
      </w:r>
    </w:p>
    <w:sectPr w:rsidR="00BF5B1F" w:rsidSect="006236BE">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drew McClary" w:date="2026-05-29T15:31:00Z" w:initials="AM">
    <w:p w14:paraId="5A6432C8" w14:textId="77777777" w:rsidR="001815D6" w:rsidRDefault="001815D6" w:rsidP="001815D6">
      <w:pPr>
        <w:pStyle w:val="CommentText"/>
      </w:pPr>
      <w:r>
        <w:rPr>
          <w:rStyle w:val="CommentReference"/>
        </w:rPr>
        <w:annotationRef/>
      </w:r>
      <w:r>
        <w:t>Common assumption across scenarios</w:t>
      </w:r>
    </w:p>
  </w:comment>
  <w:comment w:id="6" w:author="Andrew McClary" w:date="2026-05-29T15:31:00Z" w:initials="AM">
    <w:p w14:paraId="4E894221" w14:textId="77777777" w:rsidR="001815D6" w:rsidRDefault="001815D6" w:rsidP="001815D6">
      <w:pPr>
        <w:pStyle w:val="CommentText"/>
      </w:pPr>
      <w:r>
        <w:rPr>
          <w:rStyle w:val="CommentReference"/>
        </w:rPr>
        <w:annotationRef/>
      </w:r>
      <w:r>
        <w:t>Need to update this</w:t>
      </w:r>
    </w:p>
  </w:comment>
  <w:comment w:id="7" w:author="Andrew McClary" w:date="2026-05-29T15:32:00Z" w:initials="AM">
    <w:p w14:paraId="1AD62F8C" w14:textId="77777777" w:rsidR="001815D6" w:rsidRDefault="001815D6" w:rsidP="001815D6">
      <w:pPr>
        <w:pStyle w:val="CommentText"/>
      </w:pPr>
      <w:r>
        <w:rPr>
          <w:rStyle w:val="CommentReference"/>
        </w:rPr>
        <w:annotationRef/>
      </w:r>
      <w:r>
        <w:t>Good call</w:t>
      </w:r>
    </w:p>
  </w:comment>
  <w:comment w:id="8" w:author="Andrew McClary" w:date="2026-05-29T15:32:00Z" w:initials="AM">
    <w:p w14:paraId="0C83BEF8" w14:textId="77777777" w:rsidR="001815D6" w:rsidRDefault="001815D6" w:rsidP="001815D6">
      <w:pPr>
        <w:pStyle w:val="CommentText"/>
      </w:pPr>
      <w:r>
        <w:rPr>
          <w:rStyle w:val="CommentReference"/>
        </w:rPr>
        <w:annotationRef/>
      </w:r>
      <w:r>
        <w:t>Update</w:t>
      </w:r>
    </w:p>
  </w:comment>
  <w:comment w:id="9" w:author="Andrew McClary" w:date="2026-05-29T15:33:00Z" w:initials="AM">
    <w:p w14:paraId="25251C61" w14:textId="77777777" w:rsidR="001815D6" w:rsidRDefault="001815D6" w:rsidP="001815D6">
      <w:pPr>
        <w:pStyle w:val="CommentText"/>
      </w:pPr>
      <w:r>
        <w:rPr>
          <w:rStyle w:val="CommentReference"/>
        </w:rPr>
        <w:annotationRef/>
      </w:r>
      <w:r>
        <w:t>Update</w:t>
      </w:r>
    </w:p>
  </w:comment>
  <w:comment w:id="10" w:author="Andrew McClary" w:date="2026-05-29T15:33:00Z" w:initials="AM">
    <w:p w14:paraId="76146805" w14:textId="77777777" w:rsidR="001815D6" w:rsidRDefault="001815D6" w:rsidP="001815D6">
      <w:pPr>
        <w:pStyle w:val="CommentText"/>
      </w:pPr>
      <w:r>
        <w:rPr>
          <w:rStyle w:val="CommentReference"/>
        </w:rPr>
        <w:annotationRef/>
      </w:r>
      <w:r>
        <w:t>Update</w:t>
      </w:r>
    </w:p>
  </w:comment>
  <w:comment w:id="11" w:author="Andrew McClary" w:date="2026-05-29T15:33:00Z" w:initials="AM">
    <w:p w14:paraId="07153565" w14:textId="77777777" w:rsidR="001815D6" w:rsidRDefault="001815D6" w:rsidP="001815D6">
      <w:pPr>
        <w:pStyle w:val="CommentText"/>
      </w:pPr>
      <w:r>
        <w:rPr>
          <w:rStyle w:val="CommentReference"/>
        </w:rPr>
        <w:annotationRef/>
      </w:r>
      <w:r>
        <w:t>Add language about this for Alt 3</w:t>
      </w:r>
    </w:p>
  </w:comment>
  <w:comment w:id="12" w:author="Andrew McClary" w:date="2026-05-29T15:37:00Z" w:initials="AM">
    <w:p w14:paraId="3338F838" w14:textId="77777777" w:rsidR="001815D6" w:rsidRDefault="001815D6" w:rsidP="001815D6">
      <w:pPr>
        <w:pStyle w:val="CommentText"/>
      </w:pPr>
      <w:r>
        <w:rPr>
          <w:rStyle w:val="CommentReference"/>
        </w:rPr>
        <w:annotationRef/>
      </w:r>
      <w:r>
        <w:t>Need to update to talk about the increase in jobs that we included in scenario 2 and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432C8" w15:done="0"/>
  <w15:commentEx w15:paraId="4E894221" w15:done="0"/>
  <w15:commentEx w15:paraId="1AD62F8C" w15:done="0"/>
  <w15:commentEx w15:paraId="0C83BEF8" w15:done="0"/>
  <w15:commentEx w15:paraId="25251C61" w15:done="0"/>
  <w15:commentEx w15:paraId="76146805" w15:done="0"/>
  <w15:commentEx w15:paraId="07153565" w15:done="0"/>
  <w15:commentEx w15:paraId="3338F8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2AC5B7" w16cex:dateUtc="2026-05-29T22:31:00Z"/>
  <w16cex:commentExtensible w16cex:durableId="1A6179C8" w16cex:dateUtc="2026-05-29T22:31:00Z"/>
  <w16cex:commentExtensible w16cex:durableId="66B47BC6" w16cex:dateUtc="2026-05-29T22:32:00Z"/>
  <w16cex:commentExtensible w16cex:durableId="5FED2C3E" w16cex:dateUtc="2026-05-29T22:32:00Z"/>
  <w16cex:commentExtensible w16cex:durableId="3F068D8F" w16cex:dateUtc="2026-05-29T22:33:00Z"/>
  <w16cex:commentExtensible w16cex:durableId="7AA11707" w16cex:dateUtc="2026-05-29T22:33:00Z"/>
  <w16cex:commentExtensible w16cex:durableId="4E8FF716" w16cex:dateUtc="2026-05-29T22:33:00Z"/>
  <w16cex:commentExtensible w16cex:durableId="4F4ACF45" w16cex:dateUtc="2026-05-29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432C8" w16cid:durableId="4F2AC5B7"/>
  <w16cid:commentId w16cid:paraId="4E894221" w16cid:durableId="1A6179C8"/>
  <w16cid:commentId w16cid:paraId="1AD62F8C" w16cid:durableId="66B47BC6"/>
  <w16cid:commentId w16cid:paraId="0C83BEF8" w16cid:durableId="5FED2C3E"/>
  <w16cid:commentId w16cid:paraId="25251C61" w16cid:durableId="3F068D8F"/>
  <w16cid:commentId w16cid:paraId="76146805" w16cid:durableId="7AA11707"/>
  <w16cid:commentId w16cid:paraId="07153565" w16cid:durableId="4E8FF716"/>
  <w16cid:commentId w16cid:paraId="3338F838" w16cid:durableId="4F4ACF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E1CC" w14:textId="77777777" w:rsidR="008217D9" w:rsidRDefault="008217D9" w:rsidP="0037772A">
      <w:pPr>
        <w:spacing w:after="0" w:line="240" w:lineRule="auto"/>
      </w:pPr>
      <w:r>
        <w:separator/>
      </w:r>
    </w:p>
  </w:endnote>
  <w:endnote w:type="continuationSeparator" w:id="0">
    <w:p w14:paraId="568831C9" w14:textId="77777777" w:rsidR="008217D9" w:rsidRDefault="008217D9" w:rsidP="0037772A">
      <w:pPr>
        <w:spacing w:after="0" w:line="240" w:lineRule="auto"/>
      </w:pPr>
      <w:r>
        <w:continuationSeparator/>
      </w:r>
    </w:p>
  </w:endnote>
  <w:endnote w:type="continuationNotice" w:id="1">
    <w:p w14:paraId="697B5AA6" w14:textId="77777777" w:rsidR="008217D9" w:rsidRDefault="008217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9C4E" w14:textId="77777777" w:rsidR="008217D9" w:rsidRDefault="008217D9" w:rsidP="0037772A">
      <w:pPr>
        <w:spacing w:after="0" w:line="240" w:lineRule="auto"/>
      </w:pPr>
      <w:r>
        <w:separator/>
      </w:r>
    </w:p>
  </w:footnote>
  <w:footnote w:type="continuationSeparator" w:id="0">
    <w:p w14:paraId="23747145" w14:textId="77777777" w:rsidR="008217D9" w:rsidRDefault="008217D9" w:rsidP="0037772A">
      <w:pPr>
        <w:spacing w:after="0" w:line="240" w:lineRule="auto"/>
      </w:pPr>
      <w:r>
        <w:continuationSeparator/>
      </w:r>
    </w:p>
  </w:footnote>
  <w:footnote w:type="continuationNotice" w:id="1">
    <w:p w14:paraId="7FBB48C7" w14:textId="77777777" w:rsidR="008217D9" w:rsidRDefault="008217D9">
      <w:pPr>
        <w:spacing w:after="0" w:line="240" w:lineRule="auto"/>
      </w:pPr>
    </w:p>
  </w:footnote>
  <w:footnote w:id="2">
    <w:p w14:paraId="3048BF7E" w14:textId="77777777" w:rsidR="00173E66" w:rsidRPr="000A0870" w:rsidRDefault="00173E66" w:rsidP="00173E66">
      <w:pPr>
        <w:pStyle w:val="FootnoteText"/>
        <w:rPr>
          <w:rFonts w:asciiTheme="majorHAnsi" w:hAnsiTheme="majorHAnsi" w:cstheme="majorBidi"/>
        </w:rPr>
      </w:pPr>
      <w:r w:rsidRPr="000A0870">
        <w:rPr>
          <w:rStyle w:val="FootnoteReference"/>
          <w:rFonts w:asciiTheme="majorHAnsi" w:hAnsiTheme="majorHAnsi" w:cstheme="majorHAnsi"/>
        </w:rPr>
        <w:footnoteRef/>
      </w:r>
      <w:r w:rsidRPr="0614FEAD">
        <w:rPr>
          <w:rFonts w:asciiTheme="majorHAnsi" w:hAnsiTheme="majorHAnsi" w:cstheme="majorBidi"/>
        </w:rPr>
        <w:t xml:space="preserve"> See </w:t>
      </w:r>
      <w:hyperlink r:id="rId1" w:history="1">
        <w:r w:rsidRPr="0614FEAD">
          <w:rPr>
            <w:rStyle w:val="Hyperlink"/>
            <w:rFonts w:asciiTheme="majorHAnsi" w:hAnsiTheme="majorHAnsi" w:cstheme="majorBidi"/>
          </w:rPr>
          <w:t>https://tahoe.ca.gov/programs/tahoe-livable-communities/asset-land-sales/</w:t>
        </w:r>
      </w:hyperlink>
      <w:r w:rsidRPr="0614FEAD">
        <w:rPr>
          <w:rFonts w:asciiTheme="majorHAnsi" w:hAnsiTheme="majorHAnsi" w:cstheme="majorBidi"/>
        </w:rPr>
        <w:t xml:space="preserve"> for more details about potential housing development opportunities that have been identified by the California Tahoe Conservancy.</w:t>
      </w:r>
    </w:p>
  </w:footnote>
  <w:footnote w:id="3">
    <w:p w14:paraId="71E71E3C" w14:textId="30395440" w:rsidR="00173E66" w:rsidRPr="008C54FC" w:rsidRDefault="00173E66" w:rsidP="00173E66">
      <w:pPr>
        <w:pStyle w:val="FootnoteText"/>
        <w:rPr>
          <w:rFonts w:asciiTheme="majorHAnsi" w:hAnsiTheme="majorHAnsi" w:cstheme="majorBidi"/>
        </w:rPr>
      </w:pPr>
      <w:r w:rsidRPr="008C54FC">
        <w:rPr>
          <w:rStyle w:val="FootnoteReference"/>
          <w:rFonts w:asciiTheme="majorHAnsi" w:hAnsiTheme="majorHAnsi" w:cstheme="majorHAnsi"/>
        </w:rPr>
        <w:footnoteRef/>
      </w:r>
      <w:r w:rsidRPr="0614FEAD">
        <w:rPr>
          <w:rFonts w:asciiTheme="majorHAnsi" w:hAnsiTheme="majorHAnsi" w:cstheme="majorBidi"/>
        </w:rPr>
        <w:t xml:space="preserve"> See </w:t>
      </w:r>
      <w:hyperlink r:id="rId2" w:history="1">
        <w:r w:rsidRPr="0614FEAD">
          <w:rPr>
            <w:rStyle w:val="Hyperlink"/>
            <w:rFonts w:asciiTheme="majorHAnsi" w:hAnsiTheme="majorHAnsi" w:cstheme="majorBidi"/>
          </w:rPr>
          <w:t>https://www.placer.ca.gov/3396/Housing</w:t>
        </w:r>
      </w:hyperlink>
      <w:r w:rsidRPr="0614FEAD">
        <w:rPr>
          <w:rFonts w:asciiTheme="majorHAnsi" w:hAnsiTheme="majorHAnsi" w:cstheme="majorBidi"/>
        </w:rPr>
        <w:t xml:space="preserve"> for information about potential housing development project opportunities in Placer County</w:t>
      </w:r>
      <w:r w:rsidR="002C12B8" w:rsidRPr="0614FEAD">
        <w:rPr>
          <w:rFonts w:asciiTheme="majorHAnsi" w:hAnsiTheme="majorHAnsi" w:cstheme="majorBidi"/>
        </w:rPr>
        <w:t xml:space="preserve">. </w:t>
      </w:r>
    </w:p>
  </w:footnote>
  <w:footnote w:id="4">
    <w:p w14:paraId="0DFC81FF" w14:textId="77777777" w:rsidR="00D65215" w:rsidRPr="00BA4950" w:rsidRDefault="00D65215" w:rsidP="00D65215">
      <w:pPr>
        <w:pStyle w:val="FootnoteText"/>
        <w:rPr>
          <w:rFonts w:asciiTheme="majorHAnsi" w:hAnsiTheme="majorHAnsi" w:cstheme="majorBidi"/>
        </w:rPr>
      </w:pPr>
      <w:r w:rsidRPr="00BA4950">
        <w:rPr>
          <w:rStyle w:val="FootnoteReference"/>
          <w:rFonts w:asciiTheme="majorHAnsi" w:hAnsiTheme="majorHAnsi" w:cstheme="majorHAnsi"/>
        </w:rPr>
        <w:footnoteRef/>
      </w:r>
      <w:r w:rsidRPr="0614FEAD">
        <w:rPr>
          <w:rFonts w:asciiTheme="majorHAnsi" w:hAnsiTheme="majorHAnsi" w:cstheme="majorBidi"/>
        </w:rPr>
        <w:t xml:space="preserve"> The Sacramento Area Council of Governments (SACOG) includes the counties of El Dorado, Placer, Sacramento, Sutter, Yolo, Yuba and the 22 cities within this six-county region.</w:t>
      </w:r>
    </w:p>
  </w:footnote>
  <w:footnote w:id="5">
    <w:p w14:paraId="2B13C265" w14:textId="77777777" w:rsidR="00D65215" w:rsidRPr="00BA4950" w:rsidRDefault="00D65215" w:rsidP="00D65215">
      <w:pPr>
        <w:pStyle w:val="FootnoteText"/>
        <w:rPr>
          <w:rFonts w:asciiTheme="majorHAnsi" w:hAnsiTheme="majorHAnsi" w:cstheme="majorBidi"/>
        </w:rPr>
      </w:pPr>
      <w:r w:rsidRPr="00BA4950">
        <w:rPr>
          <w:rStyle w:val="FootnoteReference"/>
          <w:rFonts w:asciiTheme="majorHAnsi" w:hAnsiTheme="majorHAnsi" w:cstheme="majorHAnsi"/>
        </w:rPr>
        <w:footnoteRef/>
      </w:r>
      <w:r w:rsidRPr="0614FEAD">
        <w:rPr>
          <w:rFonts w:asciiTheme="majorHAnsi" w:hAnsiTheme="majorHAnsi" w:cstheme="majorBidi"/>
        </w:rPr>
        <w:t xml:space="preserve"> The Association of Bay Area Governments (ABAG) region encompasses Alameda, Contra Costa, Marin, Napa, San Francisco, San Mateo, Santa Clara, Solano and Sonoma counties.</w:t>
      </w:r>
    </w:p>
  </w:footnote>
  <w:footnote w:id="6">
    <w:p w14:paraId="30155D5B" w14:textId="77777777" w:rsidR="00D65215" w:rsidRPr="00BA4950" w:rsidRDefault="00D65215" w:rsidP="00D65215">
      <w:pPr>
        <w:pStyle w:val="FootnoteText"/>
        <w:rPr>
          <w:rFonts w:asciiTheme="majorHAnsi" w:hAnsiTheme="majorHAnsi" w:cstheme="majorBidi"/>
        </w:rPr>
      </w:pPr>
      <w:r w:rsidRPr="00BA4950">
        <w:rPr>
          <w:rStyle w:val="FootnoteReference"/>
          <w:rFonts w:asciiTheme="majorHAnsi" w:hAnsiTheme="majorHAnsi" w:cstheme="majorHAnsi"/>
        </w:rPr>
        <w:footnoteRef/>
      </w:r>
      <w:r w:rsidRPr="0614FEAD">
        <w:rPr>
          <w:rFonts w:asciiTheme="majorHAnsi" w:hAnsiTheme="majorHAnsi" w:cstheme="majorBidi"/>
        </w:rPr>
        <w:t xml:space="preserve"> Regional Transportation Commission (RTC) of Washoe County, Nevada serves the Reno and Sparks areas along with unincorporated areas of Washoe County.</w:t>
      </w:r>
    </w:p>
  </w:footnote>
  <w:footnote w:id="7">
    <w:p w14:paraId="3EAB3C88" w14:textId="77777777" w:rsidR="00D65215" w:rsidRDefault="00D65215" w:rsidP="00D65215">
      <w:pPr>
        <w:pStyle w:val="FootnoteText"/>
      </w:pPr>
      <w:r w:rsidRPr="00BA4950">
        <w:rPr>
          <w:rStyle w:val="FootnoteReference"/>
          <w:rFonts w:asciiTheme="majorHAnsi" w:hAnsiTheme="majorHAnsi" w:cstheme="majorHAnsi"/>
        </w:rPr>
        <w:footnoteRef/>
      </w:r>
      <w:r w:rsidRPr="0614FEAD">
        <w:rPr>
          <w:rFonts w:asciiTheme="majorHAnsi" w:hAnsiTheme="majorHAnsi" w:cstheme="majorBidi"/>
        </w:rPr>
        <w:t xml:space="preserve"> The Carson Area Metropolitan Planning Organization (CAMPO)</w:t>
      </w:r>
      <w:r w:rsidRPr="0614FEAD" w:rsidDel="00276220">
        <w:rPr>
          <w:rFonts w:asciiTheme="majorHAnsi" w:hAnsiTheme="majorHAnsi" w:cstheme="majorBidi"/>
        </w:rPr>
        <w:t xml:space="preserve"> </w:t>
      </w:r>
      <w:r w:rsidRPr="0614FEAD">
        <w:rPr>
          <w:rFonts w:asciiTheme="majorHAnsi" w:hAnsiTheme="majorHAnsi" w:cstheme="majorBidi"/>
        </w:rPr>
        <w:t>covers the Carson City urbanized area, which consists of Carson City, northern Douglas County, and western Lyon County.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FAF"/>
    <w:multiLevelType w:val="hybridMultilevel"/>
    <w:tmpl w:val="CC7AF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3659D"/>
    <w:multiLevelType w:val="multilevel"/>
    <w:tmpl w:val="1D5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D080A"/>
    <w:multiLevelType w:val="hybridMultilevel"/>
    <w:tmpl w:val="57FA9780"/>
    <w:lvl w:ilvl="0" w:tplc="B9DA8260">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C2F9E"/>
    <w:multiLevelType w:val="multilevel"/>
    <w:tmpl w:val="068A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50583"/>
    <w:multiLevelType w:val="multilevel"/>
    <w:tmpl w:val="26FACE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95269"/>
    <w:multiLevelType w:val="multilevel"/>
    <w:tmpl w:val="96B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019FD"/>
    <w:multiLevelType w:val="hybridMultilevel"/>
    <w:tmpl w:val="795AFA3C"/>
    <w:lvl w:ilvl="0" w:tplc="3B4066F8">
      <w:start w:val="1"/>
      <w:numFmt w:val="bullet"/>
      <w:lvlText w:val=""/>
      <w:lvlJc w:val="left"/>
      <w:pPr>
        <w:ind w:left="720" w:hanging="360"/>
      </w:pPr>
      <w:rPr>
        <w:rFonts w:ascii="Symbol" w:hAnsi="Symbol" w:hint="default"/>
      </w:rPr>
    </w:lvl>
    <w:lvl w:ilvl="1" w:tplc="BC1CF212" w:tentative="1">
      <w:start w:val="1"/>
      <w:numFmt w:val="bullet"/>
      <w:lvlText w:val="o"/>
      <w:lvlJc w:val="left"/>
      <w:pPr>
        <w:ind w:left="1440" w:hanging="360"/>
      </w:pPr>
      <w:rPr>
        <w:rFonts w:ascii="Courier New" w:hAnsi="Courier New" w:hint="default"/>
      </w:rPr>
    </w:lvl>
    <w:lvl w:ilvl="2" w:tplc="589CD9A8" w:tentative="1">
      <w:start w:val="1"/>
      <w:numFmt w:val="bullet"/>
      <w:lvlText w:val=""/>
      <w:lvlJc w:val="left"/>
      <w:pPr>
        <w:ind w:left="2160" w:hanging="360"/>
      </w:pPr>
      <w:rPr>
        <w:rFonts w:ascii="Wingdings" w:hAnsi="Wingdings" w:hint="default"/>
      </w:rPr>
    </w:lvl>
    <w:lvl w:ilvl="3" w:tplc="9320D42E" w:tentative="1">
      <w:start w:val="1"/>
      <w:numFmt w:val="bullet"/>
      <w:lvlText w:val=""/>
      <w:lvlJc w:val="left"/>
      <w:pPr>
        <w:ind w:left="2880" w:hanging="360"/>
      </w:pPr>
      <w:rPr>
        <w:rFonts w:ascii="Symbol" w:hAnsi="Symbol" w:hint="default"/>
      </w:rPr>
    </w:lvl>
    <w:lvl w:ilvl="4" w:tplc="9DAC727A" w:tentative="1">
      <w:start w:val="1"/>
      <w:numFmt w:val="bullet"/>
      <w:lvlText w:val="o"/>
      <w:lvlJc w:val="left"/>
      <w:pPr>
        <w:ind w:left="3600" w:hanging="360"/>
      </w:pPr>
      <w:rPr>
        <w:rFonts w:ascii="Courier New" w:hAnsi="Courier New" w:hint="default"/>
      </w:rPr>
    </w:lvl>
    <w:lvl w:ilvl="5" w:tplc="3AFE8512" w:tentative="1">
      <w:start w:val="1"/>
      <w:numFmt w:val="bullet"/>
      <w:lvlText w:val=""/>
      <w:lvlJc w:val="left"/>
      <w:pPr>
        <w:ind w:left="4320" w:hanging="360"/>
      </w:pPr>
      <w:rPr>
        <w:rFonts w:ascii="Wingdings" w:hAnsi="Wingdings" w:hint="default"/>
      </w:rPr>
    </w:lvl>
    <w:lvl w:ilvl="6" w:tplc="8196E012" w:tentative="1">
      <w:start w:val="1"/>
      <w:numFmt w:val="bullet"/>
      <w:lvlText w:val=""/>
      <w:lvlJc w:val="left"/>
      <w:pPr>
        <w:ind w:left="5040" w:hanging="360"/>
      </w:pPr>
      <w:rPr>
        <w:rFonts w:ascii="Symbol" w:hAnsi="Symbol" w:hint="default"/>
      </w:rPr>
    </w:lvl>
    <w:lvl w:ilvl="7" w:tplc="A40C078A" w:tentative="1">
      <w:start w:val="1"/>
      <w:numFmt w:val="bullet"/>
      <w:lvlText w:val="o"/>
      <w:lvlJc w:val="left"/>
      <w:pPr>
        <w:ind w:left="5760" w:hanging="360"/>
      </w:pPr>
      <w:rPr>
        <w:rFonts w:ascii="Courier New" w:hAnsi="Courier New" w:hint="default"/>
      </w:rPr>
    </w:lvl>
    <w:lvl w:ilvl="8" w:tplc="AC84D46C" w:tentative="1">
      <w:start w:val="1"/>
      <w:numFmt w:val="bullet"/>
      <w:lvlText w:val=""/>
      <w:lvlJc w:val="left"/>
      <w:pPr>
        <w:ind w:left="6480" w:hanging="360"/>
      </w:pPr>
      <w:rPr>
        <w:rFonts w:ascii="Wingdings" w:hAnsi="Wingdings" w:hint="default"/>
      </w:rPr>
    </w:lvl>
  </w:abstractNum>
  <w:abstractNum w:abstractNumId="7" w15:restartNumberingAfterBreak="0">
    <w:nsid w:val="2AF69F33"/>
    <w:multiLevelType w:val="hybridMultilevel"/>
    <w:tmpl w:val="FFFFFFFF"/>
    <w:lvl w:ilvl="0" w:tplc="5C06A62C">
      <w:start w:val="1"/>
      <w:numFmt w:val="bullet"/>
      <w:lvlText w:val=""/>
      <w:lvlJc w:val="left"/>
      <w:pPr>
        <w:ind w:left="720" w:hanging="360"/>
      </w:pPr>
      <w:rPr>
        <w:rFonts w:ascii="Wingdings 3" w:hAnsi="Wingdings 3" w:hint="default"/>
      </w:rPr>
    </w:lvl>
    <w:lvl w:ilvl="1" w:tplc="85F0AA4A">
      <w:start w:val="1"/>
      <w:numFmt w:val="bullet"/>
      <w:lvlText w:val="o"/>
      <w:lvlJc w:val="left"/>
      <w:pPr>
        <w:ind w:left="1440" w:hanging="360"/>
      </w:pPr>
      <w:rPr>
        <w:rFonts w:ascii="Courier New" w:hAnsi="Courier New" w:hint="default"/>
      </w:rPr>
    </w:lvl>
    <w:lvl w:ilvl="2" w:tplc="4790AB3C">
      <w:start w:val="1"/>
      <w:numFmt w:val="bullet"/>
      <w:lvlText w:val=""/>
      <w:lvlJc w:val="left"/>
      <w:pPr>
        <w:ind w:left="2160" w:hanging="360"/>
      </w:pPr>
      <w:rPr>
        <w:rFonts w:ascii="Wingdings" w:hAnsi="Wingdings" w:hint="default"/>
      </w:rPr>
    </w:lvl>
    <w:lvl w:ilvl="3" w:tplc="93407E04">
      <w:start w:val="1"/>
      <w:numFmt w:val="bullet"/>
      <w:lvlText w:val=""/>
      <w:lvlJc w:val="left"/>
      <w:pPr>
        <w:ind w:left="2880" w:hanging="360"/>
      </w:pPr>
      <w:rPr>
        <w:rFonts w:ascii="Symbol" w:hAnsi="Symbol" w:hint="default"/>
      </w:rPr>
    </w:lvl>
    <w:lvl w:ilvl="4" w:tplc="E6A86E10">
      <w:start w:val="1"/>
      <w:numFmt w:val="bullet"/>
      <w:lvlText w:val="o"/>
      <w:lvlJc w:val="left"/>
      <w:pPr>
        <w:ind w:left="3600" w:hanging="360"/>
      </w:pPr>
      <w:rPr>
        <w:rFonts w:ascii="Courier New" w:hAnsi="Courier New" w:hint="default"/>
      </w:rPr>
    </w:lvl>
    <w:lvl w:ilvl="5" w:tplc="E7D695BC">
      <w:start w:val="1"/>
      <w:numFmt w:val="bullet"/>
      <w:lvlText w:val=""/>
      <w:lvlJc w:val="left"/>
      <w:pPr>
        <w:ind w:left="4320" w:hanging="360"/>
      </w:pPr>
      <w:rPr>
        <w:rFonts w:ascii="Wingdings" w:hAnsi="Wingdings" w:hint="default"/>
      </w:rPr>
    </w:lvl>
    <w:lvl w:ilvl="6" w:tplc="EE282C22">
      <w:start w:val="1"/>
      <w:numFmt w:val="bullet"/>
      <w:lvlText w:val=""/>
      <w:lvlJc w:val="left"/>
      <w:pPr>
        <w:ind w:left="5040" w:hanging="360"/>
      </w:pPr>
      <w:rPr>
        <w:rFonts w:ascii="Symbol" w:hAnsi="Symbol" w:hint="default"/>
      </w:rPr>
    </w:lvl>
    <w:lvl w:ilvl="7" w:tplc="95242C2C">
      <w:start w:val="1"/>
      <w:numFmt w:val="bullet"/>
      <w:lvlText w:val="o"/>
      <w:lvlJc w:val="left"/>
      <w:pPr>
        <w:ind w:left="5760" w:hanging="360"/>
      </w:pPr>
      <w:rPr>
        <w:rFonts w:ascii="Courier New" w:hAnsi="Courier New" w:hint="default"/>
      </w:rPr>
    </w:lvl>
    <w:lvl w:ilvl="8" w:tplc="1CCE7942">
      <w:start w:val="1"/>
      <w:numFmt w:val="bullet"/>
      <w:lvlText w:val=""/>
      <w:lvlJc w:val="left"/>
      <w:pPr>
        <w:ind w:left="6480" w:hanging="360"/>
      </w:pPr>
      <w:rPr>
        <w:rFonts w:ascii="Wingdings" w:hAnsi="Wingdings" w:hint="default"/>
      </w:rPr>
    </w:lvl>
  </w:abstractNum>
  <w:abstractNum w:abstractNumId="8" w15:restartNumberingAfterBreak="0">
    <w:nsid w:val="32AC2E62"/>
    <w:multiLevelType w:val="hybridMultilevel"/>
    <w:tmpl w:val="26780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DFFEC9"/>
    <w:multiLevelType w:val="hybridMultilevel"/>
    <w:tmpl w:val="FFFFFFFF"/>
    <w:lvl w:ilvl="0" w:tplc="BCCC92E2">
      <w:start w:val="1"/>
      <w:numFmt w:val="bullet"/>
      <w:lvlText w:val=""/>
      <w:lvlJc w:val="left"/>
      <w:pPr>
        <w:ind w:left="720" w:hanging="360"/>
      </w:pPr>
      <w:rPr>
        <w:rFonts w:ascii="Wingdings 3" w:hAnsi="Wingdings 3" w:hint="default"/>
      </w:rPr>
    </w:lvl>
    <w:lvl w:ilvl="1" w:tplc="87F080E0">
      <w:start w:val="1"/>
      <w:numFmt w:val="bullet"/>
      <w:lvlText w:val="o"/>
      <w:lvlJc w:val="left"/>
      <w:pPr>
        <w:ind w:left="1440" w:hanging="360"/>
      </w:pPr>
      <w:rPr>
        <w:rFonts w:ascii="Courier New" w:hAnsi="Courier New" w:hint="default"/>
      </w:rPr>
    </w:lvl>
    <w:lvl w:ilvl="2" w:tplc="92FC7240">
      <w:start w:val="1"/>
      <w:numFmt w:val="bullet"/>
      <w:lvlText w:val=""/>
      <w:lvlJc w:val="left"/>
      <w:pPr>
        <w:ind w:left="2160" w:hanging="360"/>
      </w:pPr>
      <w:rPr>
        <w:rFonts w:ascii="Wingdings" w:hAnsi="Wingdings" w:hint="default"/>
      </w:rPr>
    </w:lvl>
    <w:lvl w:ilvl="3" w:tplc="71460520">
      <w:start w:val="1"/>
      <w:numFmt w:val="bullet"/>
      <w:lvlText w:val=""/>
      <w:lvlJc w:val="left"/>
      <w:pPr>
        <w:ind w:left="2880" w:hanging="360"/>
      </w:pPr>
      <w:rPr>
        <w:rFonts w:ascii="Symbol" w:hAnsi="Symbol" w:hint="default"/>
      </w:rPr>
    </w:lvl>
    <w:lvl w:ilvl="4" w:tplc="05C8243C">
      <w:start w:val="1"/>
      <w:numFmt w:val="bullet"/>
      <w:lvlText w:val="o"/>
      <w:lvlJc w:val="left"/>
      <w:pPr>
        <w:ind w:left="3600" w:hanging="360"/>
      </w:pPr>
      <w:rPr>
        <w:rFonts w:ascii="Courier New" w:hAnsi="Courier New" w:hint="default"/>
      </w:rPr>
    </w:lvl>
    <w:lvl w:ilvl="5" w:tplc="5DFCEB96">
      <w:start w:val="1"/>
      <w:numFmt w:val="bullet"/>
      <w:lvlText w:val=""/>
      <w:lvlJc w:val="left"/>
      <w:pPr>
        <w:ind w:left="4320" w:hanging="360"/>
      </w:pPr>
      <w:rPr>
        <w:rFonts w:ascii="Wingdings" w:hAnsi="Wingdings" w:hint="default"/>
      </w:rPr>
    </w:lvl>
    <w:lvl w:ilvl="6" w:tplc="78F4C7E8">
      <w:start w:val="1"/>
      <w:numFmt w:val="bullet"/>
      <w:lvlText w:val=""/>
      <w:lvlJc w:val="left"/>
      <w:pPr>
        <w:ind w:left="5040" w:hanging="360"/>
      </w:pPr>
      <w:rPr>
        <w:rFonts w:ascii="Symbol" w:hAnsi="Symbol" w:hint="default"/>
      </w:rPr>
    </w:lvl>
    <w:lvl w:ilvl="7" w:tplc="ACE20FAC">
      <w:start w:val="1"/>
      <w:numFmt w:val="bullet"/>
      <w:lvlText w:val="o"/>
      <w:lvlJc w:val="left"/>
      <w:pPr>
        <w:ind w:left="5760" w:hanging="360"/>
      </w:pPr>
      <w:rPr>
        <w:rFonts w:ascii="Courier New" w:hAnsi="Courier New" w:hint="default"/>
      </w:rPr>
    </w:lvl>
    <w:lvl w:ilvl="8" w:tplc="8D1289F8">
      <w:start w:val="1"/>
      <w:numFmt w:val="bullet"/>
      <w:lvlText w:val=""/>
      <w:lvlJc w:val="left"/>
      <w:pPr>
        <w:ind w:left="6480" w:hanging="360"/>
      </w:pPr>
      <w:rPr>
        <w:rFonts w:ascii="Wingdings" w:hAnsi="Wingdings" w:hint="default"/>
      </w:rPr>
    </w:lvl>
  </w:abstractNum>
  <w:abstractNum w:abstractNumId="10" w15:restartNumberingAfterBreak="0">
    <w:nsid w:val="33F4A6F3"/>
    <w:multiLevelType w:val="hybridMultilevel"/>
    <w:tmpl w:val="FFFFFFFF"/>
    <w:lvl w:ilvl="0" w:tplc="2C2280B8">
      <w:start w:val="1"/>
      <w:numFmt w:val="bullet"/>
      <w:lvlText w:val=""/>
      <w:lvlJc w:val="left"/>
      <w:pPr>
        <w:ind w:left="720" w:hanging="360"/>
      </w:pPr>
      <w:rPr>
        <w:rFonts w:ascii="Symbol" w:hAnsi="Symbol" w:hint="default"/>
      </w:rPr>
    </w:lvl>
    <w:lvl w:ilvl="1" w:tplc="ABFC81DA">
      <w:start w:val="1"/>
      <w:numFmt w:val="bullet"/>
      <w:lvlText w:val="o"/>
      <w:lvlJc w:val="left"/>
      <w:pPr>
        <w:ind w:left="1440" w:hanging="360"/>
      </w:pPr>
      <w:rPr>
        <w:rFonts w:ascii="Courier New" w:hAnsi="Courier New" w:hint="default"/>
      </w:rPr>
    </w:lvl>
    <w:lvl w:ilvl="2" w:tplc="18B67394">
      <w:start w:val="1"/>
      <w:numFmt w:val="bullet"/>
      <w:lvlText w:val=""/>
      <w:lvlJc w:val="left"/>
      <w:pPr>
        <w:ind w:left="2160" w:hanging="360"/>
      </w:pPr>
      <w:rPr>
        <w:rFonts w:ascii="Wingdings" w:hAnsi="Wingdings" w:hint="default"/>
      </w:rPr>
    </w:lvl>
    <w:lvl w:ilvl="3" w:tplc="93DE15D2">
      <w:start w:val="1"/>
      <w:numFmt w:val="bullet"/>
      <w:lvlText w:val=""/>
      <w:lvlJc w:val="left"/>
      <w:pPr>
        <w:ind w:left="2880" w:hanging="360"/>
      </w:pPr>
      <w:rPr>
        <w:rFonts w:ascii="Symbol" w:hAnsi="Symbol" w:hint="default"/>
      </w:rPr>
    </w:lvl>
    <w:lvl w:ilvl="4" w:tplc="9774D1D2">
      <w:start w:val="1"/>
      <w:numFmt w:val="bullet"/>
      <w:lvlText w:val="o"/>
      <w:lvlJc w:val="left"/>
      <w:pPr>
        <w:ind w:left="3600" w:hanging="360"/>
      </w:pPr>
      <w:rPr>
        <w:rFonts w:ascii="Courier New" w:hAnsi="Courier New" w:hint="default"/>
      </w:rPr>
    </w:lvl>
    <w:lvl w:ilvl="5" w:tplc="10B8D82A">
      <w:start w:val="1"/>
      <w:numFmt w:val="bullet"/>
      <w:lvlText w:val=""/>
      <w:lvlJc w:val="left"/>
      <w:pPr>
        <w:ind w:left="4320" w:hanging="360"/>
      </w:pPr>
      <w:rPr>
        <w:rFonts w:ascii="Wingdings" w:hAnsi="Wingdings" w:hint="default"/>
      </w:rPr>
    </w:lvl>
    <w:lvl w:ilvl="6" w:tplc="71A6557C">
      <w:start w:val="1"/>
      <w:numFmt w:val="bullet"/>
      <w:lvlText w:val=""/>
      <w:lvlJc w:val="left"/>
      <w:pPr>
        <w:ind w:left="5040" w:hanging="360"/>
      </w:pPr>
      <w:rPr>
        <w:rFonts w:ascii="Symbol" w:hAnsi="Symbol" w:hint="default"/>
      </w:rPr>
    </w:lvl>
    <w:lvl w:ilvl="7" w:tplc="CF963E8C">
      <w:start w:val="1"/>
      <w:numFmt w:val="bullet"/>
      <w:lvlText w:val="o"/>
      <w:lvlJc w:val="left"/>
      <w:pPr>
        <w:ind w:left="5760" w:hanging="360"/>
      </w:pPr>
      <w:rPr>
        <w:rFonts w:ascii="Courier New" w:hAnsi="Courier New" w:hint="default"/>
      </w:rPr>
    </w:lvl>
    <w:lvl w:ilvl="8" w:tplc="09961964">
      <w:start w:val="1"/>
      <w:numFmt w:val="bullet"/>
      <w:lvlText w:val=""/>
      <w:lvlJc w:val="left"/>
      <w:pPr>
        <w:ind w:left="6480" w:hanging="360"/>
      </w:pPr>
      <w:rPr>
        <w:rFonts w:ascii="Wingdings" w:hAnsi="Wingdings" w:hint="default"/>
      </w:rPr>
    </w:lvl>
  </w:abstractNum>
  <w:abstractNum w:abstractNumId="11" w15:restartNumberingAfterBreak="0">
    <w:nsid w:val="34043299"/>
    <w:multiLevelType w:val="multilevel"/>
    <w:tmpl w:val="B5366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473C9"/>
    <w:multiLevelType w:val="hybridMultilevel"/>
    <w:tmpl w:val="FFFFFFFF"/>
    <w:lvl w:ilvl="0" w:tplc="5CC2DA68">
      <w:start w:val="1"/>
      <w:numFmt w:val="bullet"/>
      <w:lvlText w:val=""/>
      <w:lvlJc w:val="left"/>
      <w:pPr>
        <w:ind w:left="720" w:hanging="360"/>
      </w:pPr>
      <w:rPr>
        <w:rFonts w:ascii="Symbol" w:hAnsi="Symbol" w:hint="default"/>
      </w:rPr>
    </w:lvl>
    <w:lvl w:ilvl="1" w:tplc="471A38BE">
      <w:start w:val="1"/>
      <w:numFmt w:val="bullet"/>
      <w:lvlText w:val="o"/>
      <w:lvlJc w:val="left"/>
      <w:pPr>
        <w:ind w:left="1440" w:hanging="360"/>
      </w:pPr>
      <w:rPr>
        <w:rFonts w:ascii="Courier New" w:hAnsi="Courier New" w:hint="default"/>
      </w:rPr>
    </w:lvl>
    <w:lvl w:ilvl="2" w:tplc="193A4992">
      <w:start w:val="1"/>
      <w:numFmt w:val="bullet"/>
      <w:lvlText w:val=""/>
      <w:lvlJc w:val="left"/>
      <w:pPr>
        <w:ind w:left="2160" w:hanging="360"/>
      </w:pPr>
      <w:rPr>
        <w:rFonts w:ascii="Wingdings" w:hAnsi="Wingdings" w:hint="default"/>
      </w:rPr>
    </w:lvl>
    <w:lvl w:ilvl="3" w:tplc="B82E5644">
      <w:start w:val="1"/>
      <w:numFmt w:val="bullet"/>
      <w:lvlText w:val=""/>
      <w:lvlJc w:val="left"/>
      <w:pPr>
        <w:ind w:left="2880" w:hanging="360"/>
      </w:pPr>
      <w:rPr>
        <w:rFonts w:ascii="Symbol" w:hAnsi="Symbol" w:hint="default"/>
      </w:rPr>
    </w:lvl>
    <w:lvl w:ilvl="4" w:tplc="FD48457A">
      <w:start w:val="1"/>
      <w:numFmt w:val="bullet"/>
      <w:lvlText w:val="o"/>
      <w:lvlJc w:val="left"/>
      <w:pPr>
        <w:ind w:left="3600" w:hanging="360"/>
      </w:pPr>
      <w:rPr>
        <w:rFonts w:ascii="Courier New" w:hAnsi="Courier New" w:hint="default"/>
      </w:rPr>
    </w:lvl>
    <w:lvl w:ilvl="5" w:tplc="CA36F422">
      <w:start w:val="1"/>
      <w:numFmt w:val="bullet"/>
      <w:lvlText w:val=""/>
      <w:lvlJc w:val="left"/>
      <w:pPr>
        <w:ind w:left="4320" w:hanging="360"/>
      </w:pPr>
      <w:rPr>
        <w:rFonts w:ascii="Wingdings" w:hAnsi="Wingdings" w:hint="default"/>
      </w:rPr>
    </w:lvl>
    <w:lvl w:ilvl="6" w:tplc="75907194">
      <w:start w:val="1"/>
      <w:numFmt w:val="bullet"/>
      <w:lvlText w:val=""/>
      <w:lvlJc w:val="left"/>
      <w:pPr>
        <w:ind w:left="5040" w:hanging="360"/>
      </w:pPr>
      <w:rPr>
        <w:rFonts w:ascii="Symbol" w:hAnsi="Symbol" w:hint="default"/>
      </w:rPr>
    </w:lvl>
    <w:lvl w:ilvl="7" w:tplc="9EFCB322">
      <w:start w:val="1"/>
      <w:numFmt w:val="bullet"/>
      <w:lvlText w:val="o"/>
      <w:lvlJc w:val="left"/>
      <w:pPr>
        <w:ind w:left="5760" w:hanging="360"/>
      </w:pPr>
      <w:rPr>
        <w:rFonts w:ascii="Courier New" w:hAnsi="Courier New" w:hint="default"/>
      </w:rPr>
    </w:lvl>
    <w:lvl w:ilvl="8" w:tplc="938CE324">
      <w:start w:val="1"/>
      <w:numFmt w:val="bullet"/>
      <w:lvlText w:val=""/>
      <w:lvlJc w:val="left"/>
      <w:pPr>
        <w:ind w:left="6480" w:hanging="360"/>
      </w:pPr>
      <w:rPr>
        <w:rFonts w:ascii="Wingdings" w:hAnsi="Wingdings" w:hint="default"/>
      </w:rPr>
    </w:lvl>
  </w:abstractNum>
  <w:abstractNum w:abstractNumId="13" w15:restartNumberingAfterBreak="0">
    <w:nsid w:val="3DF32948"/>
    <w:multiLevelType w:val="hybridMultilevel"/>
    <w:tmpl w:val="FFFFFFFF"/>
    <w:lvl w:ilvl="0" w:tplc="63C8477A">
      <w:start w:val="1"/>
      <w:numFmt w:val="bullet"/>
      <w:lvlText w:val=""/>
      <w:lvlJc w:val="left"/>
      <w:pPr>
        <w:ind w:left="720" w:hanging="360"/>
      </w:pPr>
      <w:rPr>
        <w:rFonts w:ascii="Wingdings 3" w:hAnsi="Wingdings 3" w:hint="default"/>
      </w:rPr>
    </w:lvl>
    <w:lvl w:ilvl="1" w:tplc="8E807098">
      <w:start w:val="1"/>
      <w:numFmt w:val="bullet"/>
      <w:lvlText w:val="o"/>
      <w:lvlJc w:val="left"/>
      <w:pPr>
        <w:ind w:left="1440" w:hanging="360"/>
      </w:pPr>
      <w:rPr>
        <w:rFonts w:ascii="Courier New" w:hAnsi="Courier New" w:hint="default"/>
      </w:rPr>
    </w:lvl>
    <w:lvl w:ilvl="2" w:tplc="E3A00BA4">
      <w:start w:val="1"/>
      <w:numFmt w:val="bullet"/>
      <w:lvlText w:val=""/>
      <w:lvlJc w:val="left"/>
      <w:pPr>
        <w:ind w:left="2160" w:hanging="360"/>
      </w:pPr>
      <w:rPr>
        <w:rFonts w:ascii="Wingdings" w:hAnsi="Wingdings" w:hint="default"/>
      </w:rPr>
    </w:lvl>
    <w:lvl w:ilvl="3" w:tplc="FF2E3442">
      <w:start w:val="1"/>
      <w:numFmt w:val="bullet"/>
      <w:lvlText w:val=""/>
      <w:lvlJc w:val="left"/>
      <w:pPr>
        <w:ind w:left="2880" w:hanging="360"/>
      </w:pPr>
      <w:rPr>
        <w:rFonts w:ascii="Symbol" w:hAnsi="Symbol" w:hint="default"/>
      </w:rPr>
    </w:lvl>
    <w:lvl w:ilvl="4" w:tplc="43822410">
      <w:start w:val="1"/>
      <w:numFmt w:val="bullet"/>
      <w:lvlText w:val="o"/>
      <w:lvlJc w:val="left"/>
      <w:pPr>
        <w:ind w:left="3600" w:hanging="360"/>
      </w:pPr>
      <w:rPr>
        <w:rFonts w:ascii="Courier New" w:hAnsi="Courier New" w:hint="default"/>
      </w:rPr>
    </w:lvl>
    <w:lvl w:ilvl="5" w:tplc="01E4C664">
      <w:start w:val="1"/>
      <w:numFmt w:val="bullet"/>
      <w:lvlText w:val=""/>
      <w:lvlJc w:val="left"/>
      <w:pPr>
        <w:ind w:left="4320" w:hanging="360"/>
      </w:pPr>
      <w:rPr>
        <w:rFonts w:ascii="Wingdings" w:hAnsi="Wingdings" w:hint="default"/>
      </w:rPr>
    </w:lvl>
    <w:lvl w:ilvl="6" w:tplc="846E1802">
      <w:start w:val="1"/>
      <w:numFmt w:val="bullet"/>
      <w:lvlText w:val=""/>
      <w:lvlJc w:val="left"/>
      <w:pPr>
        <w:ind w:left="5040" w:hanging="360"/>
      </w:pPr>
      <w:rPr>
        <w:rFonts w:ascii="Symbol" w:hAnsi="Symbol" w:hint="default"/>
      </w:rPr>
    </w:lvl>
    <w:lvl w:ilvl="7" w:tplc="7C5E7E5C">
      <w:start w:val="1"/>
      <w:numFmt w:val="bullet"/>
      <w:lvlText w:val="o"/>
      <w:lvlJc w:val="left"/>
      <w:pPr>
        <w:ind w:left="5760" w:hanging="360"/>
      </w:pPr>
      <w:rPr>
        <w:rFonts w:ascii="Courier New" w:hAnsi="Courier New" w:hint="default"/>
      </w:rPr>
    </w:lvl>
    <w:lvl w:ilvl="8" w:tplc="12B0310E">
      <w:start w:val="1"/>
      <w:numFmt w:val="bullet"/>
      <w:lvlText w:val=""/>
      <w:lvlJc w:val="left"/>
      <w:pPr>
        <w:ind w:left="6480" w:hanging="360"/>
      </w:pPr>
      <w:rPr>
        <w:rFonts w:ascii="Wingdings" w:hAnsi="Wingdings" w:hint="default"/>
      </w:rPr>
    </w:lvl>
  </w:abstractNum>
  <w:abstractNum w:abstractNumId="14" w15:restartNumberingAfterBreak="0">
    <w:nsid w:val="4D1C8E69"/>
    <w:multiLevelType w:val="hybridMultilevel"/>
    <w:tmpl w:val="FFFFFFFF"/>
    <w:lvl w:ilvl="0" w:tplc="A9A46FEA">
      <w:start w:val="1"/>
      <w:numFmt w:val="bullet"/>
      <w:lvlText w:val=""/>
      <w:lvlJc w:val="left"/>
      <w:pPr>
        <w:ind w:left="720" w:hanging="360"/>
      </w:pPr>
      <w:rPr>
        <w:rFonts w:ascii="Symbol" w:hAnsi="Symbol" w:hint="default"/>
      </w:rPr>
    </w:lvl>
    <w:lvl w:ilvl="1" w:tplc="C2001244">
      <w:start w:val="1"/>
      <w:numFmt w:val="bullet"/>
      <w:lvlText w:val="o"/>
      <w:lvlJc w:val="left"/>
      <w:pPr>
        <w:ind w:left="1440" w:hanging="360"/>
      </w:pPr>
      <w:rPr>
        <w:rFonts w:ascii="Courier New" w:hAnsi="Courier New" w:hint="default"/>
      </w:rPr>
    </w:lvl>
    <w:lvl w:ilvl="2" w:tplc="01E048BC">
      <w:start w:val="1"/>
      <w:numFmt w:val="bullet"/>
      <w:lvlText w:val=""/>
      <w:lvlJc w:val="left"/>
      <w:pPr>
        <w:ind w:left="2160" w:hanging="360"/>
      </w:pPr>
      <w:rPr>
        <w:rFonts w:ascii="Wingdings" w:hAnsi="Wingdings" w:hint="default"/>
      </w:rPr>
    </w:lvl>
    <w:lvl w:ilvl="3" w:tplc="D6E838B0">
      <w:start w:val="1"/>
      <w:numFmt w:val="bullet"/>
      <w:lvlText w:val=""/>
      <w:lvlJc w:val="left"/>
      <w:pPr>
        <w:ind w:left="2880" w:hanging="360"/>
      </w:pPr>
      <w:rPr>
        <w:rFonts w:ascii="Symbol" w:hAnsi="Symbol" w:hint="default"/>
      </w:rPr>
    </w:lvl>
    <w:lvl w:ilvl="4" w:tplc="08D88A1A">
      <w:start w:val="1"/>
      <w:numFmt w:val="bullet"/>
      <w:lvlText w:val="o"/>
      <w:lvlJc w:val="left"/>
      <w:pPr>
        <w:ind w:left="3600" w:hanging="360"/>
      </w:pPr>
      <w:rPr>
        <w:rFonts w:ascii="Courier New" w:hAnsi="Courier New" w:hint="default"/>
      </w:rPr>
    </w:lvl>
    <w:lvl w:ilvl="5" w:tplc="8402AEBE">
      <w:start w:val="1"/>
      <w:numFmt w:val="bullet"/>
      <w:lvlText w:val=""/>
      <w:lvlJc w:val="left"/>
      <w:pPr>
        <w:ind w:left="4320" w:hanging="360"/>
      </w:pPr>
      <w:rPr>
        <w:rFonts w:ascii="Wingdings" w:hAnsi="Wingdings" w:hint="default"/>
      </w:rPr>
    </w:lvl>
    <w:lvl w:ilvl="6" w:tplc="269483B6">
      <w:start w:val="1"/>
      <w:numFmt w:val="bullet"/>
      <w:lvlText w:val=""/>
      <w:lvlJc w:val="left"/>
      <w:pPr>
        <w:ind w:left="5040" w:hanging="360"/>
      </w:pPr>
      <w:rPr>
        <w:rFonts w:ascii="Symbol" w:hAnsi="Symbol" w:hint="default"/>
      </w:rPr>
    </w:lvl>
    <w:lvl w:ilvl="7" w:tplc="7D4EB50A">
      <w:start w:val="1"/>
      <w:numFmt w:val="bullet"/>
      <w:lvlText w:val="o"/>
      <w:lvlJc w:val="left"/>
      <w:pPr>
        <w:ind w:left="5760" w:hanging="360"/>
      </w:pPr>
      <w:rPr>
        <w:rFonts w:ascii="Courier New" w:hAnsi="Courier New" w:hint="default"/>
      </w:rPr>
    </w:lvl>
    <w:lvl w:ilvl="8" w:tplc="B3182736">
      <w:start w:val="1"/>
      <w:numFmt w:val="bullet"/>
      <w:lvlText w:val=""/>
      <w:lvlJc w:val="left"/>
      <w:pPr>
        <w:ind w:left="6480" w:hanging="360"/>
      </w:pPr>
      <w:rPr>
        <w:rFonts w:ascii="Wingdings" w:hAnsi="Wingdings" w:hint="default"/>
      </w:rPr>
    </w:lvl>
  </w:abstractNum>
  <w:abstractNum w:abstractNumId="15" w15:restartNumberingAfterBreak="0">
    <w:nsid w:val="4E497040"/>
    <w:multiLevelType w:val="hybridMultilevel"/>
    <w:tmpl w:val="FFFFFFFF"/>
    <w:lvl w:ilvl="0" w:tplc="087AA062">
      <w:start w:val="1"/>
      <w:numFmt w:val="bullet"/>
      <w:lvlText w:val=""/>
      <w:lvlJc w:val="left"/>
      <w:pPr>
        <w:ind w:left="720" w:hanging="360"/>
      </w:pPr>
      <w:rPr>
        <w:rFonts w:ascii="Symbol" w:hAnsi="Symbol" w:hint="default"/>
      </w:rPr>
    </w:lvl>
    <w:lvl w:ilvl="1" w:tplc="5EFA2508">
      <w:start w:val="1"/>
      <w:numFmt w:val="bullet"/>
      <w:lvlText w:val="o"/>
      <w:lvlJc w:val="left"/>
      <w:pPr>
        <w:ind w:left="1440" w:hanging="360"/>
      </w:pPr>
      <w:rPr>
        <w:rFonts w:ascii="Courier New" w:hAnsi="Courier New" w:hint="default"/>
      </w:rPr>
    </w:lvl>
    <w:lvl w:ilvl="2" w:tplc="05865902">
      <w:start w:val="1"/>
      <w:numFmt w:val="bullet"/>
      <w:lvlText w:val=""/>
      <w:lvlJc w:val="left"/>
      <w:pPr>
        <w:ind w:left="2160" w:hanging="360"/>
      </w:pPr>
      <w:rPr>
        <w:rFonts w:ascii="Wingdings" w:hAnsi="Wingdings" w:hint="default"/>
      </w:rPr>
    </w:lvl>
    <w:lvl w:ilvl="3" w:tplc="20106152">
      <w:start w:val="1"/>
      <w:numFmt w:val="bullet"/>
      <w:lvlText w:val=""/>
      <w:lvlJc w:val="left"/>
      <w:pPr>
        <w:ind w:left="2880" w:hanging="360"/>
      </w:pPr>
      <w:rPr>
        <w:rFonts w:ascii="Symbol" w:hAnsi="Symbol" w:hint="default"/>
      </w:rPr>
    </w:lvl>
    <w:lvl w:ilvl="4" w:tplc="E7BCA082">
      <w:start w:val="1"/>
      <w:numFmt w:val="bullet"/>
      <w:lvlText w:val="o"/>
      <w:lvlJc w:val="left"/>
      <w:pPr>
        <w:ind w:left="3600" w:hanging="360"/>
      </w:pPr>
      <w:rPr>
        <w:rFonts w:ascii="Courier New" w:hAnsi="Courier New" w:hint="default"/>
      </w:rPr>
    </w:lvl>
    <w:lvl w:ilvl="5" w:tplc="45289B80">
      <w:start w:val="1"/>
      <w:numFmt w:val="bullet"/>
      <w:lvlText w:val=""/>
      <w:lvlJc w:val="left"/>
      <w:pPr>
        <w:ind w:left="4320" w:hanging="360"/>
      </w:pPr>
      <w:rPr>
        <w:rFonts w:ascii="Wingdings" w:hAnsi="Wingdings" w:hint="default"/>
      </w:rPr>
    </w:lvl>
    <w:lvl w:ilvl="6" w:tplc="F2DC7044">
      <w:start w:val="1"/>
      <w:numFmt w:val="bullet"/>
      <w:lvlText w:val=""/>
      <w:lvlJc w:val="left"/>
      <w:pPr>
        <w:ind w:left="5040" w:hanging="360"/>
      </w:pPr>
      <w:rPr>
        <w:rFonts w:ascii="Symbol" w:hAnsi="Symbol" w:hint="default"/>
      </w:rPr>
    </w:lvl>
    <w:lvl w:ilvl="7" w:tplc="4FDCFAF0">
      <w:start w:val="1"/>
      <w:numFmt w:val="bullet"/>
      <w:lvlText w:val="o"/>
      <w:lvlJc w:val="left"/>
      <w:pPr>
        <w:ind w:left="5760" w:hanging="360"/>
      </w:pPr>
      <w:rPr>
        <w:rFonts w:ascii="Courier New" w:hAnsi="Courier New" w:hint="default"/>
      </w:rPr>
    </w:lvl>
    <w:lvl w:ilvl="8" w:tplc="529A72F4">
      <w:start w:val="1"/>
      <w:numFmt w:val="bullet"/>
      <w:lvlText w:val=""/>
      <w:lvlJc w:val="left"/>
      <w:pPr>
        <w:ind w:left="6480" w:hanging="360"/>
      </w:pPr>
      <w:rPr>
        <w:rFonts w:ascii="Wingdings" w:hAnsi="Wingdings" w:hint="default"/>
      </w:rPr>
    </w:lvl>
  </w:abstractNum>
  <w:abstractNum w:abstractNumId="16" w15:restartNumberingAfterBreak="0">
    <w:nsid w:val="54CE2E5F"/>
    <w:multiLevelType w:val="hybridMultilevel"/>
    <w:tmpl w:val="15DE51BE"/>
    <w:lvl w:ilvl="0" w:tplc="FFFFFFFF">
      <w:start w:val="1"/>
      <w:numFmt w:val="bullet"/>
      <w:pStyle w:val="Bullets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E7C9D"/>
    <w:multiLevelType w:val="hybridMultilevel"/>
    <w:tmpl w:val="FFFFFFFF"/>
    <w:lvl w:ilvl="0" w:tplc="BB4CFBD0">
      <w:start w:val="1"/>
      <w:numFmt w:val="bullet"/>
      <w:lvlText w:val=""/>
      <w:lvlJc w:val="left"/>
      <w:pPr>
        <w:ind w:left="720" w:hanging="360"/>
      </w:pPr>
      <w:rPr>
        <w:rFonts w:ascii="Symbol" w:hAnsi="Symbol" w:hint="default"/>
      </w:rPr>
    </w:lvl>
    <w:lvl w:ilvl="1" w:tplc="1CECDC1C">
      <w:start w:val="1"/>
      <w:numFmt w:val="bullet"/>
      <w:lvlText w:val="o"/>
      <w:lvlJc w:val="left"/>
      <w:pPr>
        <w:ind w:left="1440" w:hanging="360"/>
      </w:pPr>
      <w:rPr>
        <w:rFonts w:ascii="Courier New" w:hAnsi="Courier New" w:hint="default"/>
      </w:rPr>
    </w:lvl>
    <w:lvl w:ilvl="2" w:tplc="DF00B4FE">
      <w:start w:val="1"/>
      <w:numFmt w:val="bullet"/>
      <w:lvlText w:val=""/>
      <w:lvlJc w:val="left"/>
      <w:pPr>
        <w:ind w:left="2160" w:hanging="360"/>
      </w:pPr>
      <w:rPr>
        <w:rFonts w:ascii="Wingdings" w:hAnsi="Wingdings" w:hint="default"/>
      </w:rPr>
    </w:lvl>
    <w:lvl w:ilvl="3" w:tplc="19D08B92">
      <w:start w:val="1"/>
      <w:numFmt w:val="bullet"/>
      <w:lvlText w:val=""/>
      <w:lvlJc w:val="left"/>
      <w:pPr>
        <w:ind w:left="2880" w:hanging="360"/>
      </w:pPr>
      <w:rPr>
        <w:rFonts w:ascii="Symbol" w:hAnsi="Symbol" w:hint="default"/>
      </w:rPr>
    </w:lvl>
    <w:lvl w:ilvl="4" w:tplc="E654B468">
      <w:start w:val="1"/>
      <w:numFmt w:val="bullet"/>
      <w:lvlText w:val="o"/>
      <w:lvlJc w:val="left"/>
      <w:pPr>
        <w:ind w:left="3600" w:hanging="360"/>
      </w:pPr>
      <w:rPr>
        <w:rFonts w:ascii="Courier New" w:hAnsi="Courier New" w:hint="default"/>
      </w:rPr>
    </w:lvl>
    <w:lvl w:ilvl="5" w:tplc="8E028C60">
      <w:start w:val="1"/>
      <w:numFmt w:val="bullet"/>
      <w:lvlText w:val=""/>
      <w:lvlJc w:val="left"/>
      <w:pPr>
        <w:ind w:left="4320" w:hanging="360"/>
      </w:pPr>
      <w:rPr>
        <w:rFonts w:ascii="Wingdings" w:hAnsi="Wingdings" w:hint="default"/>
      </w:rPr>
    </w:lvl>
    <w:lvl w:ilvl="6" w:tplc="D2B64572">
      <w:start w:val="1"/>
      <w:numFmt w:val="bullet"/>
      <w:lvlText w:val=""/>
      <w:lvlJc w:val="left"/>
      <w:pPr>
        <w:ind w:left="5040" w:hanging="360"/>
      </w:pPr>
      <w:rPr>
        <w:rFonts w:ascii="Symbol" w:hAnsi="Symbol" w:hint="default"/>
      </w:rPr>
    </w:lvl>
    <w:lvl w:ilvl="7" w:tplc="A9EA1882">
      <w:start w:val="1"/>
      <w:numFmt w:val="bullet"/>
      <w:lvlText w:val="o"/>
      <w:lvlJc w:val="left"/>
      <w:pPr>
        <w:ind w:left="5760" w:hanging="360"/>
      </w:pPr>
      <w:rPr>
        <w:rFonts w:ascii="Courier New" w:hAnsi="Courier New" w:hint="default"/>
      </w:rPr>
    </w:lvl>
    <w:lvl w:ilvl="8" w:tplc="7BA4D032">
      <w:start w:val="1"/>
      <w:numFmt w:val="bullet"/>
      <w:lvlText w:val=""/>
      <w:lvlJc w:val="left"/>
      <w:pPr>
        <w:ind w:left="6480" w:hanging="360"/>
      </w:pPr>
      <w:rPr>
        <w:rFonts w:ascii="Wingdings" w:hAnsi="Wingdings" w:hint="default"/>
      </w:rPr>
    </w:lvl>
  </w:abstractNum>
  <w:abstractNum w:abstractNumId="18" w15:restartNumberingAfterBreak="0">
    <w:nsid w:val="5E912BA9"/>
    <w:multiLevelType w:val="multilevel"/>
    <w:tmpl w:val="5DFCE2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F72486"/>
    <w:multiLevelType w:val="multilevel"/>
    <w:tmpl w:val="BA40C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2611F1"/>
    <w:multiLevelType w:val="multilevel"/>
    <w:tmpl w:val="EC0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1EFF49"/>
    <w:multiLevelType w:val="hybridMultilevel"/>
    <w:tmpl w:val="FFFFFFFF"/>
    <w:lvl w:ilvl="0" w:tplc="CE540D8E">
      <w:start w:val="1"/>
      <w:numFmt w:val="bullet"/>
      <w:lvlText w:val=""/>
      <w:lvlJc w:val="left"/>
      <w:pPr>
        <w:ind w:left="720" w:hanging="360"/>
      </w:pPr>
      <w:rPr>
        <w:rFonts w:ascii="Symbol" w:hAnsi="Symbol" w:hint="default"/>
      </w:rPr>
    </w:lvl>
    <w:lvl w:ilvl="1" w:tplc="3C74B57E">
      <w:start w:val="1"/>
      <w:numFmt w:val="bullet"/>
      <w:lvlText w:val="o"/>
      <w:lvlJc w:val="left"/>
      <w:pPr>
        <w:ind w:left="1440" w:hanging="360"/>
      </w:pPr>
      <w:rPr>
        <w:rFonts w:ascii="Symbol" w:hAnsi="Symbol" w:hint="default"/>
      </w:rPr>
    </w:lvl>
    <w:lvl w:ilvl="2" w:tplc="559254B0">
      <w:start w:val="1"/>
      <w:numFmt w:val="bullet"/>
      <w:lvlText w:val=""/>
      <w:lvlJc w:val="left"/>
      <w:pPr>
        <w:ind w:left="2160" w:hanging="360"/>
      </w:pPr>
      <w:rPr>
        <w:rFonts w:ascii="Wingdings" w:hAnsi="Wingdings" w:hint="default"/>
      </w:rPr>
    </w:lvl>
    <w:lvl w:ilvl="3" w:tplc="7D5CA124">
      <w:start w:val="1"/>
      <w:numFmt w:val="bullet"/>
      <w:lvlText w:val=""/>
      <w:lvlJc w:val="left"/>
      <w:pPr>
        <w:ind w:left="2880" w:hanging="360"/>
      </w:pPr>
      <w:rPr>
        <w:rFonts w:ascii="Symbol" w:hAnsi="Symbol" w:hint="default"/>
      </w:rPr>
    </w:lvl>
    <w:lvl w:ilvl="4" w:tplc="5C20BDFC">
      <w:start w:val="1"/>
      <w:numFmt w:val="bullet"/>
      <w:lvlText w:val="o"/>
      <w:lvlJc w:val="left"/>
      <w:pPr>
        <w:ind w:left="3600" w:hanging="360"/>
      </w:pPr>
      <w:rPr>
        <w:rFonts w:ascii="Courier New" w:hAnsi="Courier New" w:hint="default"/>
      </w:rPr>
    </w:lvl>
    <w:lvl w:ilvl="5" w:tplc="2526815A">
      <w:start w:val="1"/>
      <w:numFmt w:val="bullet"/>
      <w:lvlText w:val=""/>
      <w:lvlJc w:val="left"/>
      <w:pPr>
        <w:ind w:left="4320" w:hanging="360"/>
      </w:pPr>
      <w:rPr>
        <w:rFonts w:ascii="Wingdings" w:hAnsi="Wingdings" w:hint="default"/>
      </w:rPr>
    </w:lvl>
    <w:lvl w:ilvl="6" w:tplc="F3B05AB2">
      <w:start w:val="1"/>
      <w:numFmt w:val="bullet"/>
      <w:lvlText w:val=""/>
      <w:lvlJc w:val="left"/>
      <w:pPr>
        <w:ind w:left="5040" w:hanging="360"/>
      </w:pPr>
      <w:rPr>
        <w:rFonts w:ascii="Symbol" w:hAnsi="Symbol" w:hint="default"/>
      </w:rPr>
    </w:lvl>
    <w:lvl w:ilvl="7" w:tplc="C1A4425A">
      <w:start w:val="1"/>
      <w:numFmt w:val="bullet"/>
      <w:lvlText w:val="o"/>
      <w:lvlJc w:val="left"/>
      <w:pPr>
        <w:ind w:left="5760" w:hanging="360"/>
      </w:pPr>
      <w:rPr>
        <w:rFonts w:ascii="Courier New" w:hAnsi="Courier New" w:hint="default"/>
      </w:rPr>
    </w:lvl>
    <w:lvl w:ilvl="8" w:tplc="CE0C57DE">
      <w:start w:val="1"/>
      <w:numFmt w:val="bullet"/>
      <w:lvlText w:val=""/>
      <w:lvlJc w:val="left"/>
      <w:pPr>
        <w:ind w:left="6480" w:hanging="360"/>
      </w:pPr>
      <w:rPr>
        <w:rFonts w:ascii="Wingdings" w:hAnsi="Wingdings" w:hint="default"/>
      </w:rPr>
    </w:lvl>
  </w:abstractNum>
  <w:num w:numId="1" w16cid:durableId="110367031">
    <w:abstractNumId w:val="15"/>
  </w:num>
  <w:num w:numId="2" w16cid:durableId="415899851">
    <w:abstractNumId w:val="10"/>
  </w:num>
  <w:num w:numId="3" w16cid:durableId="192691118">
    <w:abstractNumId w:val="17"/>
  </w:num>
  <w:num w:numId="4" w16cid:durableId="1451315870">
    <w:abstractNumId w:val="12"/>
  </w:num>
  <w:num w:numId="5" w16cid:durableId="398862721">
    <w:abstractNumId w:val="14"/>
  </w:num>
  <w:num w:numId="6" w16cid:durableId="1616329992">
    <w:abstractNumId w:val="21"/>
  </w:num>
  <w:num w:numId="7" w16cid:durableId="2035376681">
    <w:abstractNumId w:val="13"/>
  </w:num>
  <w:num w:numId="8" w16cid:durableId="1295600731">
    <w:abstractNumId w:val="9"/>
  </w:num>
  <w:num w:numId="9" w16cid:durableId="2001304944">
    <w:abstractNumId w:val="7"/>
  </w:num>
  <w:num w:numId="10" w16cid:durableId="516433392">
    <w:abstractNumId w:val="16"/>
  </w:num>
  <w:num w:numId="11" w16cid:durableId="1853059851">
    <w:abstractNumId w:val="8"/>
  </w:num>
  <w:num w:numId="12" w16cid:durableId="2000772392">
    <w:abstractNumId w:val="2"/>
  </w:num>
  <w:num w:numId="13" w16cid:durableId="1805584611">
    <w:abstractNumId w:val="6"/>
  </w:num>
  <w:num w:numId="14" w16cid:durableId="143395631">
    <w:abstractNumId w:val="1"/>
  </w:num>
  <w:num w:numId="15" w16cid:durableId="147402359">
    <w:abstractNumId w:val="5"/>
  </w:num>
  <w:num w:numId="16" w16cid:durableId="866674964">
    <w:abstractNumId w:val="20"/>
  </w:num>
  <w:num w:numId="17" w16cid:durableId="1676227101">
    <w:abstractNumId w:val="3"/>
  </w:num>
  <w:num w:numId="18" w16cid:durableId="91122895">
    <w:abstractNumId w:val="19"/>
  </w:num>
  <w:num w:numId="19" w16cid:durableId="1251547029">
    <w:abstractNumId w:val="4"/>
  </w:num>
  <w:num w:numId="20" w16cid:durableId="1550192921">
    <w:abstractNumId w:val="11"/>
  </w:num>
  <w:num w:numId="21" w16cid:durableId="208421832">
    <w:abstractNumId w:val="18"/>
  </w:num>
  <w:num w:numId="22" w16cid:durableId="346298172">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cClary">
    <w15:presenceInfo w15:providerId="AD" w15:userId="S::AMcClary@trpa.gov::3ddcd568-0cd4-4d55-a80f-ae2e85928f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Q1MjUzMzQzszA3NjNQ0lEKTi0uzszPAykwNK4FADF9ZnctAAAA"/>
  </w:docVars>
  <w:rsids>
    <w:rsidRoot w:val="00BC64A2"/>
    <w:rsid w:val="00000881"/>
    <w:rsid w:val="00000AA3"/>
    <w:rsid w:val="0000134E"/>
    <w:rsid w:val="000069DD"/>
    <w:rsid w:val="00010103"/>
    <w:rsid w:val="00010432"/>
    <w:rsid w:val="00010A2D"/>
    <w:rsid w:val="00012033"/>
    <w:rsid w:val="0001332B"/>
    <w:rsid w:val="0001389F"/>
    <w:rsid w:val="0001439E"/>
    <w:rsid w:val="00015530"/>
    <w:rsid w:val="00015CB2"/>
    <w:rsid w:val="00016E97"/>
    <w:rsid w:val="00017529"/>
    <w:rsid w:val="00017A89"/>
    <w:rsid w:val="000243EE"/>
    <w:rsid w:val="00026E64"/>
    <w:rsid w:val="00027501"/>
    <w:rsid w:val="000308D0"/>
    <w:rsid w:val="000315AB"/>
    <w:rsid w:val="00032676"/>
    <w:rsid w:val="00032BD7"/>
    <w:rsid w:val="00032C6F"/>
    <w:rsid w:val="00032ED9"/>
    <w:rsid w:val="00033B0F"/>
    <w:rsid w:val="00034DA0"/>
    <w:rsid w:val="0003631D"/>
    <w:rsid w:val="000365D7"/>
    <w:rsid w:val="00036B80"/>
    <w:rsid w:val="00036E4C"/>
    <w:rsid w:val="00037759"/>
    <w:rsid w:val="00037AAD"/>
    <w:rsid w:val="000401F5"/>
    <w:rsid w:val="00040385"/>
    <w:rsid w:val="000437D0"/>
    <w:rsid w:val="00043B1A"/>
    <w:rsid w:val="00043C15"/>
    <w:rsid w:val="000450FE"/>
    <w:rsid w:val="0004706D"/>
    <w:rsid w:val="000530A5"/>
    <w:rsid w:val="000535A2"/>
    <w:rsid w:val="00053ED5"/>
    <w:rsid w:val="0005461D"/>
    <w:rsid w:val="00054F09"/>
    <w:rsid w:val="000552AD"/>
    <w:rsid w:val="00057997"/>
    <w:rsid w:val="00057FB6"/>
    <w:rsid w:val="00060071"/>
    <w:rsid w:val="000605CF"/>
    <w:rsid w:val="00060B57"/>
    <w:rsid w:val="000613A4"/>
    <w:rsid w:val="000631EA"/>
    <w:rsid w:val="00063750"/>
    <w:rsid w:val="00064E97"/>
    <w:rsid w:val="000652F9"/>
    <w:rsid w:val="00065CB0"/>
    <w:rsid w:val="0006626C"/>
    <w:rsid w:val="0007090A"/>
    <w:rsid w:val="00070CB9"/>
    <w:rsid w:val="0007337B"/>
    <w:rsid w:val="000739C3"/>
    <w:rsid w:val="000740A9"/>
    <w:rsid w:val="0007557D"/>
    <w:rsid w:val="00075D7B"/>
    <w:rsid w:val="000822AB"/>
    <w:rsid w:val="00083C3F"/>
    <w:rsid w:val="000843FE"/>
    <w:rsid w:val="00085B05"/>
    <w:rsid w:val="00085B68"/>
    <w:rsid w:val="00086A29"/>
    <w:rsid w:val="00087B1B"/>
    <w:rsid w:val="00087BC2"/>
    <w:rsid w:val="000905D3"/>
    <w:rsid w:val="000918DC"/>
    <w:rsid w:val="00092CE1"/>
    <w:rsid w:val="00093DB4"/>
    <w:rsid w:val="00094812"/>
    <w:rsid w:val="00094A3F"/>
    <w:rsid w:val="00094D44"/>
    <w:rsid w:val="00096A3E"/>
    <w:rsid w:val="00096EF3"/>
    <w:rsid w:val="000A0870"/>
    <w:rsid w:val="000A336A"/>
    <w:rsid w:val="000A3BF1"/>
    <w:rsid w:val="000A5063"/>
    <w:rsid w:val="000A610A"/>
    <w:rsid w:val="000A7826"/>
    <w:rsid w:val="000B068D"/>
    <w:rsid w:val="000B1364"/>
    <w:rsid w:val="000B1590"/>
    <w:rsid w:val="000B22DB"/>
    <w:rsid w:val="000B398A"/>
    <w:rsid w:val="000B50E7"/>
    <w:rsid w:val="000B52DC"/>
    <w:rsid w:val="000B79D8"/>
    <w:rsid w:val="000C0535"/>
    <w:rsid w:val="000C09AB"/>
    <w:rsid w:val="000C4643"/>
    <w:rsid w:val="000C6405"/>
    <w:rsid w:val="000D1494"/>
    <w:rsid w:val="000D1CB1"/>
    <w:rsid w:val="000D1F78"/>
    <w:rsid w:val="000D2366"/>
    <w:rsid w:val="000D27B1"/>
    <w:rsid w:val="000D2D34"/>
    <w:rsid w:val="000D306C"/>
    <w:rsid w:val="000D4107"/>
    <w:rsid w:val="000D62AD"/>
    <w:rsid w:val="000D6F38"/>
    <w:rsid w:val="000E051E"/>
    <w:rsid w:val="000E0B31"/>
    <w:rsid w:val="000E214A"/>
    <w:rsid w:val="000E27C8"/>
    <w:rsid w:val="000E3D6A"/>
    <w:rsid w:val="000E56B8"/>
    <w:rsid w:val="000E5C40"/>
    <w:rsid w:val="000E79DA"/>
    <w:rsid w:val="000F0132"/>
    <w:rsid w:val="000F0471"/>
    <w:rsid w:val="000F1337"/>
    <w:rsid w:val="000F17D6"/>
    <w:rsid w:val="000F396B"/>
    <w:rsid w:val="000F4A00"/>
    <w:rsid w:val="000F533A"/>
    <w:rsid w:val="000F6F83"/>
    <w:rsid w:val="000F7D68"/>
    <w:rsid w:val="000F7D93"/>
    <w:rsid w:val="0010280A"/>
    <w:rsid w:val="0010329A"/>
    <w:rsid w:val="00103C2B"/>
    <w:rsid w:val="00104AA1"/>
    <w:rsid w:val="0010591F"/>
    <w:rsid w:val="00105D2A"/>
    <w:rsid w:val="00105EDC"/>
    <w:rsid w:val="001064F5"/>
    <w:rsid w:val="0011114D"/>
    <w:rsid w:val="00111652"/>
    <w:rsid w:val="001131D5"/>
    <w:rsid w:val="0011381C"/>
    <w:rsid w:val="00116CA5"/>
    <w:rsid w:val="00117945"/>
    <w:rsid w:val="00120034"/>
    <w:rsid w:val="00122A84"/>
    <w:rsid w:val="00123055"/>
    <w:rsid w:val="001233CE"/>
    <w:rsid w:val="00126982"/>
    <w:rsid w:val="00127B96"/>
    <w:rsid w:val="00127BB4"/>
    <w:rsid w:val="00127FF9"/>
    <w:rsid w:val="00130D5B"/>
    <w:rsid w:val="0013139F"/>
    <w:rsid w:val="001347F2"/>
    <w:rsid w:val="00134853"/>
    <w:rsid w:val="001356AC"/>
    <w:rsid w:val="00135B7C"/>
    <w:rsid w:val="001367B2"/>
    <w:rsid w:val="00141F5D"/>
    <w:rsid w:val="00143941"/>
    <w:rsid w:val="00144BF3"/>
    <w:rsid w:val="00144D86"/>
    <w:rsid w:val="00145029"/>
    <w:rsid w:val="0014506B"/>
    <w:rsid w:val="00145A2B"/>
    <w:rsid w:val="0014696D"/>
    <w:rsid w:val="00153336"/>
    <w:rsid w:val="00153B85"/>
    <w:rsid w:val="0015711F"/>
    <w:rsid w:val="00160BE7"/>
    <w:rsid w:val="00160DB7"/>
    <w:rsid w:val="00161D2D"/>
    <w:rsid w:val="00163FBB"/>
    <w:rsid w:val="00164456"/>
    <w:rsid w:val="00166F76"/>
    <w:rsid w:val="00166F79"/>
    <w:rsid w:val="00167DAC"/>
    <w:rsid w:val="00171A0C"/>
    <w:rsid w:val="00173E66"/>
    <w:rsid w:val="00174808"/>
    <w:rsid w:val="0017641A"/>
    <w:rsid w:val="00180736"/>
    <w:rsid w:val="00181548"/>
    <w:rsid w:val="001815D6"/>
    <w:rsid w:val="0018330F"/>
    <w:rsid w:val="00186456"/>
    <w:rsid w:val="00186A39"/>
    <w:rsid w:val="0018765C"/>
    <w:rsid w:val="001878F5"/>
    <w:rsid w:val="00190663"/>
    <w:rsid w:val="00193D70"/>
    <w:rsid w:val="001950F6"/>
    <w:rsid w:val="00195CF6"/>
    <w:rsid w:val="001967CA"/>
    <w:rsid w:val="001A0B83"/>
    <w:rsid w:val="001A40A3"/>
    <w:rsid w:val="001A4E95"/>
    <w:rsid w:val="001A5DBD"/>
    <w:rsid w:val="001A67B2"/>
    <w:rsid w:val="001A6A69"/>
    <w:rsid w:val="001A7158"/>
    <w:rsid w:val="001A7613"/>
    <w:rsid w:val="001A7C26"/>
    <w:rsid w:val="001A7F85"/>
    <w:rsid w:val="001B1764"/>
    <w:rsid w:val="001B1AEF"/>
    <w:rsid w:val="001B2718"/>
    <w:rsid w:val="001B2AE4"/>
    <w:rsid w:val="001B363C"/>
    <w:rsid w:val="001B3B8E"/>
    <w:rsid w:val="001B4A23"/>
    <w:rsid w:val="001C24CF"/>
    <w:rsid w:val="001C38C4"/>
    <w:rsid w:val="001C5622"/>
    <w:rsid w:val="001C5E6B"/>
    <w:rsid w:val="001C77D1"/>
    <w:rsid w:val="001D1F95"/>
    <w:rsid w:val="001D26D6"/>
    <w:rsid w:val="001D32E3"/>
    <w:rsid w:val="001D3F13"/>
    <w:rsid w:val="001D3F36"/>
    <w:rsid w:val="001D45B1"/>
    <w:rsid w:val="001D469E"/>
    <w:rsid w:val="001D481D"/>
    <w:rsid w:val="001D5834"/>
    <w:rsid w:val="001D5A3C"/>
    <w:rsid w:val="001D5A45"/>
    <w:rsid w:val="001D6EE7"/>
    <w:rsid w:val="001E0B9F"/>
    <w:rsid w:val="001E0BD5"/>
    <w:rsid w:val="001E0CCC"/>
    <w:rsid w:val="001E2F20"/>
    <w:rsid w:val="001E4E66"/>
    <w:rsid w:val="001E7180"/>
    <w:rsid w:val="001F0DA5"/>
    <w:rsid w:val="001F14B0"/>
    <w:rsid w:val="001F1761"/>
    <w:rsid w:val="001F1802"/>
    <w:rsid w:val="001F1864"/>
    <w:rsid w:val="001F1FEE"/>
    <w:rsid w:val="001F30E4"/>
    <w:rsid w:val="001F4276"/>
    <w:rsid w:val="001F450B"/>
    <w:rsid w:val="001F4B27"/>
    <w:rsid w:val="001F53F1"/>
    <w:rsid w:val="001F6CE9"/>
    <w:rsid w:val="001F7412"/>
    <w:rsid w:val="00200434"/>
    <w:rsid w:val="002007BC"/>
    <w:rsid w:val="00202116"/>
    <w:rsid w:val="002024F4"/>
    <w:rsid w:val="00203247"/>
    <w:rsid w:val="00203A03"/>
    <w:rsid w:val="00206232"/>
    <w:rsid w:val="0020669D"/>
    <w:rsid w:val="002071AE"/>
    <w:rsid w:val="00207D7C"/>
    <w:rsid w:val="0021076A"/>
    <w:rsid w:val="002110F2"/>
    <w:rsid w:val="0021206D"/>
    <w:rsid w:val="00213B7E"/>
    <w:rsid w:val="002140F2"/>
    <w:rsid w:val="0021473F"/>
    <w:rsid w:val="002153C7"/>
    <w:rsid w:val="002156A3"/>
    <w:rsid w:val="00217A01"/>
    <w:rsid w:val="002208C3"/>
    <w:rsid w:val="00222D17"/>
    <w:rsid w:val="002238A6"/>
    <w:rsid w:val="00224287"/>
    <w:rsid w:val="00225F28"/>
    <w:rsid w:val="002262DD"/>
    <w:rsid w:val="00226472"/>
    <w:rsid w:val="0022678E"/>
    <w:rsid w:val="00226B57"/>
    <w:rsid w:val="00226D04"/>
    <w:rsid w:val="002270A4"/>
    <w:rsid w:val="002315DB"/>
    <w:rsid w:val="0023550E"/>
    <w:rsid w:val="002360A0"/>
    <w:rsid w:val="00236D93"/>
    <w:rsid w:val="00237EDE"/>
    <w:rsid w:val="00237FCF"/>
    <w:rsid w:val="002414A4"/>
    <w:rsid w:val="002433D2"/>
    <w:rsid w:val="0024340D"/>
    <w:rsid w:val="002455BF"/>
    <w:rsid w:val="00247B54"/>
    <w:rsid w:val="0025046D"/>
    <w:rsid w:val="002510D7"/>
    <w:rsid w:val="00251BFB"/>
    <w:rsid w:val="002526A7"/>
    <w:rsid w:val="00253619"/>
    <w:rsid w:val="00255190"/>
    <w:rsid w:val="002562DC"/>
    <w:rsid w:val="00260F51"/>
    <w:rsid w:val="00262038"/>
    <w:rsid w:val="0026363A"/>
    <w:rsid w:val="002647C3"/>
    <w:rsid w:val="00265800"/>
    <w:rsid w:val="002660AB"/>
    <w:rsid w:val="002710A5"/>
    <w:rsid w:val="0027197D"/>
    <w:rsid w:val="002759F1"/>
    <w:rsid w:val="00276220"/>
    <w:rsid w:val="00276467"/>
    <w:rsid w:val="002767B3"/>
    <w:rsid w:val="00280201"/>
    <w:rsid w:val="00280E69"/>
    <w:rsid w:val="0028190D"/>
    <w:rsid w:val="00282576"/>
    <w:rsid w:val="002826E0"/>
    <w:rsid w:val="00284395"/>
    <w:rsid w:val="00284F7D"/>
    <w:rsid w:val="00285A20"/>
    <w:rsid w:val="00293429"/>
    <w:rsid w:val="00296524"/>
    <w:rsid w:val="002A0360"/>
    <w:rsid w:val="002A07F8"/>
    <w:rsid w:val="002A10D2"/>
    <w:rsid w:val="002A1B41"/>
    <w:rsid w:val="002A3551"/>
    <w:rsid w:val="002A3935"/>
    <w:rsid w:val="002A3FC4"/>
    <w:rsid w:val="002A4CAC"/>
    <w:rsid w:val="002A5E5E"/>
    <w:rsid w:val="002A5FD8"/>
    <w:rsid w:val="002A6499"/>
    <w:rsid w:val="002A6F61"/>
    <w:rsid w:val="002B1F44"/>
    <w:rsid w:val="002B2CC8"/>
    <w:rsid w:val="002B42A3"/>
    <w:rsid w:val="002B5902"/>
    <w:rsid w:val="002B73E5"/>
    <w:rsid w:val="002B7772"/>
    <w:rsid w:val="002C0128"/>
    <w:rsid w:val="002C0976"/>
    <w:rsid w:val="002C12B8"/>
    <w:rsid w:val="002C2394"/>
    <w:rsid w:val="002C30F6"/>
    <w:rsid w:val="002C45E7"/>
    <w:rsid w:val="002C47C9"/>
    <w:rsid w:val="002C50E0"/>
    <w:rsid w:val="002C5529"/>
    <w:rsid w:val="002C5B05"/>
    <w:rsid w:val="002C7472"/>
    <w:rsid w:val="002D0B49"/>
    <w:rsid w:val="002D0BB5"/>
    <w:rsid w:val="002D0DF0"/>
    <w:rsid w:val="002D0F57"/>
    <w:rsid w:val="002D12DE"/>
    <w:rsid w:val="002D2467"/>
    <w:rsid w:val="002D32CF"/>
    <w:rsid w:val="002D4483"/>
    <w:rsid w:val="002D675D"/>
    <w:rsid w:val="002D6AD6"/>
    <w:rsid w:val="002D7E51"/>
    <w:rsid w:val="002E2BF1"/>
    <w:rsid w:val="002E2E6F"/>
    <w:rsid w:val="002E3A73"/>
    <w:rsid w:val="002E580D"/>
    <w:rsid w:val="002E5929"/>
    <w:rsid w:val="002E6775"/>
    <w:rsid w:val="002E697F"/>
    <w:rsid w:val="002E6A8A"/>
    <w:rsid w:val="002F000F"/>
    <w:rsid w:val="002F20B5"/>
    <w:rsid w:val="002F2FC5"/>
    <w:rsid w:val="002F4EA5"/>
    <w:rsid w:val="002F5922"/>
    <w:rsid w:val="002F5C5F"/>
    <w:rsid w:val="002F5F29"/>
    <w:rsid w:val="002F6179"/>
    <w:rsid w:val="002F664B"/>
    <w:rsid w:val="00300F53"/>
    <w:rsid w:val="00301231"/>
    <w:rsid w:val="00304DEE"/>
    <w:rsid w:val="003052D1"/>
    <w:rsid w:val="00305C09"/>
    <w:rsid w:val="00305ED9"/>
    <w:rsid w:val="0030647C"/>
    <w:rsid w:val="0030679E"/>
    <w:rsid w:val="00315575"/>
    <w:rsid w:val="003157B1"/>
    <w:rsid w:val="00315A0A"/>
    <w:rsid w:val="003166C1"/>
    <w:rsid w:val="00317C62"/>
    <w:rsid w:val="00320B21"/>
    <w:rsid w:val="00325051"/>
    <w:rsid w:val="0032579C"/>
    <w:rsid w:val="00325F9D"/>
    <w:rsid w:val="00326F4B"/>
    <w:rsid w:val="003279D8"/>
    <w:rsid w:val="00327AD8"/>
    <w:rsid w:val="0033018C"/>
    <w:rsid w:val="00330BE0"/>
    <w:rsid w:val="003313E8"/>
    <w:rsid w:val="0033274B"/>
    <w:rsid w:val="00337F47"/>
    <w:rsid w:val="003449DB"/>
    <w:rsid w:val="0034655B"/>
    <w:rsid w:val="00346A9D"/>
    <w:rsid w:val="00346F13"/>
    <w:rsid w:val="00347064"/>
    <w:rsid w:val="003520B0"/>
    <w:rsid w:val="003523EA"/>
    <w:rsid w:val="0035283D"/>
    <w:rsid w:val="00353135"/>
    <w:rsid w:val="00353B59"/>
    <w:rsid w:val="00354B45"/>
    <w:rsid w:val="0035509B"/>
    <w:rsid w:val="00355C2A"/>
    <w:rsid w:val="00355EA0"/>
    <w:rsid w:val="003564DB"/>
    <w:rsid w:val="00356920"/>
    <w:rsid w:val="0035742B"/>
    <w:rsid w:val="0035747F"/>
    <w:rsid w:val="00362485"/>
    <w:rsid w:val="00362AA5"/>
    <w:rsid w:val="00363ADA"/>
    <w:rsid w:val="00364E86"/>
    <w:rsid w:val="00365389"/>
    <w:rsid w:val="00365596"/>
    <w:rsid w:val="00365A42"/>
    <w:rsid w:val="00365E0B"/>
    <w:rsid w:val="00370A2C"/>
    <w:rsid w:val="00373B6A"/>
    <w:rsid w:val="0037772A"/>
    <w:rsid w:val="00381AB1"/>
    <w:rsid w:val="003823CA"/>
    <w:rsid w:val="00382A52"/>
    <w:rsid w:val="00382FB1"/>
    <w:rsid w:val="0038313E"/>
    <w:rsid w:val="00383346"/>
    <w:rsid w:val="003837FD"/>
    <w:rsid w:val="00384F76"/>
    <w:rsid w:val="00385456"/>
    <w:rsid w:val="00385732"/>
    <w:rsid w:val="0038705F"/>
    <w:rsid w:val="00392390"/>
    <w:rsid w:val="00392A4F"/>
    <w:rsid w:val="003A2447"/>
    <w:rsid w:val="003A2D24"/>
    <w:rsid w:val="003A2F00"/>
    <w:rsid w:val="003A2F93"/>
    <w:rsid w:val="003A765B"/>
    <w:rsid w:val="003B1461"/>
    <w:rsid w:val="003B29EF"/>
    <w:rsid w:val="003B4EBC"/>
    <w:rsid w:val="003B50BD"/>
    <w:rsid w:val="003B5D06"/>
    <w:rsid w:val="003B6F91"/>
    <w:rsid w:val="003B7472"/>
    <w:rsid w:val="003C2711"/>
    <w:rsid w:val="003C3358"/>
    <w:rsid w:val="003C5747"/>
    <w:rsid w:val="003C6296"/>
    <w:rsid w:val="003C6E5B"/>
    <w:rsid w:val="003C7647"/>
    <w:rsid w:val="003C7965"/>
    <w:rsid w:val="003D0BE1"/>
    <w:rsid w:val="003D270C"/>
    <w:rsid w:val="003D6710"/>
    <w:rsid w:val="003D755E"/>
    <w:rsid w:val="003E1058"/>
    <w:rsid w:val="003E3056"/>
    <w:rsid w:val="003E3578"/>
    <w:rsid w:val="003E44E0"/>
    <w:rsid w:val="003E510C"/>
    <w:rsid w:val="003E55DA"/>
    <w:rsid w:val="003E5761"/>
    <w:rsid w:val="003E57A1"/>
    <w:rsid w:val="003E63F4"/>
    <w:rsid w:val="003E7C22"/>
    <w:rsid w:val="003F154A"/>
    <w:rsid w:val="003F6418"/>
    <w:rsid w:val="003F68D8"/>
    <w:rsid w:val="003F75DC"/>
    <w:rsid w:val="0040113B"/>
    <w:rsid w:val="004047B0"/>
    <w:rsid w:val="004047BF"/>
    <w:rsid w:val="00404E04"/>
    <w:rsid w:val="00405B7D"/>
    <w:rsid w:val="004069FA"/>
    <w:rsid w:val="004122B4"/>
    <w:rsid w:val="00413495"/>
    <w:rsid w:val="00414C6D"/>
    <w:rsid w:val="00416F5E"/>
    <w:rsid w:val="004173DB"/>
    <w:rsid w:val="004175AE"/>
    <w:rsid w:val="00421C48"/>
    <w:rsid w:val="00425CFC"/>
    <w:rsid w:val="00426EDC"/>
    <w:rsid w:val="00427164"/>
    <w:rsid w:val="00427539"/>
    <w:rsid w:val="004336BD"/>
    <w:rsid w:val="00434F1A"/>
    <w:rsid w:val="004376F4"/>
    <w:rsid w:val="00437F8D"/>
    <w:rsid w:val="00440091"/>
    <w:rsid w:val="00440900"/>
    <w:rsid w:val="004434D2"/>
    <w:rsid w:val="004443D1"/>
    <w:rsid w:val="00444458"/>
    <w:rsid w:val="00444486"/>
    <w:rsid w:val="00445538"/>
    <w:rsid w:val="0044684B"/>
    <w:rsid w:val="00446B0D"/>
    <w:rsid w:val="00446D71"/>
    <w:rsid w:val="0044751A"/>
    <w:rsid w:val="004513D0"/>
    <w:rsid w:val="004513F2"/>
    <w:rsid w:val="00453D8E"/>
    <w:rsid w:val="00454849"/>
    <w:rsid w:val="00456383"/>
    <w:rsid w:val="00456D81"/>
    <w:rsid w:val="00456E73"/>
    <w:rsid w:val="0045708E"/>
    <w:rsid w:val="00457833"/>
    <w:rsid w:val="00460ACC"/>
    <w:rsid w:val="00461B52"/>
    <w:rsid w:val="00461C95"/>
    <w:rsid w:val="0046437C"/>
    <w:rsid w:val="00464759"/>
    <w:rsid w:val="0046613F"/>
    <w:rsid w:val="00466189"/>
    <w:rsid w:val="004665F9"/>
    <w:rsid w:val="00470D3A"/>
    <w:rsid w:val="00472277"/>
    <w:rsid w:val="00472F00"/>
    <w:rsid w:val="00474437"/>
    <w:rsid w:val="00474DC3"/>
    <w:rsid w:val="00475085"/>
    <w:rsid w:val="004751CC"/>
    <w:rsid w:val="0047712B"/>
    <w:rsid w:val="00480B33"/>
    <w:rsid w:val="00483476"/>
    <w:rsid w:val="00486481"/>
    <w:rsid w:val="004870F9"/>
    <w:rsid w:val="00490642"/>
    <w:rsid w:val="00491268"/>
    <w:rsid w:val="004917F0"/>
    <w:rsid w:val="00491EF7"/>
    <w:rsid w:val="00493346"/>
    <w:rsid w:val="00494C37"/>
    <w:rsid w:val="00494FEC"/>
    <w:rsid w:val="004953DD"/>
    <w:rsid w:val="00497532"/>
    <w:rsid w:val="00497BF0"/>
    <w:rsid w:val="004A0920"/>
    <w:rsid w:val="004A0DE1"/>
    <w:rsid w:val="004A1F38"/>
    <w:rsid w:val="004A3470"/>
    <w:rsid w:val="004A4512"/>
    <w:rsid w:val="004A62C3"/>
    <w:rsid w:val="004A6698"/>
    <w:rsid w:val="004B0F42"/>
    <w:rsid w:val="004B1158"/>
    <w:rsid w:val="004B3939"/>
    <w:rsid w:val="004B4ADB"/>
    <w:rsid w:val="004C1554"/>
    <w:rsid w:val="004C6107"/>
    <w:rsid w:val="004C64D7"/>
    <w:rsid w:val="004C65F8"/>
    <w:rsid w:val="004C6743"/>
    <w:rsid w:val="004D2EF7"/>
    <w:rsid w:val="004D33CD"/>
    <w:rsid w:val="004D3E5E"/>
    <w:rsid w:val="004D4435"/>
    <w:rsid w:val="004D505E"/>
    <w:rsid w:val="004D5EEA"/>
    <w:rsid w:val="004D6AAD"/>
    <w:rsid w:val="004E002F"/>
    <w:rsid w:val="004E075C"/>
    <w:rsid w:val="004E1643"/>
    <w:rsid w:val="004E1DA1"/>
    <w:rsid w:val="004E296E"/>
    <w:rsid w:val="004E2E93"/>
    <w:rsid w:val="004E41E7"/>
    <w:rsid w:val="004E572D"/>
    <w:rsid w:val="004E7ACD"/>
    <w:rsid w:val="004F039E"/>
    <w:rsid w:val="004F0FCE"/>
    <w:rsid w:val="004F3802"/>
    <w:rsid w:val="004F3AF8"/>
    <w:rsid w:val="004F5485"/>
    <w:rsid w:val="004F653B"/>
    <w:rsid w:val="004F6B3D"/>
    <w:rsid w:val="004F7293"/>
    <w:rsid w:val="004F74BB"/>
    <w:rsid w:val="005004EE"/>
    <w:rsid w:val="0050124A"/>
    <w:rsid w:val="00502905"/>
    <w:rsid w:val="005045D4"/>
    <w:rsid w:val="00506111"/>
    <w:rsid w:val="0051053D"/>
    <w:rsid w:val="0051079E"/>
    <w:rsid w:val="005121B0"/>
    <w:rsid w:val="00512A81"/>
    <w:rsid w:val="005130AA"/>
    <w:rsid w:val="00514155"/>
    <w:rsid w:val="00515161"/>
    <w:rsid w:val="00515C76"/>
    <w:rsid w:val="005179D6"/>
    <w:rsid w:val="00520948"/>
    <w:rsid w:val="00520E0C"/>
    <w:rsid w:val="005219CB"/>
    <w:rsid w:val="00523906"/>
    <w:rsid w:val="00526502"/>
    <w:rsid w:val="0052651B"/>
    <w:rsid w:val="0053012E"/>
    <w:rsid w:val="00530A62"/>
    <w:rsid w:val="00531836"/>
    <w:rsid w:val="00531ABA"/>
    <w:rsid w:val="00532D1E"/>
    <w:rsid w:val="005333AE"/>
    <w:rsid w:val="005350EC"/>
    <w:rsid w:val="005357E7"/>
    <w:rsid w:val="00535A5F"/>
    <w:rsid w:val="00535FFD"/>
    <w:rsid w:val="00536E48"/>
    <w:rsid w:val="00537E48"/>
    <w:rsid w:val="00537FD4"/>
    <w:rsid w:val="00540A29"/>
    <w:rsid w:val="00540AFC"/>
    <w:rsid w:val="0054339E"/>
    <w:rsid w:val="00543AA9"/>
    <w:rsid w:val="00544A3D"/>
    <w:rsid w:val="0054657A"/>
    <w:rsid w:val="00552AC3"/>
    <w:rsid w:val="0055504F"/>
    <w:rsid w:val="005556A6"/>
    <w:rsid w:val="0056018C"/>
    <w:rsid w:val="00560211"/>
    <w:rsid w:val="005604F1"/>
    <w:rsid w:val="005609F2"/>
    <w:rsid w:val="00560A62"/>
    <w:rsid w:val="00560DC6"/>
    <w:rsid w:val="00565023"/>
    <w:rsid w:val="005655C0"/>
    <w:rsid w:val="00565679"/>
    <w:rsid w:val="00566ACE"/>
    <w:rsid w:val="00566C9E"/>
    <w:rsid w:val="00567D3F"/>
    <w:rsid w:val="00567E6C"/>
    <w:rsid w:val="00570DD6"/>
    <w:rsid w:val="005716BB"/>
    <w:rsid w:val="00573765"/>
    <w:rsid w:val="005744AA"/>
    <w:rsid w:val="00574AEC"/>
    <w:rsid w:val="0057564C"/>
    <w:rsid w:val="00576584"/>
    <w:rsid w:val="00576BB7"/>
    <w:rsid w:val="00580350"/>
    <w:rsid w:val="00580610"/>
    <w:rsid w:val="00581BF0"/>
    <w:rsid w:val="00581D31"/>
    <w:rsid w:val="005847EC"/>
    <w:rsid w:val="00584B28"/>
    <w:rsid w:val="00585CC5"/>
    <w:rsid w:val="005873B7"/>
    <w:rsid w:val="00593192"/>
    <w:rsid w:val="005938CF"/>
    <w:rsid w:val="00593C9E"/>
    <w:rsid w:val="0059420F"/>
    <w:rsid w:val="005956B9"/>
    <w:rsid w:val="00596868"/>
    <w:rsid w:val="005A0784"/>
    <w:rsid w:val="005A2C59"/>
    <w:rsid w:val="005A39EB"/>
    <w:rsid w:val="005A5966"/>
    <w:rsid w:val="005A5E81"/>
    <w:rsid w:val="005A5EFC"/>
    <w:rsid w:val="005A784D"/>
    <w:rsid w:val="005A7CDA"/>
    <w:rsid w:val="005B01F0"/>
    <w:rsid w:val="005B1FE5"/>
    <w:rsid w:val="005B2F7D"/>
    <w:rsid w:val="005B4CD5"/>
    <w:rsid w:val="005B54CF"/>
    <w:rsid w:val="005B7180"/>
    <w:rsid w:val="005C07B2"/>
    <w:rsid w:val="005C0C9E"/>
    <w:rsid w:val="005C0E5F"/>
    <w:rsid w:val="005C3558"/>
    <w:rsid w:val="005C3E9F"/>
    <w:rsid w:val="005C3FEC"/>
    <w:rsid w:val="005C41B0"/>
    <w:rsid w:val="005C53D0"/>
    <w:rsid w:val="005C545A"/>
    <w:rsid w:val="005C5566"/>
    <w:rsid w:val="005C67B6"/>
    <w:rsid w:val="005C7F5F"/>
    <w:rsid w:val="005D26C7"/>
    <w:rsid w:val="005D2801"/>
    <w:rsid w:val="005D333B"/>
    <w:rsid w:val="005D48DE"/>
    <w:rsid w:val="005D57F9"/>
    <w:rsid w:val="005D66C6"/>
    <w:rsid w:val="005D6EA4"/>
    <w:rsid w:val="005E0F5B"/>
    <w:rsid w:val="005E1CB2"/>
    <w:rsid w:val="005E4211"/>
    <w:rsid w:val="005E4908"/>
    <w:rsid w:val="005E5475"/>
    <w:rsid w:val="005E5525"/>
    <w:rsid w:val="005E5C04"/>
    <w:rsid w:val="005E72D9"/>
    <w:rsid w:val="005E7D6C"/>
    <w:rsid w:val="005E7EEF"/>
    <w:rsid w:val="005F0E82"/>
    <w:rsid w:val="005F2CFC"/>
    <w:rsid w:val="005F3561"/>
    <w:rsid w:val="005F3714"/>
    <w:rsid w:val="005F3C87"/>
    <w:rsid w:val="005F5B51"/>
    <w:rsid w:val="005F68A5"/>
    <w:rsid w:val="005F70D2"/>
    <w:rsid w:val="005F7368"/>
    <w:rsid w:val="005F7E97"/>
    <w:rsid w:val="00601787"/>
    <w:rsid w:val="0060441C"/>
    <w:rsid w:val="0060765D"/>
    <w:rsid w:val="00610EC8"/>
    <w:rsid w:val="0061142D"/>
    <w:rsid w:val="00612345"/>
    <w:rsid w:val="0061542E"/>
    <w:rsid w:val="006162DC"/>
    <w:rsid w:val="00616841"/>
    <w:rsid w:val="00620B1C"/>
    <w:rsid w:val="00620B33"/>
    <w:rsid w:val="0062115B"/>
    <w:rsid w:val="00621568"/>
    <w:rsid w:val="00621873"/>
    <w:rsid w:val="00621D12"/>
    <w:rsid w:val="006236BE"/>
    <w:rsid w:val="00625A53"/>
    <w:rsid w:val="00627919"/>
    <w:rsid w:val="0063070B"/>
    <w:rsid w:val="00630874"/>
    <w:rsid w:val="006314F3"/>
    <w:rsid w:val="006352BA"/>
    <w:rsid w:val="006362D8"/>
    <w:rsid w:val="00637B39"/>
    <w:rsid w:val="00637C98"/>
    <w:rsid w:val="00640A88"/>
    <w:rsid w:val="006410EB"/>
    <w:rsid w:val="0064165F"/>
    <w:rsid w:val="006417E4"/>
    <w:rsid w:val="0064180B"/>
    <w:rsid w:val="0064283C"/>
    <w:rsid w:val="00643698"/>
    <w:rsid w:val="00644407"/>
    <w:rsid w:val="00644C2F"/>
    <w:rsid w:val="00644D22"/>
    <w:rsid w:val="00646339"/>
    <w:rsid w:val="00646419"/>
    <w:rsid w:val="00647E03"/>
    <w:rsid w:val="0065034B"/>
    <w:rsid w:val="00650613"/>
    <w:rsid w:val="00652B97"/>
    <w:rsid w:val="00655BC6"/>
    <w:rsid w:val="006575CA"/>
    <w:rsid w:val="00660448"/>
    <w:rsid w:val="0066325A"/>
    <w:rsid w:val="00663DFF"/>
    <w:rsid w:val="00663F52"/>
    <w:rsid w:val="006664D4"/>
    <w:rsid w:val="00666B89"/>
    <w:rsid w:val="00667942"/>
    <w:rsid w:val="00671381"/>
    <w:rsid w:val="006731EB"/>
    <w:rsid w:val="00673C9F"/>
    <w:rsid w:val="00674595"/>
    <w:rsid w:val="00674817"/>
    <w:rsid w:val="00677A1B"/>
    <w:rsid w:val="00677CE8"/>
    <w:rsid w:val="00680951"/>
    <w:rsid w:val="00680E46"/>
    <w:rsid w:val="00681B33"/>
    <w:rsid w:val="0068674C"/>
    <w:rsid w:val="00691354"/>
    <w:rsid w:val="00692AAD"/>
    <w:rsid w:val="006932B3"/>
    <w:rsid w:val="00693EEA"/>
    <w:rsid w:val="0069437F"/>
    <w:rsid w:val="00694F09"/>
    <w:rsid w:val="006950D7"/>
    <w:rsid w:val="00695371"/>
    <w:rsid w:val="006972CD"/>
    <w:rsid w:val="00697D76"/>
    <w:rsid w:val="006A115F"/>
    <w:rsid w:val="006A2478"/>
    <w:rsid w:val="006A2532"/>
    <w:rsid w:val="006A25BB"/>
    <w:rsid w:val="006A2955"/>
    <w:rsid w:val="006A3D90"/>
    <w:rsid w:val="006A41B9"/>
    <w:rsid w:val="006A4541"/>
    <w:rsid w:val="006A7DE3"/>
    <w:rsid w:val="006B1A7F"/>
    <w:rsid w:val="006B281A"/>
    <w:rsid w:val="006B3A9E"/>
    <w:rsid w:val="006B4AB7"/>
    <w:rsid w:val="006B52E4"/>
    <w:rsid w:val="006B5678"/>
    <w:rsid w:val="006B5C6E"/>
    <w:rsid w:val="006B6211"/>
    <w:rsid w:val="006B6B02"/>
    <w:rsid w:val="006B6B99"/>
    <w:rsid w:val="006C0C52"/>
    <w:rsid w:val="006C0E55"/>
    <w:rsid w:val="006C26BB"/>
    <w:rsid w:val="006C26F4"/>
    <w:rsid w:val="006C4A09"/>
    <w:rsid w:val="006C4B93"/>
    <w:rsid w:val="006C4D58"/>
    <w:rsid w:val="006C6031"/>
    <w:rsid w:val="006C6D71"/>
    <w:rsid w:val="006C6E54"/>
    <w:rsid w:val="006C7331"/>
    <w:rsid w:val="006D19B4"/>
    <w:rsid w:val="006D2C20"/>
    <w:rsid w:val="006D351B"/>
    <w:rsid w:val="006D4DA7"/>
    <w:rsid w:val="006D595A"/>
    <w:rsid w:val="006D6A5C"/>
    <w:rsid w:val="006D73A2"/>
    <w:rsid w:val="006E0060"/>
    <w:rsid w:val="006E0B1C"/>
    <w:rsid w:val="006E1EBC"/>
    <w:rsid w:val="006E2AFB"/>
    <w:rsid w:val="006E2B8F"/>
    <w:rsid w:val="006E39C5"/>
    <w:rsid w:val="006E3A07"/>
    <w:rsid w:val="006E4C37"/>
    <w:rsid w:val="006F11C2"/>
    <w:rsid w:val="006F2EED"/>
    <w:rsid w:val="006F5BF1"/>
    <w:rsid w:val="006F6555"/>
    <w:rsid w:val="006F66E7"/>
    <w:rsid w:val="00701043"/>
    <w:rsid w:val="007022F6"/>
    <w:rsid w:val="00703281"/>
    <w:rsid w:val="007047D4"/>
    <w:rsid w:val="0070499B"/>
    <w:rsid w:val="00706508"/>
    <w:rsid w:val="007072BF"/>
    <w:rsid w:val="007113F1"/>
    <w:rsid w:val="00712704"/>
    <w:rsid w:val="00712869"/>
    <w:rsid w:val="00723FF6"/>
    <w:rsid w:val="0072441F"/>
    <w:rsid w:val="00724598"/>
    <w:rsid w:val="0072466F"/>
    <w:rsid w:val="00724C19"/>
    <w:rsid w:val="00730F89"/>
    <w:rsid w:val="007316A6"/>
    <w:rsid w:val="00731737"/>
    <w:rsid w:val="00731D51"/>
    <w:rsid w:val="00732317"/>
    <w:rsid w:val="00733588"/>
    <w:rsid w:val="0073702E"/>
    <w:rsid w:val="0073745F"/>
    <w:rsid w:val="00737716"/>
    <w:rsid w:val="00737A34"/>
    <w:rsid w:val="00737F68"/>
    <w:rsid w:val="007416D9"/>
    <w:rsid w:val="00741964"/>
    <w:rsid w:val="00741F92"/>
    <w:rsid w:val="00744190"/>
    <w:rsid w:val="00744AE6"/>
    <w:rsid w:val="007452B1"/>
    <w:rsid w:val="00746101"/>
    <w:rsid w:val="00746F2C"/>
    <w:rsid w:val="00746F9B"/>
    <w:rsid w:val="00747758"/>
    <w:rsid w:val="00751C89"/>
    <w:rsid w:val="00751CF8"/>
    <w:rsid w:val="00753470"/>
    <w:rsid w:val="00753822"/>
    <w:rsid w:val="00755420"/>
    <w:rsid w:val="00761C7B"/>
    <w:rsid w:val="00761D2F"/>
    <w:rsid w:val="00762A56"/>
    <w:rsid w:val="00764B2C"/>
    <w:rsid w:val="0076506C"/>
    <w:rsid w:val="00765CD0"/>
    <w:rsid w:val="00767797"/>
    <w:rsid w:val="00770754"/>
    <w:rsid w:val="00770BB9"/>
    <w:rsid w:val="00770FD1"/>
    <w:rsid w:val="0077259F"/>
    <w:rsid w:val="00772821"/>
    <w:rsid w:val="00773AD0"/>
    <w:rsid w:val="007743DC"/>
    <w:rsid w:val="00774924"/>
    <w:rsid w:val="0077605B"/>
    <w:rsid w:val="00781626"/>
    <w:rsid w:val="00781E7A"/>
    <w:rsid w:val="00781E81"/>
    <w:rsid w:val="00785405"/>
    <w:rsid w:val="007859EA"/>
    <w:rsid w:val="00785EA0"/>
    <w:rsid w:val="00786021"/>
    <w:rsid w:val="007869B7"/>
    <w:rsid w:val="00791179"/>
    <w:rsid w:val="007927F8"/>
    <w:rsid w:val="007933CD"/>
    <w:rsid w:val="00793558"/>
    <w:rsid w:val="00794929"/>
    <w:rsid w:val="00795204"/>
    <w:rsid w:val="00795A24"/>
    <w:rsid w:val="00796140"/>
    <w:rsid w:val="00796D99"/>
    <w:rsid w:val="007A082D"/>
    <w:rsid w:val="007A1B4E"/>
    <w:rsid w:val="007A33E7"/>
    <w:rsid w:val="007A3469"/>
    <w:rsid w:val="007A4B4E"/>
    <w:rsid w:val="007B0788"/>
    <w:rsid w:val="007B46D1"/>
    <w:rsid w:val="007B5722"/>
    <w:rsid w:val="007B5AC9"/>
    <w:rsid w:val="007B69A3"/>
    <w:rsid w:val="007C2679"/>
    <w:rsid w:val="007C550B"/>
    <w:rsid w:val="007C7A83"/>
    <w:rsid w:val="007C7CD1"/>
    <w:rsid w:val="007C7F3A"/>
    <w:rsid w:val="007D0EB7"/>
    <w:rsid w:val="007D1E45"/>
    <w:rsid w:val="007D3AEA"/>
    <w:rsid w:val="007D3CE1"/>
    <w:rsid w:val="007D3E99"/>
    <w:rsid w:val="007D56A5"/>
    <w:rsid w:val="007D69BE"/>
    <w:rsid w:val="007D6C73"/>
    <w:rsid w:val="007D7FEA"/>
    <w:rsid w:val="007E2945"/>
    <w:rsid w:val="007E3A8D"/>
    <w:rsid w:val="007E3FC8"/>
    <w:rsid w:val="007E4E7E"/>
    <w:rsid w:val="007E64C2"/>
    <w:rsid w:val="007E6879"/>
    <w:rsid w:val="007E71FB"/>
    <w:rsid w:val="007F250B"/>
    <w:rsid w:val="007F2DFD"/>
    <w:rsid w:val="007F6FF6"/>
    <w:rsid w:val="00800C3A"/>
    <w:rsid w:val="00801E3A"/>
    <w:rsid w:val="00802583"/>
    <w:rsid w:val="008031DB"/>
    <w:rsid w:val="0080343B"/>
    <w:rsid w:val="00803A8B"/>
    <w:rsid w:val="00803DF6"/>
    <w:rsid w:val="00804BBC"/>
    <w:rsid w:val="00807103"/>
    <w:rsid w:val="0081115F"/>
    <w:rsid w:val="00811381"/>
    <w:rsid w:val="008118A9"/>
    <w:rsid w:val="00811F99"/>
    <w:rsid w:val="0081245B"/>
    <w:rsid w:val="008134C8"/>
    <w:rsid w:val="00814C44"/>
    <w:rsid w:val="00815666"/>
    <w:rsid w:val="008156BA"/>
    <w:rsid w:val="008171B0"/>
    <w:rsid w:val="008174E8"/>
    <w:rsid w:val="00820D02"/>
    <w:rsid w:val="00820FD2"/>
    <w:rsid w:val="008217D9"/>
    <w:rsid w:val="00822974"/>
    <w:rsid w:val="00822BB3"/>
    <w:rsid w:val="0082498B"/>
    <w:rsid w:val="008259D4"/>
    <w:rsid w:val="00825C2D"/>
    <w:rsid w:val="00826F0A"/>
    <w:rsid w:val="008303ED"/>
    <w:rsid w:val="00831ADE"/>
    <w:rsid w:val="00832011"/>
    <w:rsid w:val="00832ADF"/>
    <w:rsid w:val="008331C1"/>
    <w:rsid w:val="0083362F"/>
    <w:rsid w:val="0083381B"/>
    <w:rsid w:val="00834115"/>
    <w:rsid w:val="008368DD"/>
    <w:rsid w:val="0083777B"/>
    <w:rsid w:val="0084067A"/>
    <w:rsid w:val="008407DF"/>
    <w:rsid w:val="0084192D"/>
    <w:rsid w:val="00842940"/>
    <w:rsid w:val="00843820"/>
    <w:rsid w:val="00843E8C"/>
    <w:rsid w:val="00844A9A"/>
    <w:rsid w:val="00844E7C"/>
    <w:rsid w:val="008461DF"/>
    <w:rsid w:val="00846DEC"/>
    <w:rsid w:val="00846F90"/>
    <w:rsid w:val="00847BE1"/>
    <w:rsid w:val="00847CB4"/>
    <w:rsid w:val="00847D3B"/>
    <w:rsid w:val="008508CF"/>
    <w:rsid w:val="00853A9A"/>
    <w:rsid w:val="00854900"/>
    <w:rsid w:val="00854D83"/>
    <w:rsid w:val="00855587"/>
    <w:rsid w:val="00857CB9"/>
    <w:rsid w:val="0086010A"/>
    <w:rsid w:val="00862484"/>
    <w:rsid w:val="00864220"/>
    <w:rsid w:val="0086516E"/>
    <w:rsid w:val="00872576"/>
    <w:rsid w:val="008739C1"/>
    <w:rsid w:val="00874277"/>
    <w:rsid w:val="008746F6"/>
    <w:rsid w:val="00874723"/>
    <w:rsid w:val="008776E4"/>
    <w:rsid w:val="00880B45"/>
    <w:rsid w:val="00885719"/>
    <w:rsid w:val="008868A0"/>
    <w:rsid w:val="008868E9"/>
    <w:rsid w:val="00886E55"/>
    <w:rsid w:val="00887680"/>
    <w:rsid w:val="0089012D"/>
    <w:rsid w:val="0089031E"/>
    <w:rsid w:val="008922CC"/>
    <w:rsid w:val="008935E8"/>
    <w:rsid w:val="00894541"/>
    <w:rsid w:val="00894FEC"/>
    <w:rsid w:val="00895D47"/>
    <w:rsid w:val="008964B2"/>
    <w:rsid w:val="008A140F"/>
    <w:rsid w:val="008A30BF"/>
    <w:rsid w:val="008A56F7"/>
    <w:rsid w:val="008A6094"/>
    <w:rsid w:val="008A6CF8"/>
    <w:rsid w:val="008A6FC1"/>
    <w:rsid w:val="008A70A2"/>
    <w:rsid w:val="008B0410"/>
    <w:rsid w:val="008B23EB"/>
    <w:rsid w:val="008B4430"/>
    <w:rsid w:val="008B4F86"/>
    <w:rsid w:val="008B5A6F"/>
    <w:rsid w:val="008B5D0B"/>
    <w:rsid w:val="008B66D5"/>
    <w:rsid w:val="008B79CF"/>
    <w:rsid w:val="008B7B14"/>
    <w:rsid w:val="008C15F0"/>
    <w:rsid w:val="008C2311"/>
    <w:rsid w:val="008C26C5"/>
    <w:rsid w:val="008C281B"/>
    <w:rsid w:val="008C54FC"/>
    <w:rsid w:val="008C72F9"/>
    <w:rsid w:val="008C7B06"/>
    <w:rsid w:val="008D3D66"/>
    <w:rsid w:val="008D41C4"/>
    <w:rsid w:val="008D5934"/>
    <w:rsid w:val="008D6140"/>
    <w:rsid w:val="008D7432"/>
    <w:rsid w:val="008E1A7C"/>
    <w:rsid w:val="008E29E1"/>
    <w:rsid w:val="008E502B"/>
    <w:rsid w:val="008E6736"/>
    <w:rsid w:val="008E70E7"/>
    <w:rsid w:val="008E7155"/>
    <w:rsid w:val="008E7389"/>
    <w:rsid w:val="008F1549"/>
    <w:rsid w:val="008F36C6"/>
    <w:rsid w:val="008F4B7D"/>
    <w:rsid w:val="008F5CCD"/>
    <w:rsid w:val="00900793"/>
    <w:rsid w:val="00904EBD"/>
    <w:rsid w:val="00912C27"/>
    <w:rsid w:val="00913F3E"/>
    <w:rsid w:val="00915E4D"/>
    <w:rsid w:val="00915F8B"/>
    <w:rsid w:val="009163BD"/>
    <w:rsid w:val="00916FCE"/>
    <w:rsid w:val="009205D1"/>
    <w:rsid w:val="009222B6"/>
    <w:rsid w:val="0092253B"/>
    <w:rsid w:val="00922E74"/>
    <w:rsid w:val="009230D0"/>
    <w:rsid w:val="0092463F"/>
    <w:rsid w:val="009254E1"/>
    <w:rsid w:val="0092580A"/>
    <w:rsid w:val="00926606"/>
    <w:rsid w:val="00931BF4"/>
    <w:rsid w:val="00935EEF"/>
    <w:rsid w:val="00936104"/>
    <w:rsid w:val="00937E83"/>
    <w:rsid w:val="0094001D"/>
    <w:rsid w:val="00940541"/>
    <w:rsid w:val="009414D1"/>
    <w:rsid w:val="00942BDD"/>
    <w:rsid w:val="00946361"/>
    <w:rsid w:val="00950AC8"/>
    <w:rsid w:val="0095207D"/>
    <w:rsid w:val="00955E26"/>
    <w:rsid w:val="00956B56"/>
    <w:rsid w:val="00956DFC"/>
    <w:rsid w:val="00957952"/>
    <w:rsid w:val="00961B96"/>
    <w:rsid w:val="009627C7"/>
    <w:rsid w:val="00963E04"/>
    <w:rsid w:val="009642BE"/>
    <w:rsid w:val="00966DEC"/>
    <w:rsid w:val="00967887"/>
    <w:rsid w:val="00972471"/>
    <w:rsid w:val="00974B5C"/>
    <w:rsid w:val="00974DA4"/>
    <w:rsid w:val="009765BE"/>
    <w:rsid w:val="009808EB"/>
    <w:rsid w:val="00980FF2"/>
    <w:rsid w:val="00981B7B"/>
    <w:rsid w:val="00982E45"/>
    <w:rsid w:val="00982F77"/>
    <w:rsid w:val="00983D8A"/>
    <w:rsid w:val="009848FA"/>
    <w:rsid w:val="009849A5"/>
    <w:rsid w:val="00987738"/>
    <w:rsid w:val="00987E6D"/>
    <w:rsid w:val="00990CF3"/>
    <w:rsid w:val="00992DAA"/>
    <w:rsid w:val="00993056"/>
    <w:rsid w:val="009930F5"/>
    <w:rsid w:val="00993C61"/>
    <w:rsid w:val="00994625"/>
    <w:rsid w:val="0099477E"/>
    <w:rsid w:val="00994850"/>
    <w:rsid w:val="0099512B"/>
    <w:rsid w:val="00995A15"/>
    <w:rsid w:val="0099704D"/>
    <w:rsid w:val="009A3E22"/>
    <w:rsid w:val="009A3E5B"/>
    <w:rsid w:val="009B115B"/>
    <w:rsid w:val="009B1228"/>
    <w:rsid w:val="009B1D1C"/>
    <w:rsid w:val="009B302F"/>
    <w:rsid w:val="009B4CA5"/>
    <w:rsid w:val="009B53E9"/>
    <w:rsid w:val="009B6122"/>
    <w:rsid w:val="009C046D"/>
    <w:rsid w:val="009C115E"/>
    <w:rsid w:val="009C2DCF"/>
    <w:rsid w:val="009C31DD"/>
    <w:rsid w:val="009C4E2F"/>
    <w:rsid w:val="009C5A89"/>
    <w:rsid w:val="009C5AF1"/>
    <w:rsid w:val="009C6255"/>
    <w:rsid w:val="009C6258"/>
    <w:rsid w:val="009C7708"/>
    <w:rsid w:val="009D008D"/>
    <w:rsid w:val="009D064E"/>
    <w:rsid w:val="009D0CBE"/>
    <w:rsid w:val="009D105E"/>
    <w:rsid w:val="009D185F"/>
    <w:rsid w:val="009D317A"/>
    <w:rsid w:val="009D3C93"/>
    <w:rsid w:val="009D3CEC"/>
    <w:rsid w:val="009D3FAA"/>
    <w:rsid w:val="009D4424"/>
    <w:rsid w:val="009D53C4"/>
    <w:rsid w:val="009D5CFD"/>
    <w:rsid w:val="009D6FB2"/>
    <w:rsid w:val="009D7149"/>
    <w:rsid w:val="009D7588"/>
    <w:rsid w:val="009D7E76"/>
    <w:rsid w:val="009E0202"/>
    <w:rsid w:val="009E151F"/>
    <w:rsid w:val="009E2103"/>
    <w:rsid w:val="009E212A"/>
    <w:rsid w:val="009E21AD"/>
    <w:rsid w:val="009E223D"/>
    <w:rsid w:val="009E3081"/>
    <w:rsid w:val="009E3EA0"/>
    <w:rsid w:val="009E3ED8"/>
    <w:rsid w:val="009E58E3"/>
    <w:rsid w:val="009E5C47"/>
    <w:rsid w:val="009E61CD"/>
    <w:rsid w:val="009E62C0"/>
    <w:rsid w:val="009E7C00"/>
    <w:rsid w:val="009E7EC5"/>
    <w:rsid w:val="009F00B6"/>
    <w:rsid w:val="009F0B73"/>
    <w:rsid w:val="009F24C3"/>
    <w:rsid w:val="009F392C"/>
    <w:rsid w:val="009F6708"/>
    <w:rsid w:val="009F6B34"/>
    <w:rsid w:val="00A0012E"/>
    <w:rsid w:val="00A00B38"/>
    <w:rsid w:val="00A014E9"/>
    <w:rsid w:val="00A02872"/>
    <w:rsid w:val="00A03976"/>
    <w:rsid w:val="00A042D9"/>
    <w:rsid w:val="00A045BA"/>
    <w:rsid w:val="00A05288"/>
    <w:rsid w:val="00A079FB"/>
    <w:rsid w:val="00A07F5F"/>
    <w:rsid w:val="00A1246A"/>
    <w:rsid w:val="00A12989"/>
    <w:rsid w:val="00A131B7"/>
    <w:rsid w:val="00A13F66"/>
    <w:rsid w:val="00A14863"/>
    <w:rsid w:val="00A166C5"/>
    <w:rsid w:val="00A17BB0"/>
    <w:rsid w:val="00A2184A"/>
    <w:rsid w:val="00A21C41"/>
    <w:rsid w:val="00A21DDD"/>
    <w:rsid w:val="00A222A3"/>
    <w:rsid w:val="00A22D7D"/>
    <w:rsid w:val="00A3044C"/>
    <w:rsid w:val="00A3079B"/>
    <w:rsid w:val="00A32B6D"/>
    <w:rsid w:val="00A33AD3"/>
    <w:rsid w:val="00A33BB5"/>
    <w:rsid w:val="00A33C0F"/>
    <w:rsid w:val="00A35B85"/>
    <w:rsid w:val="00A36293"/>
    <w:rsid w:val="00A36968"/>
    <w:rsid w:val="00A37B36"/>
    <w:rsid w:val="00A37B41"/>
    <w:rsid w:val="00A4074A"/>
    <w:rsid w:val="00A42CE8"/>
    <w:rsid w:val="00A44385"/>
    <w:rsid w:val="00A4448D"/>
    <w:rsid w:val="00A4457B"/>
    <w:rsid w:val="00A4524D"/>
    <w:rsid w:val="00A4554F"/>
    <w:rsid w:val="00A46120"/>
    <w:rsid w:val="00A478FF"/>
    <w:rsid w:val="00A504D6"/>
    <w:rsid w:val="00A5135F"/>
    <w:rsid w:val="00A51CF6"/>
    <w:rsid w:val="00A55A18"/>
    <w:rsid w:val="00A56188"/>
    <w:rsid w:val="00A56537"/>
    <w:rsid w:val="00A5766F"/>
    <w:rsid w:val="00A57E69"/>
    <w:rsid w:val="00A60630"/>
    <w:rsid w:val="00A611D9"/>
    <w:rsid w:val="00A616F2"/>
    <w:rsid w:val="00A62848"/>
    <w:rsid w:val="00A7148F"/>
    <w:rsid w:val="00A7226C"/>
    <w:rsid w:val="00A75380"/>
    <w:rsid w:val="00A761B5"/>
    <w:rsid w:val="00A76860"/>
    <w:rsid w:val="00A76EC3"/>
    <w:rsid w:val="00A8074A"/>
    <w:rsid w:val="00A82071"/>
    <w:rsid w:val="00A82223"/>
    <w:rsid w:val="00A82FC9"/>
    <w:rsid w:val="00A83744"/>
    <w:rsid w:val="00A85AEF"/>
    <w:rsid w:val="00A90A61"/>
    <w:rsid w:val="00A9303B"/>
    <w:rsid w:val="00A9401A"/>
    <w:rsid w:val="00A9596E"/>
    <w:rsid w:val="00A95EBD"/>
    <w:rsid w:val="00A96B87"/>
    <w:rsid w:val="00A97861"/>
    <w:rsid w:val="00A97DA3"/>
    <w:rsid w:val="00AA0929"/>
    <w:rsid w:val="00AA27B3"/>
    <w:rsid w:val="00AA47A4"/>
    <w:rsid w:val="00AA48AA"/>
    <w:rsid w:val="00AA5AC3"/>
    <w:rsid w:val="00AA6976"/>
    <w:rsid w:val="00AA6B1A"/>
    <w:rsid w:val="00AA725E"/>
    <w:rsid w:val="00AA79F7"/>
    <w:rsid w:val="00AB0123"/>
    <w:rsid w:val="00AB0E89"/>
    <w:rsid w:val="00AB3E4A"/>
    <w:rsid w:val="00AB4092"/>
    <w:rsid w:val="00AB40CF"/>
    <w:rsid w:val="00AB7091"/>
    <w:rsid w:val="00AC01DE"/>
    <w:rsid w:val="00AC03B5"/>
    <w:rsid w:val="00AC1C93"/>
    <w:rsid w:val="00AC24E6"/>
    <w:rsid w:val="00AC2622"/>
    <w:rsid w:val="00AC4E29"/>
    <w:rsid w:val="00AC648B"/>
    <w:rsid w:val="00AC6BB1"/>
    <w:rsid w:val="00AC6E87"/>
    <w:rsid w:val="00AC70D3"/>
    <w:rsid w:val="00AC73D7"/>
    <w:rsid w:val="00AC7DA1"/>
    <w:rsid w:val="00AD14AD"/>
    <w:rsid w:val="00AD1E62"/>
    <w:rsid w:val="00AD23B6"/>
    <w:rsid w:val="00AD2F1D"/>
    <w:rsid w:val="00AD3852"/>
    <w:rsid w:val="00AD45A6"/>
    <w:rsid w:val="00AD4874"/>
    <w:rsid w:val="00AD5965"/>
    <w:rsid w:val="00AD74A7"/>
    <w:rsid w:val="00AE10C6"/>
    <w:rsid w:val="00AE28B3"/>
    <w:rsid w:val="00AE3AE3"/>
    <w:rsid w:val="00AE446D"/>
    <w:rsid w:val="00AE5D11"/>
    <w:rsid w:val="00AE798E"/>
    <w:rsid w:val="00AF0680"/>
    <w:rsid w:val="00AF154B"/>
    <w:rsid w:val="00AF1732"/>
    <w:rsid w:val="00AF1D4D"/>
    <w:rsid w:val="00AF2E66"/>
    <w:rsid w:val="00B00601"/>
    <w:rsid w:val="00B01702"/>
    <w:rsid w:val="00B04DCF"/>
    <w:rsid w:val="00B05A53"/>
    <w:rsid w:val="00B101FE"/>
    <w:rsid w:val="00B10D48"/>
    <w:rsid w:val="00B1112B"/>
    <w:rsid w:val="00B128C9"/>
    <w:rsid w:val="00B12D2A"/>
    <w:rsid w:val="00B133D8"/>
    <w:rsid w:val="00B136E0"/>
    <w:rsid w:val="00B1399C"/>
    <w:rsid w:val="00B14BDA"/>
    <w:rsid w:val="00B14F58"/>
    <w:rsid w:val="00B15050"/>
    <w:rsid w:val="00B15F0F"/>
    <w:rsid w:val="00B163C5"/>
    <w:rsid w:val="00B21511"/>
    <w:rsid w:val="00B21FD8"/>
    <w:rsid w:val="00B222EC"/>
    <w:rsid w:val="00B226A3"/>
    <w:rsid w:val="00B23024"/>
    <w:rsid w:val="00B23F3A"/>
    <w:rsid w:val="00B251A8"/>
    <w:rsid w:val="00B252BA"/>
    <w:rsid w:val="00B302C3"/>
    <w:rsid w:val="00B30844"/>
    <w:rsid w:val="00B312FC"/>
    <w:rsid w:val="00B31A20"/>
    <w:rsid w:val="00B33588"/>
    <w:rsid w:val="00B33AB0"/>
    <w:rsid w:val="00B33BC5"/>
    <w:rsid w:val="00B33FFB"/>
    <w:rsid w:val="00B34421"/>
    <w:rsid w:val="00B36C55"/>
    <w:rsid w:val="00B37C96"/>
    <w:rsid w:val="00B4016C"/>
    <w:rsid w:val="00B40AF6"/>
    <w:rsid w:val="00B4274C"/>
    <w:rsid w:val="00B4355A"/>
    <w:rsid w:val="00B43CF7"/>
    <w:rsid w:val="00B46819"/>
    <w:rsid w:val="00B46AC1"/>
    <w:rsid w:val="00B46BA5"/>
    <w:rsid w:val="00B517D3"/>
    <w:rsid w:val="00B53CB2"/>
    <w:rsid w:val="00B55D80"/>
    <w:rsid w:val="00B563EE"/>
    <w:rsid w:val="00B56EB7"/>
    <w:rsid w:val="00B60894"/>
    <w:rsid w:val="00B61E06"/>
    <w:rsid w:val="00B6270A"/>
    <w:rsid w:val="00B63D9B"/>
    <w:rsid w:val="00B6440C"/>
    <w:rsid w:val="00B65E88"/>
    <w:rsid w:val="00B65F58"/>
    <w:rsid w:val="00B662B5"/>
    <w:rsid w:val="00B679A3"/>
    <w:rsid w:val="00B67EC1"/>
    <w:rsid w:val="00B70235"/>
    <w:rsid w:val="00B70D71"/>
    <w:rsid w:val="00B72043"/>
    <w:rsid w:val="00B76045"/>
    <w:rsid w:val="00B771DF"/>
    <w:rsid w:val="00B77497"/>
    <w:rsid w:val="00B77697"/>
    <w:rsid w:val="00B83243"/>
    <w:rsid w:val="00B85967"/>
    <w:rsid w:val="00B85BDA"/>
    <w:rsid w:val="00B86621"/>
    <w:rsid w:val="00B906FE"/>
    <w:rsid w:val="00B917F2"/>
    <w:rsid w:val="00B92EC9"/>
    <w:rsid w:val="00B93B28"/>
    <w:rsid w:val="00B95F3D"/>
    <w:rsid w:val="00BA18B3"/>
    <w:rsid w:val="00BA41A2"/>
    <w:rsid w:val="00BA436D"/>
    <w:rsid w:val="00BA4798"/>
    <w:rsid w:val="00BA4950"/>
    <w:rsid w:val="00BA5A3C"/>
    <w:rsid w:val="00BA6B4B"/>
    <w:rsid w:val="00BA71B8"/>
    <w:rsid w:val="00BA7346"/>
    <w:rsid w:val="00BB1A89"/>
    <w:rsid w:val="00BB3678"/>
    <w:rsid w:val="00BB6C26"/>
    <w:rsid w:val="00BC1956"/>
    <w:rsid w:val="00BC27DA"/>
    <w:rsid w:val="00BC2AD7"/>
    <w:rsid w:val="00BC3FE3"/>
    <w:rsid w:val="00BC47E1"/>
    <w:rsid w:val="00BC4FB8"/>
    <w:rsid w:val="00BC57BF"/>
    <w:rsid w:val="00BC64A2"/>
    <w:rsid w:val="00BC6A84"/>
    <w:rsid w:val="00BC73F1"/>
    <w:rsid w:val="00BC7BB3"/>
    <w:rsid w:val="00BC7E20"/>
    <w:rsid w:val="00BD1570"/>
    <w:rsid w:val="00BD2572"/>
    <w:rsid w:val="00BD2AE7"/>
    <w:rsid w:val="00BE0E3C"/>
    <w:rsid w:val="00BE182C"/>
    <w:rsid w:val="00BE511B"/>
    <w:rsid w:val="00BF2060"/>
    <w:rsid w:val="00BF3384"/>
    <w:rsid w:val="00BF3FA9"/>
    <w:rsid w:val="00BF4320"/>
    <w:rsid w:val="00BF5B1F"/>
    <w:rsid w:val="00BF7226"/>
    <w:rsid w:val="00BF7FFB"/>
    <w:rsid w:val="00C00EDE"/>
    <w:rsid w:val="00C01E81"/>
    <w:rsid w:val="00C021E1"/>
    <w:rsid w:val="00C038A3"/>
    <w:rsid w:val="00C0666D"/>
    <w:rsid w:val="00C06F42"/>
    <w:rsid w:val="00C07D51"/>
    <w:rsid w:val="00C07E22"/>
    <w:rsid w:val="00C07F7E"/>
    <w:rsid w:val="00C10541"/>
    <w:rsid w:val="00C11175"/>
    <w:rsid w:val="00C1264C"/>
    <w:rsid w:val="00C126C5"/>
    <w:rsid w:val="00C14797"/>
    <w:rsid w:val="00C16B26"/>
    <w:rsid w:val="00C2124A"/>
    <w:rsid w:val="00C24AA2"/>
    <w:rsid w:val="00C24FB8"/>
    <w:rsid w:val="00C27079"/>
    <w:rsid w:val="00C30E50"/>
    <w:rsid w:val="00C35EA9"/>
    <w:rsid w:val="00C37C9B"/>
    <w:rsid w:val="00C403BD"/>
    <w:rsid w:val="00C4053B"/>
    <w:rsid w:val="00C406A6"/>
    <w:rsid w:val="00C40719"/>
    <w:rsid w:val="00C41C8B"/>
    <w:rsid w:val="00C4325C"/>
    <w:rsid w:val="00C441E8"/>
    <w:rsid w:val="00C4427C"/>
    <w:rsid w:val="00C44DCB"/>
    <w:rsid w:val="00C4656A"/>
    <w:rsid w:val="00C46D3E"/>
    <w:rsid w:val="00C470E7"/>
    <w:rsid w:val="00C47A68"/>
    <w:rsid w:val="00C47C3A"/>
    <w:rsid w:val="00C505D2"/>
    <w:rsid w:val="00C507C6"/>
    <w:rsid w:val="00C52DC5"/>
    <w:rsid w:val="00C5321E"/>
    <w:rsid w:val="00C54885"/>
    <w:rsid w:val="00C5566D"/>
    <w:rsid w:val="00C55AC2"/>
    <w:rsid w:val="00C565C6"/>
    <w:rsid w:val="00C601A9"/>
    <w:rsid w:val="00C609C3"/>
    <w:rsid w:val="00C60C21"/>
    <w:rsid w:val="00C610A7"/>
    <w:rsid w:val="00C64AB7"/>
    <w:rsid w:val="00C65A55"/>
    <w:rsid w:val="00C662F5"/>
    <w:rsid w:val="00C67026"/>
    <w:rsid w:val="00C671D1"/>
    <w:rsid w:val="00C71A49"/>
    <w:rsid w:val="00C72649"/>
    <w:rsid w:val="00C73A2A"/>
    <w:rsid w:val="00C7476C"/>
    <w:rsid w:val="00C748FF"/>
    <w:rsid w:val="00C754C3"/>
    <w:rsid w:val="00C767D5"/>
    <w:rsid w:val="00C83C84"/>
    <w:rsid w:val="00C8466E"/>
    <w:rsid w:val="00C84C07"/>
    <w:rsid w:val="00C84E64"/>
    <w:rsid w:val="00C862D4"/>
    <w:rsid w:val="00C87D37"/>
    <w:rsid w:val="00C90424"/>
    <w:rsid w:val="00C91E07"/>
    <w:rsid w:val="00C91E30"/>
    <w:rsid w:val="00C91EA0"/>
    <w:rsid w:val="00C92C41"/>
    <w:rsid w:val="00C932AB"/>
    <w:rsid w:val="00C9506D"/>
    <w:rsid w:val="00C95CAA"/>
    <w:rsid w:val="00C97938"/>
    <w:rsid w:val="00C97C9D"/>
    <w:rsid w:val="00CA0334"/>
    <w:rsid w:val="00CA0BCC"/>
    <w:rsid w:val="00CA1825"/>
    <w:rsid w:val="00CA3C95"/>
    <w:rsid w:val="00CA544E"/>
    <w:rsid w:val="00CA5E36"/>
    <w:rsid w:val="00CA752E"/>
    <w:rsid w:val="00CB0031"/>
    <w:rsid w:val="00CB09A7"/>
    <w:rsid w:val="00CB0E38"/>
    <w:rsid w:val="00CB1344"/>
    <w:rsid w:val="00CB26A9"/>
    <w:rsid w:val="00CB2DFD"/>
    <w:rsid w:val="00CB3DBD"/>
    <w:rsid w:val="00CB5B7B"/>
    <w:rsid w:val="00CC08A9"/>
    <w:rsid w:val="00CC0A9E"/>
    <w:rsid w:val="00CC12F8"/>
    <w:rsid w:val="00CC140E"/>
    <w:rsid w:val="00CC1530"/>
    <w:rsid w:val="00CC238A"/>
    <w:rsid w:val="00CC502A"/>
    <w:rsid w:val="00CC7006"/>
    <w:rsid w:val="00CD07B9"/>
    <w:rsid w:val="00CD0C38"/>
    <w:rsid w:val="00CD25B1"/>
    <w:rsid w:val="00CD3119"/>
    <w:rsid w:val="00CD37BA"/>
    <w:rsid w:val="00CD7A4F"/>
    <w:rsid w:val="00CE0D87"/>
    <w:rsid w:val="00CE123D"/>
    <w:rsid w:val="00CE147D"/>
    <w:rsid w:val="00CE6549"/>
    <w:rsid w:val="00CE6B0B"/>
    <w:rsid w:val="00CE6DC2"/>
    <w:rsid w:val="00CE77B3"/>
    <w:rsid w:val="00CF74B8"/>
    <w:rsid w:val="00CF7BEA"/>
    <w:rsid w:val="00D0008C"/>
    <w:rsid w:val="00D0042B"/>
    <w:rsid w:val="00D00524"/>
    <w:rsid w:val="00D02127"/>
    <w:rsid w:val="00D02C5E"/>
    <w:rsid w:val="00D03A40"/>
    <w:rsid w:val="00D06996"/>
    <w:rsid w:val="00D07835"/>
    <w:rsid w:val="00D109F6"/>
    <w:rsid w:val="00D10E11"/>
    <w:rsid w:val="00D14F97"/>
    <w:rsid w:val="00D165F3"/>
    <w:rsid w:val="00D16800"/>
    <w:rsid w:val="00D175E2"/>
    <w:rsid w:val="00D17773"/>
    <w:rsid w:val="00D22550"/>
    <w:rsid w:val="00D25ED8"/>
    <w:rsid w:val="00D26573"/>
    <w:rsid w:val="00D2668E"/>
    <w:rsid w:val="00D26814"/>
    <w:rsid w:val="00D26CA4"/>
    <w:rsid w:val="00D26D8D"/>
    <w:rsid w:val="00D2752E"/>
    <w:rsid w:val="00D30F50"/>
    <w:rsid w:val="00D345E6"/>
    <w:rsid w:val="00D346BF"/>
    <w:rsid w:val="00D34BAE"/>
    <w:rsid w:val="00D34F6E"/>
    <w:rsid w:val="00D35601"/>
    <w:rsid w:val="00D36C81"/>
    <w:rsid w:val="00D41841"/>
    <w:rsid w:val="00D42B6E"/>
    <w:rsid w:val="00D4306B"/>
    <w:rsid w:val="00D434ED"/>
    <w:rsid w:val="00D43C26"/>
    <w:rsid w:val="00D444FB"/>
    <w:rsid w:val="00D44A82"/>
    <w:rsid w:val="00D44DF9"/>
    <w:rsid w:val="00D475FA"/>
    <w:rsid w:val="00D515B4"/>
    <w:rsid w:val="00D531E7"/>
    <w:rsid w:val="00D53E08"/>
    <w:rsid w:val="00D5423B"/>
    <w:rsid w:val="00D54EB6"/>
    <w:rsid w:val="00D556A0"/>
    <w:rsid w:val="00D55E8C"/>
    <w:rsid w:val="00D5636E"/>
    <w:rsid w:val="00D577E3"/>
    <w:rsid w:val="00D61239"/>
    <w:rsid w:val="00D61473"/>
    <w:rsid w:val="00D65215"/>
    <w:rsid w:val="00D66134"/>
    <w:rsid w:val="00D7117C"/>
    <w:rsid w:val="00D718F7"/>
    <w:rsid w:val="00D7247D"/>
    <w:rsid w:val="00D7292A"/>
    <w:rsid w:val="00D72A80"/>
    <w:rsid w:val="00D73778"/>
    <w:rsid w:val="00D73C60"/>
    <w:rsid w:val="00D7579F"/>
    <w:rsid w:val="00D76398"/>
    <w:rsid w:val="00D76830"/>
    <w:rsid w:val="00D769F2"/>
    <w:rsid w:val="00D77442"/>
    <w:rsid w:val="00D774CC"/>
    <w:rsid w:val="00D77812"/>
    <w:rsid w:val="00D81930"/>
    <w:rsid w:val="00D835CF"/>
    <w:rsid w:val="00D86483"/>
    <w:rsid w:val="00D86CDA"/>
    <w:rsid w:val="00D87B56"/>
    <w:rsid w:val="00D90EB4"/>
    <w:rsid w:val="00D915DB"/>
    <w:rsid w:val="00D917A2"/>
    <w:rsid w:val="00D9199C"/>
    <w:rsid w:val="00D949DA"/>
    <w:rsid w:val="00D96402"/>
    <w:rsid w:val="00DA18C0"/>
    <w:rsid w:val="00DA4F0B"/>
    <w:rsid w:val="00DA5F48"/>
    <w:rsid w:val="00DA6016"/>
    <w:rsid w:val="00DA68D5"/>
    <w:rsid w:val="00DA7066"/>
    <w:rsid w:val="00DA75E5"/>
    <w:rsid w:val="00DA7982"/>
    <w:rsid w:val="00DA7C07"/>
    <w:rsid w:val="00DB015D"/>
    <w:rsid w:val="00DB1459"/>
    <w:rsid w:val="00DB6BBF"/>
    <w:rsid w:val="00DC0355"/>
    <w:rsid w:val="00DC5B06"/>
    <w:rsid w:val="00DC6184"/>
    <w:rsid w:val="00DC652A"/>
    <w:rsid w:val="00DC7794"/>
    <w:rsid w:val="00DD1D48"/>
    <w:rsid w:val="00DD22A6"/>
    <w:rsid w:val="00DD358E"/>
    <w:rsid w:val="00DD3F98"/>
    <w:rsid w:val="00DD60C1"/>
    <w:rsid w:val="00DD774D"/>
    <w:rsid w:val="00DD796F"/>
    <w:rsid w:val="00DE0F92"/>
    <w:rsid w:val="00DE17AF"/>
    <w:rsid w:val="00DE2C71"/>
    <w:rsid w:val="00DE3FE2"/>
    <w:rsid w:val="00DE428D"/>
    <w:rsid w:val="00DE56B9"/>
    <w:rsid w:val="00DE58F1"/>
    <w:rsid w:val="00DE5D2A"/>
    <w:rsid w:val="00DE6B84"/>
    <w:rsid w:val="00DF0103"/>
    <w:rsid w:val="00DF097A"/>
    <w:rsid w:val="00DF099F"/>
    <w:rsid w:val="00DF45FD"/>
    <w:rsid w:val="00DF6576"/>
    <w:rsid w:val="00DF7502"/>
    <w:rsid w:val="00DF7F62"/>
    <w:rsid w:val="00E06D49"/>
    <w:rsid w:val="00E07403"/>
    <w:rsid w:val="00E1043A"/>
    <w:rsid w:val="00E107BA"/>
    <w:rsid w:val="00E107D4"/>
    <w:rsid w:val="00E11492"/>
    <w:rsid w:val="00E115B2"/>
    <w:rsid w:val="00E11A77"/>
    <w:rsid w:val="00E14756"/>
    <w:rsid w:val="00E16133"/>
    <w:rsid w:val="00E169A6"/>
    <w:rsid w:val="00E21895"/>
    <w:rsid w:val="00E219B4"/>
    <w:rsid w:val="00E23F1F"/>
    <w:rsid w:val="00E24CD9"/>
    <w:rsid w:val="00E251B6"/>
    <w:rsid w:val="00E2715B"/>
    <w:rsid w:val="00E325A5"/>
    <w:rsid w:val="00E34123"/>
    <w:rsid w:val="00E34FE6"/>
    <w:rsid w:val="00E3776A"/>
    <w:rsid w:val="00E4045A"/>
    <w:rsid w:val="00E41086"/>
    <w:rsid w:val="00E414BF"/>
    <w:rsid w:val="00E416E9"/>
    <w:rsid w:val="00E425E6"/>
    <w:rsid w:val="00E43841"/>
    <w:rsid w:val="00E4620F"/>
    <w:rsid w:val="00E4676C"/>
    <w:rsid w:val="00E51356"/>
    <w:rsid w:val="00E51957"/>
    <w:rsid w:val="00E53F68"/>
    <w:rsid w:val="00E56A74"/>
    <w:rsid w:val="00E6123B"/>
    <w:rsid w:val="00E612BA"/>
    <w:rsid w:val="00E62B0A"/>
    <w:rsid w:val="00E63C1D"/>
    <w:rsid w:val="00E63C3F"/>
    <w:rsid w:val="00E662DA"/>
    <w:rsid w:val="00E66584"/>
    <w:rsid w:val="00E67A1E"/>
    <w:rsid w:val="00E722F8"/>
    <w:rsid w:val="00E7350E"/>
    <w:rsid w:val="00E7363F"/>
    <w:rsid w:val="00E739B3"/>
    <w:rsid w:val="00E73C64"/>
    <w:rsid w:val="00E74048"/>
    <w:rsid w:val="00E74897"/>
    <w:rsid w:val="00E75D4F"/>
    <w:rsid w:val="00E76EA1"/>
    <w:rsid w:val="00E7793F"/>
    <w:rsid w:val="00E77B69"/>
    <w:rsid w:val="00E8141B"/>
    <w:rsid w:val="00E8160F"/>
    <w:rsid w:val="00E81BC9"/>
    <w:rsid w:val="00E834A8"/>
    <w:rsid w:val="00E852AC"/>
    <w:rsid w:val="00E85A4B"/>
    <w:rsid w:val="00E85E0C"/>
    <w:rsid w:val="00E86BD8"/>
    <w:rsid w:val="00E8798B"/>
    <w:rsid w:val="00E9058C"/>
    <w:rsid w:val="00E906C6"/>
    <w:rsid w:val="00E92679"/>
    <w:rsid w:val="00E935B0"/>
    <w:rsid w:val="00E93A9D"/>
    <w:rsid w:val="00E958E5"/>
    <w:rsid w:val="00E963E3"/>
    <w:rsid w:val="00E964EA"/>
    <w:rsid w:val="00E978DC"/>
    <w:rsid w:val="00EA0877"/>
    <w:rsid w:val="00EA1407"/>
    <w:rsid w:val="00EA1911"/>
    <w:rsid w:val="00EA21F9"/>
    <w:rsid w:val="00EA28A3"/>
    <w:rsid w:val="00EA2F2D"/>
    <w:rsid w:val="00EA39A2"/>
    <w:rsid w:val="00EA3B3E"/>
    <w:rsid w:val="00EA3D62"/>
    <w:rsid w:val="00EA3F18"/>
    <w:rsid w:val="00EA6C0B"/>
    <w:rsid w:val="00EB1447"/>
    <w:rsid w:val="00EB15EB"/>
    <w:rsid w:val="00EB2C31"/>
    <w:rsid w:val="00EB58FE"/>
    <w:rsid w:val="00EB5C3C"/>
    <w:rsid w:val="00EC0803"/>
    <w:rsid w:val="00EC211A"/>
    <w:rsid w:val="00EC3959"/>
    <w:rsid w:val="00EC3B59"/>
    <w:rsid w:val="00EC4518"/>
    <w:rsid w:val="00EC5AE9"/>
    <w:rsid w:val="00EC6934"/>
    <w:rsid w:val="00EC7014"/>
    <w:rsid w:val="00ED0254"/>
    <w:rsid w:val="00ED08EB"/>
    <w:rsid w:val="00ED1386"/>
    <w:rsid w:val="00ED151F"/>
    <w:rsid w:val="00ED4870"/>
    <w:rsid w:val="00ED5137"/>
    <w:rsid w:val="00ED5343"/>
    <w:rsid w:val="00ED59BF"/>
    <w:rsid w:val="00ED5A16"/>
    <w:rsid w:val="00ED7BD2"/>
    <w:rsid w:val="00EE18DD"/>
    <w:rsid w:val="00EE1D96"/>
    <w:rsid w:val="00EE23D1"/>
    <w:rsid w:val="00EE25F8"/>
    <w:rsid w:val="00EE280F"/>
    <w:rsid w:val="00EE2A53"/>
    <w:rsid w:val="00EE3C3D"/>
    <w:rsid w:val="00EE3D71"/>
    <w:rsid w:val="00EE55AB"/>
    <w:rsid w:val="00EE6732"/>
    <w:rsid w:val="00EF00D5"/>
    <w:rsid w:val="00EF062B"/>
    <w:rsid w:val="00EF171A"/>
    <w:rsid w:val="00EF333C"/>
    <w:rsid w:val="00EF5175"/>
    <w:rsid w:val="00EF614A"/>
    <w:rsid w:val="00EF66FE"/>
    <w:rsid w:val="00F0176D"/>
    <w:rsid w:val="00F017BB"/>
    <w:rsid w:val="00F01FDA"/>
    <w:rsid w:val="00F029FE"/>
    <w:rsid w:val="00F041AD"/>
    <w:rsid w:val="00F04FCD"/>
    <w:rsid w:val="00F05C16"/>
    <w:rsid w:val="00F077AF"/>
    <w:rsid w:val="00F07DAF"/>
    <w:rsid w:val="00F15174"/>
    <w:rsid w:val="00F15EBB"/>
    <w:rsid w:val="00F16951"/>
    <w:rsid w:val="00F1727F"/>
    <w:rsid w:val="00F22491"/>
    <w:rsid w:val="00F22508"/>
    <w:rsid w:val="00F230B6"/>
    <w:rsid w:val="00F23166"/>
    <w:rsid w:val="00F24500"/>
    <w:rsid w:val="00F24CA2"/>
    <w:rsid w:val="00F252F2"/>
    <w:rsid w:val="00F25884"/>
    <w:rsid w:val="00F27BB7"/>
    <w:rsid w:val="00F30F5B"/>
    <w:rsid w:val="00F326A5"/>
    <w:rsid w:val="00F32967"/>
    <w:rsid w:val="00F33713"/>
    <w:rsid w:val="00F339BF"/>
    <w:rsid w:val="00F33F31"/>
    <w:rsid w:val="00F34062"/>
    <w:rsid w:val="00F35373"/>
    <w:rsid w:val="00F354E4"/>
    <w:rsid w:val="00F35DDD"/>
    <w:rsid w:val="00F413B3"/>
    <w:rsid w:val="00F41818"/>
    <w:rsid w:val="00F43BD7"/>
    <w:rsid w:val="00F46C81"/>
    <w:rsid w:val="00F47A8F"/>
    <w:rsid w:val="00F47C6E"/>
    <w:rsid w:val="00F513F5"/>
    <w:rsid w:val="00F519DF"/>
    <w:rsid w:val="00F52E5E"/>
    <w:rsid w:val="00F533E3"/>
    <w:rsid w:val="00F53575"/>
    <w:rsid w:val="00F53A75"/>
    <w:rsid w:val="00F547D7"/>
    <w:rsid w:val="00F551E7"/>
    <w:rsid w:val="00F562BF"/>
    <w:rsid w:val="00F621BA"/>
    <w:rsid w:val="00F62A74"/>
    <w:rsid w:val="00F62CCD"/>
    <w:rsid w:val="00F62D65"/>
    <w:rsid w:val="00F645DA"/>
    <w:rsid w:val="00F6495C"/>
    <w:rsid w:val="00F70654"/>
    <w:rsid w:val="00F71077"/>
    <w:rsid w:val="00F71E2D"/>
    <w:rsid w:val="00F7224D"/>
    <w:rsid w:val="00F73794"/>
    <w:rsid w:val="00F75BCE"/>
    <w:rsid w:val="00F7654C"/>
    <w:rsid w:val="00F76E86"/>
    <w:rsid w:val="00F80627"/>
    <w:rsid w:val="00F8069D"/>
    <w:rsid w:val="00F81585"/>
    <w:rsid w:val="00F85484"/>
    <w:rsid w:val="00F85A4F"/>
    <w:rsid w:val="00F85DBE"/>
    <w:rsid w:val="00F87266"/>
    <w:rsid w:val="00F914AB"/>
    <w:rsid w:val="00F95382"/>
    <w:rsid w:val="00F95C11"/>
    <w:rsid w:val="00F95F89"/>
    <w:rsid w:val="00F9760C"/>
    <w:rsid w:val="00FA1429"/>
    <w:rsid w:val="00FA42FC"/>
    <w:rsid w:val="00FA50D6"/>
    <w:rsid w:val="00FB0335"/>
    <w:rsid w:val="00FB14B6"/>
    <w:rsid w:val="00FB179A"/>
    <w:rsid w:val="00FB2D95"/>
    <w:rsid w:val="00FB30C0"/>
    <w:rsid w:val="00FB5141"/>
    <w:rsid w:val="00FB6B28"/>
    <w:rsid w:val="00FB707E"/>
    <w:rsid w:val="00FB7160"/>
    <w:rsid w:val="00FC2AF5"/>
    <w:rsid w:val="00FC3CB5"/>
    <w:rsid w:val="00FC4AB6"/>
    <w:rsid w:val="00FC4E58"/>
    <w:rsid w:val="00FC5D66"/>
    <w:rsid w:val="00FC67E2"/>
    <w:rsid w:val="00FC686C"/>
    <w:rsid w:val="00FC6BB6"/>
    <w:rsid w:val="00FC7B06"/>
    <w:rsid w:val="00FD4414"/>
    <w:rsid w:val="00FD544A"/>
    <w:rsid w:val="00FD7506"/>
    <w:rsid w:val="00FD7F1D"/>
    <w:rsid w:val="00FE02C1"/>
    <w:rsid w:val="00FE1E78"/>
    <w:rsid w:val="00FE256C"/>
    <w:rsid w:val="00FE4FEC"/>
    <w:rsid w:val="00FE5A65"/>
    <w:rsid w:val="00FE600D"/>
    <w:rsid w:val="00FE6506"/>
    <w:rsid w:val="00FE6D28"/>
    <w:rsid w:val="00FE788A"/>
    <w:rsid w:val="00FF0B67"/>
    <w:rsid w:val="00FF0FEA"/>
    <w:rsid w:val="00FF1835"/>
    <w:rsid w:val="00FF20FA"/>
    <w:rsid w:val="00FF268F"/>
    <w:rsid w:val="00FF2BE9"/>
    <w:rsid w:val="00FF4094"/>
    <w:rsid w:val="00FF5FAB"/>
    <w:rsid w:val="00FF63D5"/>
    <w:rsid w:val="00FF7A9F"/>
    <w:rsid w:val="0614FEAD"/>
    <w:rsid w:val="0913D33A"/>
    <w:rsid w:val="0C8639F7"/>
    <w:rsid w:val="0D95F670"/>
    <w:rsid w:val="11D17103"/>
    <w:rsid w:val="13F78B17"/>
    <w:rsid w:val="147767B8"/>
    <w:rsid w:val="17162443"/>
    <w:rsid w:val="182B8590"/>
    <w:rsid w:val="18BDC20C"/>
    <w:rsid w:val="1D5970A5"/>
    <w:rsid w:val="1FCDAB9A"/>
    <w:rsid w:val="20A6508D"/>
    <w:rsid w:val="2304E646"/>
    <w:rsid w:val="25EAC7E2"/>
    <w:rsid w:val="26F844A3"/>
    <w:rsid w:val="2C556415"/>
    <w:rsid w:val="2C6D2307"/>
    <w:rsid w:val="2E499365"/>
    <w:rsid w:val="3881C321"/>
    <w:rsid w:val="38895561"/>
    <w:rsid w:val="38970AEE"/>
    <w:rsid w:val="3C3573E9"/>
    <w:rsid w:val="4D11B5CA"/>
    <w:rsid w:val="52470809"/>
    <w:rsid w:val="52BB1CB2"/>
    <w:rsid w:val="53F068CD"/>
    <w:rsid w:val="55186E45"/>
    <w:rsid w:val="55F2395B"/>
    <w:rsid w:val="5D84706A"/>
    <w:rsid w:val="5DECCD7C"/>
    <w:rsid w:val="5ECD3F5B"/>
    <w:rsid w:val="5EE0DF07"/>
    <w:rsid w:val="612A1BE4"/>
    <w:rsid w:val="61334F4B"/>
    <w:rsid w:val="64889BDE"/>
    <w:rsid w:val="6B421AEA"/>
    <w:rsid w:val="6CF249E7"/>
    <w:rsid w:val="77ABC10C"/>
    <w:rsid w:val="7B403D96"/>
    <w:rsid w:val="7C1B9C7F"/>
    <w:rsid w:val="7CADEE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8727D"/>
  <w15:chartTrackingRefBased/>
  <w15:docId w15:val="{C0EDF434-FAE2-4812-BEAB-760E3B19A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884"/>
    <w:pPr>
      <w:spacing w:line="278" w:lineRule="auto"/>
    </w:pPr>
    <w:rPr>
      <w:rFonts w:ascii="Calibri" w:hAnsi="Calibri"/>
    </w:rPr>
  </w:style>
  <w:style w:type="paragraph" w:styleId="Heading1">
    <w:name w:val="heading 1"/>
    <w:basedOn w:val="Normal"/>
    <w:next w:val="Normal"/>
    <w:link w:val="Heading1Char"/>
    <w:autoRedefine/>
    <w:uiPriority w:val="9"/>
    <w:qFormat/>
    <w:rsid w:val="00470D3A"/>
    <w:pPr>
      <w:keepNext/>
      <w:keepLines/>
      <w:pBdr>
        <w:bottom w:val="single" w:sz="12" w:space="1" w:color="54746A"/>
      </w:pBdr>
      <w:spacing w:before="360" w:after="80"/>
      <w:outlineLvl w:val="0"/>
    </w:pPr>
    <w:rPr>
      <w:rFonts w:eastAsiaTheme="majorEastAsia" w:cstheme="majorBidi"/>
      <w:b/>
      <w:color w:val="54746A"/>
      <w:sz w:val="40"/>
      <w:szCs w:val="32"/>
    </w:rPr>
  </w:style>
  <w:style w:type="paragraph" w:styleId="Heading2">
    <w:name w:val="heading 2"/>
    <w:basedOn w:val="Normal"/>
    <w:next w:val="Normal"/>
    <w:link w:val="Heading2Char"/>
    <w:autoRedefine/>
    <w:uiPriority w:val="9"/>
    <w:unhideWhenUsed/>
    <w:qFormat/>
    <w:rsid w:val="00BC2AD7"/>
    <w:pPr>
      <w:keepNext/>
      <w:keepLines/>
      <w:shd w:val="clear" w:color="auto" w:fill="54746A"/>
      <w:tabs>
        <w:tab w:val="left" w:pos="2431"/>
      </w:tabs>
      <w:spacing w:before="240" w:after="120"/>
      <w:outlineLvl w:val="1"/>
    </w:pPr>
    <w:rPr>
      <w:rFonts w:eastAsia="Calibri" w:cs="Calibri"/>
      <w:b/>
      <w:caps/>
      <w:smallCaps/>
      <w:color w:val="FFFFFF" w:themeColor="background1"/>
      <w:sz w:val="28"/>
      <w:szCs w:val="30"/>
    </w:rPr>
  </w:style>
  <w:style w:type="paragraph" w:styleId="Heading3">
    <w:name w:val="heading 3"/>
    <w:basedOn w:val="Normal"/>
    <w:next w:val="Normal"/>
    <w:link w:val="Heading3Char"/>
    <w:autoRedefine/>
    <w:uiPriority w:val="9"/>
    <w:unhideWhenUsed/>
    <w:qFormat/>
    <w:rsid w:val="00987738"/>
    <w:pPr>
      <w:keepNext/>
      <w:keepLines/>
      <w:spacing w:before="120" w:after="120"/>
      <w:outlineLvl w:val="2"/>
    </w:pPr>
    <w:rPr>
      <w:rFonts w:eastAsia="Calibri" w:cs="Calibri"/>
      <w:b/>
      <w:color w:val="54746A"/>
      <w:sz w:val="28"/>
      <w:szCs w:val="26"/>
    </w:rPr>
  </w:style>
  <w:style w:type="paragraph" w:styleId="Heading4">
    <w:name w:val="heading 4"/>
    <w:basedOn w:val="Normal"/>
    <w:next w:val="Normal"/>
    <w:link w:val="Heading4Char"/>
    <w:autoRedefine/>
    <w:uiPriority w:val="9"/>
    <w:unhideWhenUsed/>
    <w:qFormat/>
    <w:rsid w:val="00BB6C26"/>
    <w:pPr>
      <w:keepNext/>
      <w:keepLines/>
      <w:spacing w:before="120" w:after="120"/>
      <w:outlineLvl w:val="3"/>
    </w:pPr>
    <w:rPr>
      <w:rFonts w:eastAsia="Calibri" w:cs="Calibri"/>
      <w:b/>
      <w:bCs/>
      <w:i/>
      <w:iCs/>
      <w:color w:val="54746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798"/>
    <w:pPr>
      <w:ind w:left="720"/>
      <w:contextualSpacing/>
    </w:pPr>
  </w:style>
  <w:style w:type="table" w:styleId="TableGrid">
    <w:name w:val="Table Grid"/>
    <w:basedOn w:val="TableNormal"/>
    <w:uiPriority w:val="39"/>
    <w:rsid w:val="009C6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82FC9"/>
    <w:pPr>
      <w:spacing w:after="0" w:line="240" w:lineRule="auto"/>
      <w:ind w:left="720" w:hanging="720"/>
    </w:pPr>
    <w:rPr>
      <w:rFonts w:ascii="Arial" w:eastAsia="Times New Roman" w:hAnsi="Arial" w:cs="Arial"/>
    </w:rPr>
  </w:style>
  <w:style w:type="paragraph" w:styleId="Header">
    <w:name w:val="header"/>
    <w:basedOn w:val="Normal"/>
    <w:link w:val="HeaderChar"/>
    <w:uiPriority w:val="99"/>
    <w:unhideWhenUsed/>
    <w:rsid w:val="003777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72A"/>
  </w:style>
  <w:style w:type="paragraph" w:styleId="Footer">
    <w:name w:val="footer"/>
    <w:basedOn w:val="Normal"/>
    <w:link w:val="FooterChar"/>
    <w:uiPriority w:val="99"/>
    <w:unhideWhenUsed/>
    <w:rsid w:val="003777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72A"/>
  </w:style>
  <w:style w:type="character" w:styleId="Hyperlink">
    <w:name w:val="Hyperlink"/>
    <w:basedOn w:val="DefaultParagraphFont"/>
    <w:uiPriority w:val="99"/>
    <w:unhideWhenUsed/>
    <w:rsid w:val="00DD1D48"/>
    <w:rPr>
      <w:color w:val="0563C1" w:themeColor="hyperlink"/>
      <w:u w:val="single"/>
    </w:rPr>
  </w:style>
  <w:style w:type="character" w:styleId="UnresolvedMention">
    <w:name w:val="Unresolved Mention"/>
    <w:basedOn w:val="DefaultParagraphFont"/>
    <w:uiPriority w:val="99"/>
    <w:semiHidden/>
    <w:unhideWhenUsed/>
    <w:rsid w:val="00DD1D48"/>
    <w:rPr>
      <w:color w:val="605E5C"/>
      <w:shd w:val="clear" w:color="auto" w:fill="E1DFDD"/>
    </w:rPr>
  </w:style>
  <w:style w:type="character" w:styleId="FollowedHyperlink">
    <w:name w:val="FollowedHyperlink"/>
    <w:basedOn w:val="DefaultParagraphFont"/>
    <w:uiPriority w:val="99"/>
    <w:semiHidden/>
    <w:unhideWhenUsed/>
    <w:rsid w:val="00CD07B9"/>
    <w:rPr>
      <w:color w:val="954F72" w:themeColor="followedHyperlink"/>
      <w:u w:val="single"/>
    </w:rPr>
  </w:style>
  <w:style w:type="paragraph" w:styleId="BalloonText">
    <w:name w:val="Balloon Text"/>
    <w:basedOn w:val="Normal"/>
    <w:link w:val="BalloonTextChar"/>
    <w:uiPriority w:val="99"/>
    <w:semiHidden/>
    <w:unhideWhenUsed/>
    <w:rsid w:val="006464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419"/>
    <w:rPr>
      <w:rFonts w:ascii="Segoe UI" w:hAnsi="Segoe UI" w:cs="Segoe UI"/>
      <w:sz w:val="18"/>
      <w:szCs w:val="18"/>
    </w:rPr>
  </w:style>
  <w:style w:type="character" w:styleId="CommentReference">
    <w:name w:val="annotation reference"/>
    <w:basedOn w:val="DefaultParagraphFont"/>
    <w:uiPriority w:val="99"/>
    <w:semiHidden/>
    <w:unhideWhenUsed/>
    <w:rsid w:val="00646419"/>
    <w:rPr>
      <w:sz w:val="16"/>
      <w:szCs w:val="16"/>
    </w:rPr>
  </w:style>
  <w:style w:type="paragraph" w:styleId="CommentText">
    <w:name w:val="annotation text"/>
    <w:basedOn w:val="Normal"/>
    <w:link w:val="CommentTextChar"/>
    <w:uiPriority w:val="99"/>
    <w:unhideWhenUsed/>
    <w:rsid w:val="00646419"/>
    <w:pPr>
      <w:spacing w:line="240" w:lineRule="auto"/>
    </w:pPr>
    <w:rPr>
      <w:sz w:val="20"/>
      <w:szCs w:val="20"/>
    </w:rPr>
  </w:style>
  <w:style w:type="character" w:customStyle="1" w:styleId="CommentTextChar">
    <w:name w:val="Comment Text Char"/>
    <w:basedOn w:val="DefaultParagraphFont"/>
    <w:link w:val="CommentText"/>
    <w:uiPriority w:val="99"/>
    <w:rsid w:val="00646419"/>
    <w:rPr>
      <w:sz w:val="20"/>
      <w:szCs w:val="20"/>
    </w:rPr>
  </w:style>
  <w:style w:type="paragraph" w:styleId="CommentSubject">
    <w:name w:val="annotation subject"/>
    <w:basedOn w:val="CommentText"/>
    <w:next w:val="CommentText"/>
    <w:link w:val="CommentSubjectChar"/>
    <w:uiPriority w:val="99"/>
    <w:semiHidden/>
    <w:unhideWhenUsed/>
    <w:rsid w:val="000631EA"/>
    <w:rPr>
      <w:b/>
      <w:bCs/>
    </w:rPr>
  </w:style>
  <w:style w:type="character" w:customStyle="1" w:styleId="CommentSubjectChar">
    <w:name w:val="Comment Subject Char"/>
    <w:basedOn w:val="CommentTextChar"/>
    <w:link w:val="CommentSubject"/>
    <w:uiPriority w:val="99"/>
    <w:semiHidden/>
    <w:rsid w:val="000631EA"/>
    <w:rPr>
      <w:b/>
      <w:bCs/>
      <w:sz w:val="20"/>
      <w:szCs w:val="20"/>
    </w:rPr>
  </w:style>
  <w:style w:type="paragraph" w:styleId="Revision">
    <w:name w:val="Revision"/>
    <w:hidden/>
    <w:uiPriority w:val="99"/>
    <w:semiHidden/>
    <w:rsid w:val="000631EA"/>
    <w:pPr>
      <w:spacing w:after="0" w:line="240" w:lineRule="auto"/>
    </w:pPr>
  </w:style>
  <w:style w:type="table" w:customStyle="1" w:styleId="TableGrid1">
    <w:name w:val="Table Grid1"/>
    <w:basedOn w:val="TableNormal"/>
    <w:next w:val="TableGrid"/>
    <w:uiPriority w:val="59"/>
    <w:rsid w:val="00744AE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744AE6"/>
    <w:rPr>
      <w:vertAlign w:val="superscript"/>
    </w:rPr>
  </w:style>
  <w:style w:type="paragraph" w:styleId="FootnoteText">
    <w:name w:val="footnote text"/>
    <w:basedOn w:val="Normal"/>
    <w:link w:val="FootnoteTextChar1"/>
    <w:rsid w:val="00744AE6"/>
    <w:pPr>
      <w:spacing w:after="0" w:line="240" w:lineRule="auto"/>
    </w:pPr>
    <w:rPr>
      <w:rFonts w:ascii="Arial" w:eastAsia="Times New Roman" w:hAnsi="Arial" w:cs="Arial"/>
      <w:sz w:val="20"/>
      <w:szCs w:val="20"/>
    </w:rPr>
  </w:style>
  <w:style w:type="character" w:customStyle="1" w:styleId="FootnoteTextChar">
    <w:name w:val="Footnote Text Char"/>
    <w:basedOn w:val="DefaultParagraphFont"/>
    <w:uiPriority w:val="99"/>
    <w:semiHidden/>
    <w:rsid w:val="00744AE6"/>
    <w:rPr>
      <w:sz w:val="20"/>
      <w:szCs w:val="20"/>
    </w:rPr>
  </w:style>
  <w:style w:type="character" w:customStyle="1" w:styleId="FootnoteTextChar1">
    <w:name w:val="Footnote Text Char1"/>
    <w:basedOn w:val="DefaultParagraphFont"/>
    <w:link w:val="FootnoteText"/>
    <w:rsid w:val="00744AE6"/>
    <w:rPr>
      <w:rFonts w:ascii="Arial" w:eastAsia="Times New Roman" w:hAnsi="Arial" w:cs="Arial"/>
      <w:sz w:val="20"/>
      <w:szCs w:val="20"/>
    </w:rPr>
  </w:style>
  <w:style w:type="table" w:customStyle="1" w:styleId="TableGrid11">
    <w:name w:val="Table Grid11"/>
    <w:basedOn w:val="TableNormal"/>
    <w:next w:val="TableGrid"/>
    <w:uiPriority w:val="39"/>
    <w:rsid w:val="00744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227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6C4D58"/>
    <w:rPr>
      <w:rFonts w:ascii="Calibri" w:eastAsiaTheme="majorEastAsia" w:hAnsi="Calibri" w:cstheme="majorBidi"/>
      <w:b/>
      <w:color w:val="54746A"/>
      <w:sz w:val="40"/>
      <w:szCs w:val="32"/>
    </w:rPr>
  </w:style>
  <w:style w:type="character" w:styleId="Mention">
    <w:name w:val="Mention"/>
    <w:basedOn w:val="DefaultParagraphFont"/>
    <w:uiPriority w:val="99"/>
    <w:unhideWhenUsed/>
    <w:rsid w:val="007D56A5"/>
    <w:rPr>
      <w:color w:val="2B579A"/>
      <w:shd w:val="clear" w:color="auto" w:fill="E1DFDD"/>
    </w:rPr>
  </w:style>
  <w:style w:type="character" w:customStyle="1" w:styleId="Heading2Char">
    <w:name w:val="Heading 2 Char"/>
    <w:basedOn w:val="DefaultParagraphFont"/>
    <w:link w:val="Heading2"/>
    <w:uiPriority w:val="9"/>
    <w:rsid w:val="00BC2AD7"/>
    <w:rPr>
      <w:rFonts w:ascii="Calibri" w:eastAsia="Calibri" w:hAnsi="Calibri" w:cs="Calibri"/>
      <w:b/>
      <w:caps/>
      <w:smallCaps/>
      <w:color w:val="FFFFFF" w:themeColor="background1"/>
      <w:sz w:val="28"/>
      <w:szCs w:val="30"/>
      <w:shd w:val="clear" w:color="auto" w:fill="54746A"/>
    </w:rPr>
  </w:style>
  <w:style w:type="character" w:customStyle="1" w:styleId="Heading3Char">
    <w:name w:val="Heading 3 Char"/>
    <w:basedOn w:val="DefaultParagraphFont"/>
    <w:link w:val="Heading3"/>
    <w:uiPriority w:val="9"/>
    <w:rsid w:val="00987738"/>
    <w:rPr>
      <w:rFonts w:ascii="Calibri" w:eastAsia="Calibri" w:hAnsi="Calibri" w:cs="Calibri"/>
      <w:b/>
      <w:color w:val="54746A"/>
      <w:sz w:val="28"/>
      <w:szCs w:val="26"/>
    </w:rPr>
  </w:style>
  <w:style w:type="character" w:customStyle="1" w:styleId="Heading4Char">
    <w:name w:val="Heading 4 Char"/>
    <w:basedOn w:val="DefaultParagraphFont"/>
    <w:link w:val="Heading4"/>
    <w:uiPriority w:val="9"/>
    <w:rsid w:val="00BB6C26"/>
    <w:rPr>
      <w:rFonts w:ascii="Calibri" w:eastAsia="Calibri" w:hAnsi="Calibri" w:cs="Calibri"/>
      <w:b/>
      <w:bCs/>
      <w:i/>
      <w:iCs/>
      <w:color w:val="54746A"/>
      <w:szCs w:val="24"/>
    </w:rPr>
  </w:style>
  <w:style w:type="paragraph" w:styleId="NoSpacing">
    <w:name w:val="No Spacing"/>
    <w:uiPriority w:val="1"/>
    <w:qFormat/>
    <w:rsid w:val="000E051E"/>
    <w:pPr>
      <w:spacing w:after="0" w:line="240" w:lineRule="auto"/>
    </w:pPr>
  </w:style>
  <w:style w:type="paragraph" w:customStyle="1" w:styleId="MemoHead">
    <w:name w:val="Memo Head"/>
    <w:basedOn w:val="Normal"/>
    <w:uiPriority w:val="2"/>
    <w:rsid w:val="000E051E"/>
    <w:pPr>
      <w:tabs>
        <w:tab w:val="right" w:pos="9360"/>
      </w:tabs>
      <w:spacing w:after="0"/>
    </w:pPr>
    <w:rPr>
      <w:rFonts w:eastAsia="Times New Roman" w:cs="Times New Roman"/>
      <w:color w:val="5F5F5F"/>
      <w:sz w:val="32"/>
      <w:szCs w:val="32"/>
    </w:rPr>
  </w:style>
  <w:style w:type="paragraph" w:customStyle="1" w:styleId="MemoTop">
    <w:name w:val="Memo Top"/>
    <w:basedOn w:val="Normal"/>
    <w:uiPriority w:val="1"/>
    <w:rsid w:val="000E051E"/>
    <w:pPr>
      <w:spacing w:after="120"/>
    </w:pPr>
    <w:rPr>
      <w:rFonts w:eastAsia="Times New Roman" w:cs="Times New Roman"/>
      <w:b/>
      <w:bCs/>
      <w:color w:val="5F5F5F"/>
    </w:rPr>
  </w:style>
  <w:style w:type="paragraph" w:customStyle="1" w:styleId="MemoTop3">
    <w:name w:val="Memo Top 3"/>
    <w:basedOn w:val="Normal"/>
    <w:uiPriority w:val="1"/>
    <w:rsid w:val="000E051E"/>
    <w:pPr>
      <w:spacing w:after="120"/>
      <w:ind w:left="144"/>
    </w:pPr>
    <w:rPr>
      <w:rFonts w:eastAsia="Times New Roman" w:cs="Times New Roman"/>
      <w:color w:val="5F5F5F"/>
      <w:sz w:val="18"/>
      <w:szCs w:val="18"/>
    </w:rPr>
  </w:style>
  <w:style w:type="paragraph" w:customStyle="1" w:styleId="Line">
    <w:name w:val="Line"/>
    <w:basedOn w:val="Normal"/>
    <w:next w:val="Normal"/>
    <w:uiPriority w:val="2"/>
    <w:rsid w:val="000E051E"/>
    <w:pPr>
      <w:pBdr>
        <w:bottom w:val="single" w:sz="6" w:space="1" w:color="auto"/>
      </w:pBdr>
      <w:spacing w:after="120"/>
    </w:pPr>
    <w:rPr>
      <w:rFonts w:eastAsia="Times New Roman" w:cs="Times New Roman"/>
    </w:rPr>
  </w:style>
  <w:style w:type="paragraph" w:customStyle="1" w:styleId="Memoheading">
    <w:name w:val="Memo heading"/>
    <w:basedOn w:val="Normal"/>
    <w:uiPriority w:val="2"/>
    <w:rsid w:val="000E051E"/>
    <w:pPr>
      <w:spacing w:before="40"/>
    </w:pPr>
    <w:rPr>
      <w:rFonts w:eastAsia="Times New Roman" w:cs="Times New Roman"/>
      <w:color w:val="808080" w:themeColor="background1" w:themeShade="80"/>
    </w:rPr>
  </w:style>
  <w:style w:type="paragraph" w:customStyle="1" w:styleId="TemplateText">
    <w:name w:val="TemplateText"/>
    <w:basedOn w:val="Normal"/>
    <w:next w:val="Normal"/>
    <w:uiPriority w:val="1"/>
    <w:rsid w:val="000E051E"/>
    <w:pPr>
      <w:tabs>
        <w:tab w:val="right" w:pos="9360"/>
      </w:tabs>
      <w:spacing w:after="0"/>
    </w:pPr>
    <w:rPr>
      <w:rFonts w:eastAsia="Times New Roman" w:cs="Times New Roman"/>
      <w:sz w:val="23"/>
      <w:szCs w:val="23"/>
    </w:rPr>
  </w:style>
  <w:style w:type="paragraph" w:customStyle="1" w:styleId="ProjNum">
    <w:name w:val="ProjNum"/>
    <w:basedOn w:val="Normal"/>
    <w:uiPriority w:val="2"/>
    <w:rsid w:val="000E051E"/>
    <w:pPr>
      <w:tabs>
        <w:tab w:val="right" w:pos="9360"/>
      </w:tabs>
      <w:spacing w:after="0"/>
      <w:jc w:val="right"/>
    </w:pPr>
    <w:rPr>
      <w:rFonts w:eastAsia="Times New Roman" w:cs="Times New Roman"/>
      <w:sz w:val="23"/>
      <w:szCs w:val="23"/>
    </w:rPr>
  </w:style>
  <w:style w:type="paragraph" w:customStyle="1" w:styleId="TableText">
    <w:name w:val="Table Text"/>
    <w:basedOn w:val="Normal"/>
    <w:uiPriority w:val="2"/>
    <w:rsid w:val="000E051E"/>
    <w:pPr>
      <w:spacing w:beforeAutospacing="1" w:after="240" w:afterAutospacing="1"/>
    </w:pPr>
    <w:rPr>
      <w:rFonts w:eastAsia="Times New Roman" w:cs="Times New Roman"/>
      <w:sz w:val="16"/>
      <w:szCs w:val="16"/>
    </w:rPr>
  </w:style>
  <w:style w:type="paragraph" w:customStyle="1" w:styleId="Bullets1">
    <w:name w:val="Bullets 1"/>
    <w:basedOn w:val="Normal"/>
    <w:uiPriority w:val="1"/>
    <w:rsid w:val="000E051E"/>
    <w:pPr>
      <w:numPr>
        <w:numId w:val="10"/>
      </w:numPr>
      <w:spacing w:after="240" w:line="320" w:lineRule="atLeast"/>
      <w:jc w:val="both"/>
    </w:pPr>
    <w:rPr>
      <w:rFonts w:eastAsia="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5377">
      <w:bodyDiv w:val="1"/>
      <w:marLeft w:val="0"/>
      <w:marRight w:val="0"/>
      <w:marTop w:val="0"/>
      <w:marBottom w:val="0"/>
      <w:divBdr>
        <w:top w:val="none" w:sz="0" w:space="0" w:color="auto"/>
        <w:left w:val="none" w:sz="0" w:space="0" w:color="auto"/>
        <w:bottom w:val="none" w:sz="0" w:space="0" w:color="auto"/>
        <w:right w:val="none" w:sz="0" w:space="0" w:color="auto"/>
      </w:divBdr>
    </w:div>
    <w:div w:id="88308429">
      <w:bodyDiv w:val="1"/>
      <w:marLeft w:val="0"/>
      <w:marRight w:val="0"/>
      <w:marTop w:val="0"/>
      <w:marBottom w:val="0"/>
      <w:divBdr>
        <w:top w:val="none" w:sz="0" w:space="0" w:color="auto"/>
        <w:left w:val="none" w:sz="0" w:space="0" w:color="auto"/>
        <w:bottom w:val="none" w:sz="0" w:space="0" w:color="auto"/>
        <w:right w:val="none" w:sz="0" w:space="0" w:color="auto"/>
      </w:divBdr>
    </w:div>
    <w:div w:id="130055642">
      <w:bodyDiv w:val="1"/>
      <w:marLeft w:val="0"/>
      <w:marRight w:val="0"/>
      <w:marTop w:val="0"/>
      <w:marBottom w:val="0"/>
      <w:divBdr>
        <w:top w:val="none" w:sz="0" w:space="0" w:color="auto"/>
        <w:left w:val="none" w:sz="0" w:space="0" w:color="auto"/>
        <w:bottom w:val="none" w:sz="0" w:space="0" w:color="auto"/>
        <w:right w:val="none" w:sz="0" w:space="0" w:color="auto"/>
      </w:divBdr>
    </w:div>
    <w:div w:id="208807142">
      <w:bodyDiv w:val="1"/>
      <w:marLeft w:val="0"/>
      <w:marRight w:val="0"/>
      <w:marTop w:val="0"/>
      <w:marBottom w:val="0"/>
      <w:divBdr>
        <w:top w:val="none" w:sz="0" w:space="0" w:color="auto"/>
        <w:left w:val="none" w:sz="0" w:space="0" w:color="auto"/>
        <w:bottom w:val="none" w:sz="0" w:space="0" w:color="auto"/>
        <w:right w:val="none" w:sz="0" w:space="0" w:color="auto"/>
      </w:divBdr>
    </w:div>
    <w:div w:id="246884401">
      <w:bodyDiv w:val="1"/>
      <w:marLeft w:val="0"/>
      <w:marRight w:val="0"/>
      <w:marTop w:val="0"/>
      <w:marBottom w:val="0"/>
      <w:divBdr>
        <w:top w:val="none" w:sz="0" w:space="0" w:color="auto"/>
        <w:left w:val="none" w:sz="0" w:space="0" w:color="auto"/>
        <w:bottom w:val="none" w:sz="0" w:space="0" w:color="auto"/>
        <w:right w:val="none" w:sz="0" w:space="0" w:color="auto"/>
      </w:divBdr>
    </w:div>
    <w:div w:id="269171641">
      <w:bodyDiv w:val="1"/>
      <w:marLeft w:val="0"/>
      <w:marRight w:val="0"/>
      <w:marTop w:val="0"/>
      <w:marBottom w:val="0"/>
      <w:divBdr>
        <w:top w:val="none" w:sz="0" w:space="0" w:color="auto"/>
        <w:left w:val="none" w:sz="0" w:space="0" w:color="auto"/>
        <w:bottom w:val="none" w:sz="0" w:space="0" w:color="auto"/>
        <w:right w:val="none" w:sz="0" w:space="0" w:color="auto"/>
      </w:divBdr>
    </w:div>
    <w:div w:id="275605417">
      <w:bodyDiv w:val="1"/>
      <w:marLeft w:val="0"/>
      <w:marRight w:val="0"/>
      <w:marTop w:val="0"/>
      <w:marBottom w:val="0"/>
      <w:divBdr>
        <w:top w:val="none" w:sz="0" w:space="0" w:color="auto"/>
        <w:left w:val="none" w:sz="0" w:space="0" w:color="auto"/>
        <w:bottom w:val="none" w:sz="0" w:space="0" w:color="auto"/>
        <w:right w:val="none" w:sz="0" w:space="0" w:color="auto"/>
      </w:divBdr>
      <w:divsChild>
        <w:div w:id="20666472">
          <w:marLeft w:val="0"/>
          <w:marRight w:val="0"/>
          <w:marTop w:val="0"/>
          <w:marBottom w:val="0"/>
          <w:divBdr>
            <w:top w:val="none" w:sz="0" w:space="0" w:color="auto"/>
            <w:left w:val="none" w:sz="0" w:space="0" w:color="auto"/>
            <w:bottom w:val="none" w:sz="0" w:space="0" w:color="auto"/>
            <w:right w:val="none" w:sz="0" w:space="0" w:color="auto"/>
          </w:divBdr>
        </w:div>
        <w:div w:id="100078922">
          <w:marLeft w:val="0"/>
          <w:marRight w:val="0"/>
          <w:marTop w:val="0"/>
          <w:marBottom w:val="0"/>
          <w:divBdr>
            <w:top w:val="none" w:sz="0" w:space="0" w:color="auto"/>
            <w:left w:val="none" w:sz="0" w:space="0" w:color="auto"/>
            <w:bottom w:val="none" w:sz="0" w:space="0" w:color="auto"/>
            <w:right w:val="none" w:sz="0" w:space="0" w:color="auto"/>
          </w:divBdr>
        </w:div>
        <w:div w:id="246153505">
          <w:marLeft w:val="0"/>
          <w:marRight w:val="0"/>
          <w:marTop w:val="0"/>
          <w:marBottom w:val="0"/>
          <w:divBdr>
            <w:top w:val="none" w:sz="0" w:space="0" w:color="auto"/>
            <w:left w:val="none" w:sz="0" w:space="0" w:color="auto"/>
            <w:bottom w:val="none" w:sz="0" w:space="0" w:color="auto"/>
            <w:right w:val="none" w:sz="0" w:space="0" w:color="auto"/>
          </w:divBdr>
        </w:div>
        <w:div w:id="261647562">
          <w:marLeft w:val="0"/>
          <w:marRight w:val="0"/>
          <w:marTop w:val="0"/>
          <w:marBottom w:val="0"/>
          <w:divBdr>
            <w:top w:val="none" w:sz="0" w:space="0" w:color="auto"/>
            <w:left w:val="none" w:sz="0" w:space="0" w:color="auto"/>
            <w:bottom w:val="none" w:sz="0" w:space="0" w:color="auto"/>
            <w:right w:val="none" w:sz="0" w:space="0" w:color="auto"/>
          </w:divBdr>
        </w:div>
        <w:div w:id="367337535">
          <w:marLeft w:val="0"/>
          <w:marRight w:val="0"/>
          <w:marTop w:val="0"/>
          <w:marBottom w:val="0"/>
          <w:divBdr>
            <w:top w:val="none" w:sz="0" w:space="0" w:color="auto"/>
            <w:left w:val="none" w:sz="0" w:space="0" w:color="auto"/>
            <w:bottom w:val="none" w:sz="0" w:space="0" w:color="auto"/>
            <w:right w:val="none" w:sz="0" w:space="0" w:color="auto"/>
          </w:divBdr>
        </w:div>
        <w:div w:id="386223683">
          <w:marLeft w:val="0"/>
          <w:marRight w:val="0"/>
          <w:marTop w:val="0"/>
          <w:marBottom w:val="0"/>
          <w:divBdr>
            <w:top w:val="none" w:sz="0" w:space="0" w:color="auto"/>
            <w:left w:val="none" w:sz="0" w:space="0" w:color="auto"/>
            <w:bottom w:val="none" w:sz="0" w:space="0" w:color="auto"/>
            <w:right w:val="none" w:sz="0" w:space="0" w:color="auto"/>
          </w:divBdr>
        </w:div>
        <w:div w:id="411202917">
          <w:marLeft w:val="0"/>
          <w:marRight w:val="0"/>
          <w:marTop w:val="0"/>
          <w:marBottom w:val="0"/>
          <w:divBdr>
            <w:top w:val="none" w:sz="0" w:space="0" w:color="auto"/>
            <w:left w:val="none" w:sz="0" w:space="0" w:color="auto"/>
            <w:bottom w:val="none" w:sz="0" w:space="0" w:color="auto"/>
            <w:right w:val="none" w:sz="0" w:space="0" w:color="auto"/>
          </w:divBdr>
        </w:div>
        <w:div w:id="529728094">
          <w:marLeft w:val="0"/>
          <w:marRight w:val="0"/>
          <w:marTop w:val="0"/>
          <w:marBottom w:val="0"/>
          <w:divBdr>
            <w:top w:val="none" w:sz="0" w:space="0" w:color="auto"/>
            <w:left w:val="none" w:sz="0" w:space="0" w:color="auto"/>
            <w:bottom w:val="none" w:sz="0" w:space="0" w:color="auto"/>
            <w:right w:val="none" w:sz="0" w:space="0" w:color="auto"/>
          </w:divBdr>
        </w:div>
        <w:div w:id="550657248">
          <w:marLeft w:val="0"/>
          <w:marRight w:val="0"/>
          <w:marTop w:val="0"/>
          <w:marBottom w:val="0"/>
          <w:divBdr>
            <w:top w:val="none" w:sz="0" w:space="0" w:color="auto"/>
            <w:left w:val="none" w:sz="0" w:space="0" w:color="auto"/>
            <w:bottom w:val="none" w:sz="0" w:space="0" w:color="auto"/>
            <w:right w:val="none" w:sz="0" w:space="0" w:color="auto"/>
          </w:divBdr>
          <w:divsChild>
            <w:div w:id="1462193128">
              <w:marLeft w:val="-75"/>
              <w:marRight w:val="0"/>
              <w:marTop w:val="30"/>
              <w:marBottom w:val="30"/>
              <w:divBdr>
                <w:top w:val="none" w:sz="0" w:space="0" w:color="auto"/>
                <w:left w:val="none" w:sz="0" w:space="0" w:color="auto"/>
                <w:bottom w:val="none" w:sz="0" w:space="0" w:color="auto"/>
                <w:right w:val="none" w:sz="0" w:space="0" w:color="auto"/>
              </w:divBdr>
              <w:divsChild>
                <w:div w:id="52435886">
                  <w:marLeft w:val="0"/>
                  <w:marRight w:val="0"/>
                  <w:marTop w:val="0"/>
                  <w:marBottom w:val="0"/>
                  <w:divBdr>
                    <w:top w:val="none" w:sz="0" w:space="0" w:color="auto"/>
                    <w:left w:val="none" w:sz="0" w:space="0" w:color="auto"/>
                    <w:bottom w:val="none" w:sz="0" w:space="0" w:color="auto"/>
                    <w:right w:val="none" w:sz="0" w:space="0" w:color="auto"/>
                  </w:divBdr>
                  <w:divsChild>
                    <w:div w:id="1804807191">
                      <w:marLeft w:val="0"/>
                      <w:marRight w:val="0"/>
                      <w:marTop w:val="0"/>
                      <w:marBottom w:val="0"/>
                      <w:divBdr>
                        <w:top w:val="none" w:sz="0" w:space="0" w:color="auto"/>
                        <w:left w:val="none" w:sz="0" w:space="0" w:color="auto"/>
                        <w:bottom w:val="none" w:sz="0" w:space="0" w:color="auto"/>
                        <w:right w:val="none" w:sz="0" w:space="0" w:color="auto"/>
                      </w:divBdr>
                    </w:div>
                  </w:divsChild>
                </w:div>
                <w:div w:id="68776818">
                  <w:marLeft w:val="0"/>
                  <w:marRight w:val="0"/>
                  <w:marTop w:val="0"/>
                  <w:marBottom w:val="0"/>
                  <w:divBdr>
                    <w:top w:val="none" w:sz="0" w:space="0" w:color="auto"/>
                    <w:left w:val="none" w:sz="0" w:space="0" w:color="auto"/>
                    <w:bottom w:val="none" w:sz="0" w:space="0" w:color="auto"/>
                    <w:right w:val="none" w:sz="0" w:space="0" w:color="auto"/>
                  </w:divBdr>
                  <w:divsChild>
                    <w:div w:id="151415795">
                      <w:marLeft w:val="0"/>
                      <w:marRight w:val="0"/>
                      <w:marTop w:val="0"/>
                      <w:marBottom w:val="0"/>
                      <w:divBdr>
                        <w:top w:val="none" w:sz="0" w:space="0" w:color="auto"/>
                        <w:left w:val="none" w:sz="0" w:space="0" w:color="auto"/>
                        <w:bottom w:val="none" w:sz="0" w:space="0" w:color="auto"/>
                        <w:right w:val="none" w:sz="0" w:space="0" w:color="auto"/>
                      </w:divBdr>
                    </w:div>
                  </w:divsChild>
                </w:div>
                <w:div w:id="99225097">
                  <w:marLeft w:val="0"/>
                  <w:marRight w:val="0"/>
                  <w:marTop w:val="0"/>
                  <w:marBottom w:val="0"/>
                  <w:divBdr>
                    <w:top w:val="none" w:sz="0" w:space="0" w:color="auto"/>
                    <w:left w:val="none" w:sz="0" w:space="0" w:color="auto"/>
                    <w:bottom w:val="none" w:sz="0" w:space="0" w:color="auto"/>
                    <w:right w:val="none" w:sz="0" w:space="0" w:color="auto"/>
                  </w:divBdr>
                  <w:divsChild>
                    <w:div w:id="1529567829">
                      <w:marLeft w:val="0"/>
                      <w:marRight w:val="0"/>
                      <w:marTop w:val="0"/>
                      <w:marBottom w:val="0"/>
                      <w:divBdr>
                        <w:top w:val="none" w:sz="0" w:space="0" w:color="auto"/>
                        <w:left w:val="none" w:sz="0" w:space="0" w:color="auto"/>
                        <w:bottom w:val="none" w:sz="0" w:space="0" w:color="auto"/>
                        <w:right w:val="none" w:sz="0" w:space="0" w:color="auto"/>
                      </w:divBdr>
                    </w:div>
                  </w:divsChild>
                </w:div>
                <w:div w:id="365566441">
                  <w:marLeft w:val="0"/>
                  <w:marRight w:val="0"/>
                  <w:marTop w:val="0"/>
                  <w:marBottom w:val="0"/>
                  <w:divBdr>
                    <w:top w:val="none" w:sz="0" w:space="0" w:color="auto"/>
                    <w:left w:val="none" w:sz="0" w:space="0" w:color="auto"/>
                    <w:bottom w:val="none" w:sz="0" w:space="0" w:color="auto"/>
                    <w:right w:val="none" w:sz="0" w:space="0" w:color="auto"/>
                  </w:divBdr>
                  <w:divsChild>
                    <w:div w:id="1095441891">
                      <w:marLeft w:val="0"/>
                      <w:marRight w:val="0"/>
                      <w:marTop w:val="0"/>
                      <w:marBottom w:val="0"/>
                      <w:divBdr>
                        <w:top w:val="none" w:sz="0" w:space="0" w:color="auto"/>
                        <w:left w:val="none" w:sz="0" w:space="0" w:color="auto"/>
                        <w:bottom w:val="none" w:sz="0" w:space="0" w:color="auto"/>
                        <w:right w:val="none" w:sz="0" w:space="0" w:color="auto"/>
                      </w:divBdr>
                    </w:div>
                  </w:divsChild>
                </w:div>
                <w:div w:id="457839273">
                  <w:marLeft w:val="0"/>
                  <w:marRight w:val="0"/>
                  <w:marTop w:val="0"/>
                  <w:marBottom w:val="0"/>
                  <w:divBdr>
                    <w:top w:val="none" w:sz="0" w:space="0" w:color="auto"/>
                    <w:left w:val="none" w:sz="0" w:space="0" w:color="auto"/>
                    <w:bottom w:val="none" w:sz="0" w:space="0" w:color="auto"/>
                    <w:right w:val="none" w:sz="0" w:space="0" w:color="auto"/>
                  </w:divBdr>
                  <w:divsChild>
                    <w:div w:id="163522376">
                      <w:marLeft w:val="0"/>
                      <w:marRight w:val="0"/>
                      <w:marTop w:val="0"/>
                      <w:marBottom w:val="0"/>
                      <w:divBdr>
                        <w:top w:val="none" w:sz="0" w:space="0" w:color="auto"/>
                        <w:left w:val="none" w:sz="0" w:space="0" w:color="auto"/>
                        <w:bottom w:val="none" w:sz="0" w:space="0" w:color="auto"/>
                        <w:right w:val="none" w:sz="0" w:space="0" w:color="auto"/>
                      </w:divBdr>
                    </w:div>
                  </w:divsChild>
                </w:div>
                <w:div w:id="657224140">
                  <w:marLeft w:val="0"/>
                  <w:marRight w:val="0"/>
                  <w:marTop w:val="0"/>
                  <w:marBottom w:val="0"/>
                  <w:divBdr>
                    <w:top w:val="none" w:sz="0" w:space="0" w:color="auto"/>
                    <w:left w:val="none" w:sz="0" w:space="0" w:color="auto"/>
                    <w:bottom w:val="none" w:sz="0" w:space="0" w:color="auto"/>
                    <w:right w:val="none" w:sz="0" w:space="0" w:color="auto"/>
                  </w:divBdr>
                  <w:divsChild>
                    <w:div w:id="2029867071">
                      <w:marLeft w:val="0"/>
                      <w:marRight w:val="0"/>
                      <w:marTop w:val="0"/>
                      <w:marBottom w:val="0"/>
                      <w:divBdr>
                        <w:top w:val="none" w:sz="0" w:space="0" w:color="auto"/>
                        <w:left w:val="none" w:sz="0" w:space="0" w:color="auto"/>
                        <w:bottom w:val="none" w:sz="0" w:space="0" w:color="auto"/>
                        <w:right w:val="none" w:sz="0" w:space="0" w:color="auto"/>
                      </w:divBdr>
                    </w:div>
                  </w:divsChild>
                </w:div>
                <w:div w:id="951324194">
                  <w:marLeft w:val="0"/>
                  <w:marRight w:val="0"/>
                  <w:marTop w:val="0"/>
                  <w:marBottom w:val="0"/>
                  <w:divBdr>
                    <w:top w:val="none" w:sz="0" w:space="0" w:color="auto"/>
                    <w:left w:val="none" w:sz="0" w:space="0" w:color="auto"/>
                    <w:bottom w:val="none" w:sz="0" w:space="0" w:color="auto"/>
                    <w:right w:val="none" w:sz="0" w:space="0" w:color="auto"/>
                  </w:divBdr>
                  <w:divsChild>
                    <w:div w:id="1318069038">
                      <w:marLeft w:val="0"/>
                      <w:marRight w:val="0"/>
                      <w:marTop w:val="0"/>
                      <w:marBottom w:val="0"/>
                      <w:divBdr>
                        <w:top w:val="none" w:sz="0" w:space="0" w:color="auto"/>
                        <w:left w:val="none" w:sz="0" w:space="0" w:color="auto"/>
                        <w:bottom w:val="none" w:sz="0" w:space="0" w:color="auto"/>
                        <w:right w:val="none" w:sz="0" w:space="0" w:color="auto"/>
                      </w:divBdr>
                    </w:div>
                  </w:divsChild>
                </w:div>
                <w:div w:id="1051880019">
                  <w:marLeft w:val="0"/>
                  <w:marRight w:val="0"/>
                  <w:marTop w:val="0"/>
                  <w:marBottom w:val="0"/>
                  <w:divBdr>
                    <w:top w:val="none" w:sz="0" w:space="0" w:color="auto"/>
                    <w:left w:val="none" w:sz="0" w:space="0" w:color="auto"/>
                    <w:bottom w:val="none" w:sz="0" w:space="0" w:color="auto"/>
                    <w:right w:val="none" w:sz="0" w:space="0" w:color="auto"/>
                  </w:divBdr>
                  <w:divsChild>
                    <w:div w:id="992367783">
                      <w:marLeft w:val="0"/>
                      <w:marRight w:val="0"/>
                      <w:marTop w:val="0"/>
                      <w:marBottom w:val="0"/>
                      <w:divBdr>
                        <w:top w:val="none" w:sz="0" w:space="0" w:color="auto"/>
                        <w:left w:val="none" w:sz="0" w:space="0" w:color="auto"/>
                        <w:bottom w:val="none" w:sz="0" w:space="0" w:color="auto"/>
                        <w:right w:val="none" w:sz="0" w:space="0" w:color="auto"/>
                      </w:divBdr>
                    </w:div>
                  </w:divsChild>
                </w:div>
                <w:div w:id="1135291762">
                  <w:marLeft w:val="0"/>
                  <w:marRight w:val="0"/>
                  <w:marTop w:val="0"/>
                  <w:marBottom w:val="0"/>
                  <w:divBdr>
                    <w:top w:val="none" w:sz="0" w:space="0" w:color="auto"/>
                    <w:left w:val="none" w:sz="0" w:space="0" w:color="auto"/>
                    <w:bottom w:val="none" w:sz="0" w:space="0" w:color="auto"/>
                    <w:right w:val="none" w:sz="0" w:space="0" w:color="auto"/>
                  </w:divBdr>
                  <w:divsChild>
                    <w:div w:id="33045033">
                      <w:marLeft w:val="0"/>
                      <w:marRight w:val="0"/>
                      <w:marTop w:val="0"/>
                      <w:marBottom w:val="0"/>
                      <w:divBdr>
                        <w:top w:val="none" w:sz="0" w:space="0" w:color="auto"/>
                        <w:left w:val="none" w:sz="0" w:space="0" w:color="auto"/>
                        <w:bottom w:val="none" w:sz="0" w:space="0" w:color="auto"/>
                        <w:right w:val="none" w:sz="0" w:space="0" w:color="auto"/>
                      </w:divBdr>
                    </w:div>
                  </w:divsChild>
                </w:div>
                <w:div w:id="1192690387">
                  <w:marLeft w:val="0"/>
                  <w:marRight w:val="0"/>
                  <w:marTop w:val="0"/>
                  <w:marBottom w:val="0"/>
                  <w:divBdr>
                    <w:top w:val="none" w:sz="0" w:space="0" w:color="auto"/>
                    <w:left w:val="none" w:sz="0" w:space="0" w:color="auto"/>
                    <w:bottom w:val="none" w:sz="0" w:space="0" w:color="auto"/>
                    <w:right w:val="none" w:sz="0" w:space="0" w:color="auto"/>
                  </w:divBdr>
                  <w:divsChild>
                    <w:div w:id="396442396">
                      <w:marLeft w:val="0"/>
                      <w:marRight w:val="0"/>
                      <w:marTop w:val="0"/>
                      <w:marBottom w:val="0"/>
                      <w:divBdr>
                        <w:top w:val="none" w:sz="0" w:space="0" w:color="auto"/>
                        <w:left w:val="none" w:sz="0" w:space="0" w:color="auto"/>
                        <w:bottom w:val="none" w:sz="0" w:space="0" w:color="auto"/>
                        <w:right w:val="none" w:sz="0" w:space="0" w:color="auto"/>
                      </w:divBdr>
                    </w:div>
                  </w:divsChild>
                </w:div>
                <w:div w:id="1216888915">
                  <w:marLeft w:val="0"/>
                  <w:marRight w:val="0"/>
                  <w:marTop w:val="0"/>
                  <w:marBottom w:val="0"/>
                  <w:divBdr>
                    <w:top w:val="none" w:sz="0" w:space="0" w:color="auto"/>
                    <w:left w:val="none" w:sz="0" w:space="0" w:color="auto"/>
                    <w:bottom w:val="none" w:sz="0" w:space="0" w:color="auto"/>
                    <w:right w:val="none" w:sz="0" w:space="0" w:color="auto"/>
                  </w:divBdr>
                  <w:divsChild>
                    <w:div w:id="1250194105">
                      <w:marLeft w:val="0"/>
                      <w:marRight w:val="0"/>
                      <w:marTop w:val="0"/>
                      <w:marBottom w:val="0"/>
                      <w:divBdr>
                        <w:top w:val="none" w:sz="0" w:space="0" w:color="auto"/>
                        <w:left w:val="none" w:sz="0" w:space="0" w:color="auto"/>
                        <w:bottom w:val="none" w:sz="0" w:space="0" w:color="auto"/>
                        <w:right w:val="none" w:sz="0" w:space="0" w:color="auto"/>
                      </w:divBdr>
                    </w:div>
                  </w:divsChild>
                </w:div>
                <w:div w:id="1242447642">
                  <w:marLeft w:val="0"/>
                  <w:marRight w:val="0"/>
                  <w:marTop w:val="0"/>
                  <w:marBottom w:val="0"/>
                  <w:divBdr>
                    <w:top w:val="none" w:sz="0" w:space="0" w:color="auto"/>
                    <w:left w:val="none" w:sz="0" w:space="0" w:color="auto"/>
                    <w:bottom w:val="none" w:sz="0" w:space="0" w:color="auto"/>
                    <w:right w:val="none" w:sz="0" w:space="0" w:color="auto"/>
                  </w:divBdr>
                  <w:divsChild>
                    <w:div w:id="1180512288">
                      <w:marLeft w:val="0"/>
                      <w:marRight w:val="0"/>
                      <w:marTop w:val="0"/>
                      <w:marBottom w:val="0"/>
                      <w:divBdr>
                        <w:top w:val="none" w:sz="0" w:space="0" w:color="auto"/>
                        <w:left w:val="none" w:sz="0" w:space="0" w:color="auto"/>
                        <w:bottom w:val="none" w:sz="0" w:space="0" w:color="auto"/>
                        <w:right w:val="none" w:sz="0" w:space="0" w:color="auto"/>
                      </w:divBdr>
                    </w:div>
                  </w:divsChild>
                </w:div>
                <w:div w:id="1302224121">
                  <w:marLeft w:val="0"/>
                  <w:marRight w:val="0"/>
                  <w:marTop w:val="0"/>
                  <w:marBottom w:val="0"/>
                  <w:divBdr>
                    <w:top w:val="none" w:sz="0" w:space="0" w:color="auto"/>
                    <w:left w:val="none" w:sz="0" w:space="0" w:color="auto"/>
                    <w:bottom w:val="none" w:sz="0" w:space="0" w:color="auto"/>
                    <w:right w:val="none" w:sz="0" w:space="0" w:color="auto"/>
                  </w:divBdr>
                  <w:divsChild>
                    <w:div w:id="1884903669">
                      <w:marLeft w:val="0"/>
                      <w:marRight w:val="0"/>
                      <w:marTop w:val="0"/>
                      <w:marBottom w:val="0"/>
                      <w:divBdr>
                        <w:top w:val="none" w:sz="0" w:space="0" w:color="auto"/>
                        <w:left w:val="none" w:sz="0" w:space="0" w:color="auto"/>
                        <w:bottom w:val="none" w:sz="0" w:space="0" w:color="auto"/>
                        <w:right w:val="none" w:sz="0" w:space="0" w:color="auto"/>
                      </w:divBdr>
                    </w:div>
                  </w:divsChild>
                </w:div>
                <w:div w:id="1331830056">
                  <w:marLeft w:val="0"/>
                  <w:marRight w:val="0"/>
                  <w:marTop w:val="0"/>
                  <w:marBottom w:val="0"/>
                  <w:divBdr>
                    <w:top w:val="none" w:sz="0" w:space="0" w:color="auto"/>
                    <w:left w:val="none" w:sz="0" w:space="0" w:color="auto"/>
                    <w:bottom w:val="none" w:sz="0" w:space="0" w:color="auto"/>
                    <w:right w:val="none" w:sz="0" w:space="0" w:color="auto"/>
                  </w:divBdr>
                  <w:divsChild>
                    <w:div w:id="356808374">
                      <w:marLeft w:val="0"/>
                      <w:marRight w:val="0"/>
                      <w:marTop w:val="0"/>
                      <w:marBottom w:val="0"/>
                      <w:divBdr>
                        <w:top w:val="none" w:sz="0" w:space="0" w:color="auto"/>
                        <w:left w:val="none" w:sz="0" w:space="0" w:color="auto"/>
                        <w:bottom w:val="none" w:sz="0" w:space="0" w:color="auto"/>
                        <w:right w:val="none" w:sz="0" w:space="0" w:color="auto"/>
                      </w:divBdr>
                    </w:div>
                  </w:divsChild>
                </w:div>
                <w:div w:id="1524973941">
                  <w:marLeft w:val="0"/>
                  <w:marRight w:val="0"/>
                  <w:marTop w:val="0"/>
                  <w:marBottom w:val="0"/>
                  <w:divBdr>
                    <w:top w:val="none" w:sz="0" w:space="0" w:color="auto"/>
                    <w:left w:val="none" w:sz="0" w:space="0" w:color="auto"/>
                    <w:bottom w:val="none" w:sz="0" w:space="0" w:color="auto"/>
                    <w:right w:val="none" w:sz="0" w:space="0" w:color="auto"/>
                  </w:divBdr>
                  <w:divsChild>
                    <w:div w:id="1705709461">
                      <w:marLeft w:val="0"/>
                      <w:marRight w:val="0"/>
                      <w:marTop w:val="0"/>
                      <w:marBottom w:val="0"/>
                      <w:divBdr>
                        <w:top w:val="none" w:sz="0" w:space="0" w:color="auto"/>
                        <w:left w:val="none" w:sz="0" w:space="0" w:color="auto"/>
                        <w:bottom w:val="none" w:sz="0" w:space="0" w:color="auto"/>
                        <w:right w:val="none" w:sz="0" w:space="0" w:color="auto"/>
                      </w:divBdr>
                    </w:div>
                  </w:divsChild>
                </w:div>
                <w:div w:id="1681270096">
                  <w:marLeft w:val="0"/>
                  <w:marRight w:val="0"/>
                  <w:marTop w:val="0"/>
                  <w:marBottom w:val="0"/>
                  <w:divBdr>
                    <w:top w:val="none" w:sz="0" w:space="0" w:color="auto"/>
                    <w:left w:val="none" w:sz="0" w:space="0" w:color="auto"/>
                    <w:bottom w:val="none" w:sz="0" w:space="0" w:color="auto"/>
                    <w:right w:val="none" w:sz="0" w:space="0" w:color="auto"/>
                  </w:divBdr>
                  <w:divsChild>
                    <w:div w:id="766462814">
                      <w:marLeft w:val="0"/>
                      <w:marRight w:val="0"/>
                      <w:marTop w:val="0"/>
                      <w:marBottom w:val="0"/>
                      <w:divBdr>
                        <w:top w:val="none" w:sz="0" w:space="0" w:color="auto"/>
                        <w:left w:val="none" w:sz="0" w:space="0" w:color="auto"/>
                        <w:bottom w:val="none" w:sz="0" w:space="0" w:color="auto"/>
                        <w:right w:val="none" w:sz="0" w:space="0" w:color="auto"/>
                      </w:divBdr>
                    </w:div>
                  </w:divsChild>
                </w:div>
                <w:div w:id="1718316332">
                  <w:marLeft w:val="0"/>
                  <w:marRight w:val="0"/>
                  <w:marTop w:val="0"/>
                  <w:marBottom w:val="0"/>
                  <w:divBdr>
                    <w:top w:val="none" w:sz="0" w:space="0" w:color="auto"/>
                    <w:left w:val="none" w:sz="0" w:space="0" w:color="auto"/>
                    <w:bottom w:val="none" w:sz="0" w:space="0" w:color="auto"/>
                    <w:right w:val="none" w:sz="0" w:space="0" w:color="auto"/>
                  </w:divBdr>
                  <w:divsChild>
                    <w:div w:id="2109689524">
                      <w:marLeft w:val="0"/>
                      <w:marRight w:val="0"/>
                      <w:marTop w:val="0"/>
                      <w:marBottom w:val="0"/>
                      <w:divBdr>
                        <w:top w:val="none" w:sz="0" w:space="0" w:color="auto"/>
                        <w:left w:val="none" w:sz="0" w:space="0" w:color="auto"/>
                        <w:bottom w:val="none" w:sz="0" w:space="0" w:color="auto"/>
                        <w:right w:val="none" w:sz="0" w:space="0" w:color="auto"/>
                      </w:divBdr>
                    </w:div>
                  </w:divsChild>
                </w:div>
                <w:div w:id="1882403815">
                  <w:marLeft w:val="0"/>
                  <w:marRight w:val="0"/>
                  <w:marTop w:val="0"/>
                  <w:marBottom w:val="0"/>
                  <w:divBdr>
                    <w:top w:val="none" w:sz="0" w:space="0" w:color="auto"/>
                    <w:left w:val="none" w:sz="0" w:space="0" w:color="auto"/>
                    <w:bottom w:val="none" w:sz="0" w:space="0" w:color="auto"/>
                    <w:right w:val="none" w:sz="0" w:space="0" w:color="auto"/>
                  </w:divBdr>
                  <w:divsChild>
                    <w:div w:id="1564833119">
                      <w:marLeft w:val="0"/>
                      <w:marRight w:val="0"/>
                      <w:marTop w:val="0"/>
                      <w:marBottom w:val="0"/>
                      <w:divBdr>
                        <w:top w:val="none" w:sz="0" w:space="0" w:color="auto"/>
                        <w:left w:val="none" w:sz="0" w:space="0" w:color="auto"/>
                        <w:bottom w:val="none" w:sz="0" w:space="0" w:color="auto"/>
                        <w:right w:val="none" w:sz="0" w:space="0" w:color="auto"/>
                      </w:divBdr>
                    </w:div>
                  </w:divsChild>
                </w:div>
                <w:div w:id="1941642733">
                  <w:marLeft w:val="0"/>
                  <w:marRight w:val="0"/>
                  <w:marTop w:val="0"/>
                  <w:marBottom w:val="0"/>
                  <w:divBdr>
                    <w:top w:val="none" w:sz="0" w:space="0" w:color="auto"/>
                    <w:left w:val="none" w:sz="0" w:space="0" w:color="auto"/>
                    <w:bottom w:val="none" w:sz="0" w:space="0" w:color="auto"/>
                    <w:right w:val="none" w:sz="0" w:space="0" w:color="auto"/>
                  </w:divBdr>
                  <w:divsChild>
                    <w:div w:id="1624265326">
                      <w:marLeft w:val="0"/>
                      <w:marRight w:val="0"/>
                      <w:marTop w:val="0"/>
                      <w:marBottom w:val="0"/>
                      <w:divBdr>
                        <w:top w:val="none" w:sz="0" w:space="0" w:color="auto"/>
                        <w:left w:val="none" w:sz="0" w:space="0" w:color="auto"/>
                        <w:bottom w:val="none" w:sz="0" w:space="0" w:color="auto"/>
                        <w:right w:val="none" w:sz="0" w:space="0" w:color="auto"/>
                      </w:divBdr>
                    </w:div>
                  </w:divsChild>
                </w:div>
                <w:div w:id="1987931554">
                  <w:marLeft w:val="0"/>
                  <w:marRight w:val="0"/>
                  <w:marTop w:val="0"/>
                  <w:marBottom w:val="0"/>
                  <w:divBdr>
                    <w:top w:val="none" w:sz="0" w:space="0" w:color="auto"/>
                    <w:left w:val="none" w:sz="0" w:space="0" w:color="auto"/>
                    <w:bottom w:val="none" w:sz="0" w:space="0" w:color="auto"/>
                    <w:right w:val="none" w:sz="0" w:space="0" w:color="auto"/>
                  </w:divBdr>
                  <w:divsChild>
                    <w:div w:id="1143817741">
                      <w:marLeft w:val="0"/>
                      <w:marRight w:val="0"/>
                      <w:marTop w:val="0"/>
                      <w:marBottom w:val="0"/>
                      <w:divBdr>
                        <w:top w:val="none" w:sz="0" w:space="0" w:color="auto"/>
                        <w:left w:val="none" w:sz="0" w:space="0" w:color="auto"/>
                        <w:bottom w:val="none" w:sz="0" w:space="0" w:color="auto"/>
                        <w:right w:val="none" w:sz="0" w:space="0" w:color="auto"/>
                      </w:divBdr>
                    </w:div>
                  </w:divsChild>
                </w:div>
                <w:div w:id="1993097008">
                  <w:marLeft w:val="0"/>
                  <w:marRight w:val="0"/>
                  <w:marTop w:val="0"/>
                  <w:marBottom w:val="0"/>
                  <w:divBdr>
                    <w:top w:val="none" w:sz="0" w:space="0" w:color="auto"/>
                    <w:left w:val="none" w:sz="0" w:space="0" w:color="auto"/>
                    <w:bottom w:val="none" w:sz="0" w:space="0" w:color="auto"/>
                    <w:right w:val="none" w:sz="0" w:space="0" w:color="auto"/>
                  </w:divBdr>
                  <w:divsChild>
                    <w:div w:id="1740440242">
                      <w:marLeft w:val="0"/>
                      <w:marRight w:val="0"/>
                      <w:marTop w:val="0"/>
                      <w:marBottom w:val="0"/>
                      <w:divBdr>
                        <w:top w:val="none" w:sz="0" w:space="0" w:color="auto"/>
                        <w:left w:val="none" w:sz="0" w:space="0" w:color="auto"/>
                        <w:bottom w:val="none" w:sz="0" w:space="0" w:color="auto"/>
                        <w:right w:val="none" w:sz="0" w:space="0" w:color="auto"/>
                      </w:divBdr>
                    </w:div>
                  </w:divsChild>
                </w:div>
                <w:div w:id="2144882419">
                  <w:marLeft w:val="0"/>
                  <w:marRight w:val="0"/>
                  <w:marTop w:val="0"/>
                  <w:marBottom w:val="0"/>
                  <w:divBdr>
                    <w:top w:val="none" w:sz="0" w:space="0" w:color="auto"/>
                    <w:left w:val="none" w:sz="0" w:space="0" w:color="auto"/>
                    <w:bottom w:val="none" w:sz="0" w:space="0" w:color="auto"/>
                    <w:right w:val="none" w:sz="0" w:space="0" w:color="auto"/>
                  </w:divBdr>
                  <w:divsChild>
                    <w:div w:id="3301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3609">
          <w:marLeft w:val="0"/>
          <w:marRight w:val="0"/>
          <w:marTop w:val="0"/>
          <w:marBottom w:val="0"/>
          <w:divBdr>
            <w:top w:val="none" w:sz="0" w:space="0" w:color="auto"/>
            <w:left w:val="none" w:sz="0" w:space="0" w:color="auto"/>
            <w:bottom w:val="none" w:sz="0" w:space="0" w:color="auto"/>
            <w:right w:val="none" w:sz="0" w:space="0" w:color="auto"/>
          </w:divBdr>
        </w:div>
        <w:div w:id="623343039">
          <w:marLeft w:val="0"/>
          <w:marRight w:val="0"/>
          <w:marTop w:val="0"/>
          <w:marBottom w:val="0"/>
          <w:divBdr>
            <w:top w:val="none" w:sz="0" w:space="0" w:color="auto"/>
            <w:left w:val="none" w:sz="0" w:space="0" w:color="auto"/>
            <w:bottom w:val="none" w:sz="0" w:space="0" w:color="auto"/>
            <w:right w:val="none" w:sz="0" w:space="0" w:color="auto"/>
          </w:divBdr>
        </w:div>
        <w:div w:id="661130220">
          <w:marLeft w:val="0"/>
          <w:marRight w:val="0"/>
          <w:marTop w:val="0"/>
          <w:marBottom w:val="0"/>
          <w:divBdr>
            <w:top w:val="none" w:sz="0" w:space="0" w:color="auto"/>
            <w:left w:val="none" w:sz="0" w:space="0" w:color="auto"/>
            <w:bottom w:val="none" w:sz="0" w:space="0" w:color="auto"/>
            <w:right w:val="none" w:sz="0" w:space="0" w:color="auto"/>
          </w:divBdr>
        </w:div>
        <w:div w:id="677540661">
          <w:marLeft w:val="0"/>
          <w:marRight w:val="0"/>
          <w:marTop w:val="0"/>
          <w:marBottom w:val="0"/>
          <w:divBdr>
            <w:top w:val="none" w:sz="0" w:space="0" w:color="auto"/>
            <w:left w:val="none" w:sz="0" w:space="0" w:color="auto"/>
            <w:bottom w:val="none" w:sz="0" w:space="0" w:color="auto"/>
            <w:right w:val="none" w:sz="0" w:space="0" w:color="auto"/>
          </w:divBdr>
        </w:div>
        <w:div w:id="982588399">
          <w:marLeft w:val="0"/>
          <w:marRight w:val="0"/>
          <w:marTop w:val="0"/>
          <w:marBottom w:val="0"/>
          <w:divBdr>
            <w:top w:val="none" w:sz="0" w:space="0" w:color="auto"/>
            <w:left w:val="none" w:sz="0" w:space="0" w:color="auto"/>
            <w:bottom w:val="none" w:sz="0" w:space="0" w:color="auto"/>
            <w:right w:val="none" w:sz="0" w:space="0" w:color="auto"/>
          </w:divBdr>
        </w:div>
        <w:div w:id="1010908308">
          <w:marLeft w:val="0"/>
          <w:marRight w:val="0"/>
          <w:marTop w:val="0"/>
          <w:marBottom w:val="0"/>
          <w:divBdr>
            <w:top w:val="none" w:sz="0" w:space="0" w:color="auto"/>
            <w:left w:val="none" w:sz="0" w:space="0" w:color="auto"/>
            <w:bottom w:val="none" w:sz="0" w:space="0" w:color="auto"/>
            <w:right w:val="none" w:sz="0" w:space="0" w:color="auto"/>
          </w:divBdr>
        </w:div>
        <w:div w:id="1015154751">
          <w:marLeft w:val="0"/>
          <w:marRight w:val="0"/>
          <w:marTop w:val="0"/>
          <w:marBottom w:val="0"/>
          <w:divBdr>
            <w:top w:val="none" w:sz="0" w:space="0" w:color="auto"/>
            <w:left w:val="none" w:sz="0" w:space="0" w:color="auto"/>
            <w:bottom w:val="none" w:sz="0" w:space="0" w:color="auto"/>
            <w:right w:val="none" w:sz="0" w:space="0" w:color="auto"/>
          </w:divBdr>
        </w:div>
        <w:div w:id="1103258094">
          <w:marLeft w:val="0"/>
          <w:marRight w:val="0"/>
          <w:marTop w:val="0"/>
          <w:marBottom w:val="0"/>
          <w:divBdr>
            <w:top w:val="none" w:sz="0" w:space="0" w:color="auto"/>
            <w:left w:val="none" w:sz="0" w:space="0" w:color="auto"/>
            <w:bottom w:val="none" w:sz="0" w:space="0" w:color="auto"/>
            <w:right w:val="none" w:sz="0" w:space="0" w:color="auto"/>
          </w:divBdr>
        </w:div>
        <w:div w:id="1234394446">
          <w:marLeft w:val="0"/>
          <w:marRight w:val="0"/>
          <w:marTop w:val="0"/>
          <w:marBottom w:val="0"/>
          <w:divBdr>
            <w:top w:val="none" w:sz="0" w:space="0" w:color="auto"/>
            <w:left w:val="none" w:sz="0" w:space="0" w:color="auto"/>
            <w:bottom w:val="none" w:sz="0" w:space="0" w:color="auto"/>
            <w:right w:val="none" w:sz="0" w:space="0" w:color="auto"/>
          </w:divBdr>
        </w:div>
        <w:div w:id="1258171722">
          <w:marLeft w:val="0"/>
          <w:marRight w:val="0"/>
          <w:marTop w:val="0"/>
          <w:marBottom w:val="0"/>
          <w:divBdr>
            <w:top w:val="none" w:sz="0" w:space="0" w:color="auto"/>
            <w:left w:val="none" w:sz="0" w:space="0" w:color="auto"/>
            <w:bottom w:val="none" w:sz="0" w:space="0" w:color="auto"/>
            <w:right w:val="none" w:sz="0" w:space="0" w:color="auto"/>
          </w:divBdr>
        </w:div>
        <w:div w:id="1395547485">
          <w:marLeft w:val="0"/>
          <w:marRight w:val="0"/>
          <w:marTop w:val="0"/>
          <w:marBottom w:val="0"/>
          <w:divBdr>
            <w:top w:val="none" w:sz="0" w:space="0" w:color="auto"/>
            <w:left w:val="none" w:sz="0" w:space="0" w:color="auto"/>
            <w:bottom w:val="none" w:sz="0" w:space="0" w:color="auto"/>
            <w:right w:val="none" w:sz="0" w:space="0" w:color="auto"/>
          </w:divBdr>
        </w:div>
        <w:div w:id="1473905416">
          <w:marLeft w:val="0"/>
          <w:marRight w:val="0"/>
          <w:marTop w:val="0"/>
          <w:marBottom w:val="0"/>
          <w:divBdr>
            <w:top w:val="none" w:sz="0" w:space="0" w:color="auto"/>
            <w:left w:val="none" w:sz="0" w:space="0" w:color="auto"/>
            <w:bottom w:val="none" w:sz="0" w:space="0" w:color="auto"/>
            <w:right w:val="none" w:sz="0" w:space="0" w:color="auto"/>
          </w:divBdr>
          <w:divsChild>
            <w:div w:id="6954970">
              <w:marLeft w:val="0"/>
              <w:marRight w:val="0"/>
              <w:marTop w:val="0"/>
              <w:marBottom w:val="0"/>
              <w:divBdr>
                <w:top w:val="none" w:sz="0" w:space="0" w:color="auto"/>
                <w:left w:val="none" w:sz="0" w:space="0" w:color="auto"/>
                <w:bottom w:val="none" w:sz="0" w:space="0" w:color="auto"/>
                <w:right w:val="none" w:sz="0" w:space="0" w:color="auto"/>
              </w:divBdr>
            </w:div>
            <w:div w:id="18358625">
              <w:marLeft w:val="0"/>
              <w:marRight w:val="0"/>
              <w:marTop w:val="0"/>
              <w:marBottom w:val="0"/>
              <w:divBdr>
                <w:top w:val="none" w:sz="0" w:space="0" w:color="auto"/>
                <w:left w:val="none" w:sz="0" w:space="0" w:color="auto"/>
                <w:bottom w:val="none" w:sz="0" w:space="0" w:color="auto"/>
                <w:right w:val="none" w:sz="0" w:space="0" w:color="auto"/>
              </w:divBdr>
            </w:div>
            <w:div w:id="49503344">
              <w:marLeft w:val="0"/>
              <w:marRight w:val="0"/>
              <w:marTop w:val="0"/>
              <w:marBottom w:val="0"/>
              <w:divBdr>
                <w:top w:val="none" w:sz="0" w:space="0" w:color="auto"/>
                <w:left w:val="none" w:sz="0" w:space="0" w:color="auto"/>
                <w:bottom w:val="none" w:sz="0" w:space="0" w:color="auto"/>
                <w:right w:val="none" w:sz="0" w:space="0" w:color="auto"/>
              </w:divBdr>
            </w:div>
            <w:div w:id="125246223">
              <w:marLeft w:val="0"/>
              <w:marRight w:val="0"/>
              <w:marTop w:val="0"/>
              <w:marBottom w:val="0"/>
              <w:divBdr>
                <w:top w:val="none" w:sz="0" w:space="0" w:color="auto"/>
                <w:left w:val="none" w:sz="0" w:space="0" w:color="auto"/>
                <w:bottom w:val="none" w:sz="0" w:space="0" w:color="auto"/>
                <w:right w:val="none" w:sz="0" w:space="0" w:color="auto"/>
              </w:divBdr>
            </w:div>
            <w:div w:id="320738407">
              <w:marLeft w:val="0"/>
              <w:marRight w:val="0"/>
              <w:marTop w:val="0"/>
              <w:marBottom w:val="0"/>
              <w:divBdr>
                <w:top w:val="none" w:sz="0" w:space="0" w:color="auto"/>
                <w:left w:val="none" w:sz="0" w:space="0" w:color="auto"/>
                <w:bottom w:val="none" w:sz="0" w:space="0" w:color="auto"/>
                <w:right w:val="none" w:sz="0" w:space="0" w:color="auto"/>
              </w:divBdr>
            </w:div>
            <w:div w:id="394205460">
              <w:marLeft w:val="0"/>
              <w:marRight w:val="0"/>
              <w:marTop w:val="0"/>
              <w:marBottom w:val="0"/>
              <w:divBdr>
                <w:top w:val="none" w:sz="0" w:space="0" w:color="auto"/>
                <w:left w:val="none" w:sz="0" w:space="0" w:color="auto"/>
                <w:bottom w:val="none" w:sz="0" w:space="0" w:color="auto"/>
                <w:right w:val="none" w:sz="0" w:space="0" w:color="auto"/>
              </w:divBdr>
            </w:div>
            <w:div w:id="401566182">
              <w:marLeft w:val="0"/>
              <w:marRight w:val="0"/>
              <w:marTop w:val="0"/>
              <w:marBottom w:val="0"/>
              <w:divBdr>
                <w:top w:val="none" w:sz="0" w:space="0" w:color="auto"/>
                <w:left w:val="none" w:sz="0" w:space="0" w:color="auto"/>
                <w:bottom w:val="none" w:sz="0" w:space="0" w:color="auto"/>
                <w:right w:val="none" w:sz="0" w:space="0" w:color="auto"/>
              </w:divBdr>
            </w:div>
            <w:div w:id="430399140">
              <w:marLeft w:val="0"/>
              <w:marRight w:val="0"/>
              <w:marTop w:val="0"/>
              <w:marBottom w:val="0"/>
              <w:divBdr>
                <w:top w:val="none" w:sz="0" w:space="0" w:color="auto"/>
                <w:left w:val="none" w:sz="0" w:space="0" w:color="auto"/>
                <w:bottom w:val="none" w:sz="0" w:space="0" w:color="auto"/>
                <w:right w:val="none" w:sz="0" w:space="0" w:color="auto"/>
              </w:divBdr>
            </w:div>
            <w:div w:id="673725030">
              <w:marLeft w:val="0"/>
              <w:marRight w:val="0"/>
              <w:marTop w:val="0"/>
              <w:marBottom w:val="0"/>
              <w:divBdr>
                <w:top w:val="none" w:sz="0" w:space="0" w:color="auto"/>
                <w:left w:val="none" w:sz="0" w:space="0" w:color="auto"/>
                <w:bottom w:val="none" w:sz="0" w:space="0" w:color="auto"/>
                <w:right w:val="none" w:sz="0" w:space="0" w:color="auto"/>
              </w:divBdr>
            </w:div>
            <w:div w:id="686710786">
              <w:marLeft w:val="0"/>
              <w:marRight w:val="0"/>
              <w:marTop w:val="0"/>
              <w:marBottom w:val="0"/>
              <w:divBdr>
                <w:top w:val="none" w:sz="0" w:space="0" w:color="auto"/>
                <w:left w:val="none" w:sz="0" w:space="0" w:color="auto"/>
                <w:bottom w:val="none" w:sz="0" w:space="0" w:color="auto"/>
                <w:right w:val="none" w:sz="0" w:space="0" w:color="auto"/>
              </w:divBdr>
            </w:div>
            <w:div w:id="921137990">
              <w:marLeft w:val="0"/>
              <w:marRight w:val="0"/>
              <w:marTop w:val="0"/>
              <w:marBottom w:val="0"/>
              <w:divBdr>
                <w:top w:val="none" w:sz="0" w:space="0" w:color="auto"/>
                <w:left w:val="none" w:sz="0" w:space="0" w:color="auto"/>
                <w:bottom w:val="none" w:sz="0" w:space="0" w:color="auto"/>
                <w:right w:val="none" w:sz="0" w:space="0" w:color="auto"/>
              </w:divBdr>
            </w:div>
            <w:div w:id="993030137">
              <w:marLeft w:val="0"/>
              <w:marRight w:val="0"/>
              <w:marTop w:val="0"/>
              <w:marBottom w:val="0"/>
              <w:divBdr>
                <w:top w:val="none" w:sz="0" w:space="0" w:color="auto"/>
                <w:left w:val="none" w:sz="0" w:space="0" w:color="auto"/>
                <w:bottom w:val="none" w:sz="0" w:space="0" w:color="auto"/>
                <w:right w:val="none" w:sz="0" w:space="0" w:color="auto"/>
              </w:divBdr>
            </w:div>
            <w:div w:id="1133134496">
              <w:marLeft w:val="0"/>
              <w:marRight w:val="0"/>
              <w:marTop w:val="0"/>
              <w:marBottom w:val="0"/>
              <w:divBdr>
                <w:top w:val="none" w:sz="0" w:space="0" w:color="auto"/>
                <w:left w:val="none" w:sz="0" w:space="0" w:color="auto"/>
                <w:bottom w:val="none" w:sz="0" w:space="0" w:color="auto"/>
                <w:right w:val="none" w:sz="0" w:space="0" w:color="auto"/>
              </w:divBdr>
            </w:div>
            <w:div w:id="1235359723">
              <w:marLeft w:val="0"/>
              <w:marRight w:val="0"/>
              <w:marTop w:val="0"/>
              <w:marBottom w:val="0"/>
              <w:divBdr>
                <w:top w:val="none" w:sz="0" w:space="0" w:color="auto"/>
                <w:left w:val="none" w:sz="0" w:space="0" w:color="auto"/>
                <w:bottom w:val="none" w:sz="0" w:space="0" w:color="auto"/>
                <w:right w:val="none" w:sz="0" w:space="0" w:color="auto"/>
              </w:divBdr>
            </w:div>
            <w:div w:id="1442214781">
              <w:marLeft w:val="0"/>
              <w:marRight w:val="0"/>
              <w:marTop w:val="0"/>
              <w:marBottom w:val="0"/>
              <w:divBdr>
                <w:top w:val="none" w:sz="0" w:space="0" w:color="auto"/>
                <w:left w:val="none" w:sz="0" w:space="0" w:color="auto"/>
                <w:bottom w:val="none" w:sz="0" w:space="0" w:color="auto"/>
                <w:right w:val="none" w:sz="0" w:space="0" w:color="auto"/>
              </w:divBdr>
            </w:div>
            <w:div w:id="1587687661">
              <w:marLeft w:val="0"/>
              <w:marRight w:val="0"/>
              <w:marTop w:val="0"/>
              <w:marBottom w:val="0"/>
              <w:divBdr>
                <w:top w:val="none" w:sz="0" w:space="0" w:color="auto"/>
                <w:left w:val="none" w:sz="0" w:space="0" w:color="auto"/>
                <w:bottom w:val="none" w:sz="0" w:space="0" w:color="auto"/>
                <w:right w:val="none" w:sz="0" w:space="0" w:color="auto"/>
              </w:divBdr>
            </w:div>
            <w:div w:id="1627197564">
              <w:marLeft w:val="0"/>
              <w:marRight w:val="0"/>
              <w:marTop w:val="0"/>
              <w:marBottom w:val="0"/>
              <w:divBdr>
                <w:top w:val="none" w:sz="0" w:space="0" w:color="auto"/>
                <w:left w:val="none" w:sz="0" w:space="0" w:color="auto"/>
                <w:bottom w:val="none" w:sz="0" w:space="0" w:color="auto"/>
                <w:right w:val="none" w:sz="0" w:space="0" w:color="auto"/>
              </w:divBdr>
            </w:div>
            <w:div w:id="1845128510">
              <w:marLeft w:val="0"/>
              <w:marRight w:val="0"/>
              <w:marTop w:val="0"/>
              <w:marBottom w:val="0"/>
              <w:divBdr>
                <w:top w:val="none" w:sz="0" w:space="0" w:color="auto"/>
                <w:left w:val="none" w:sz="0" w:space="0" w:color="auto"/>
                <w:bottom w:val="none" w:sz="0" w:space="0" w:color="auto"/>
                <w:right w:val="none" w:sz="0" w:space="0" w:color="auto"/>
              </w:divBdr>
            </w:div>
            <w:div w:id="1901355542">
              <w:marLeft w:val="0"/>
              <w:marRight w:val="0"/>
              <w:marTop w:val="0"/>
              <w:marBottom w:val="0"/>
              <w:divBdr>
                <w:top w:val="none" w:sz="0" w:space="0" w:color="auto"/>
                <w:left w:val="none" w:sz="0" w:space="0" w:color="auto"/>
                <w:bottom w:val="none" w:sz="0" w:space="0" w:color="auto"/>
                <w:right w:val="none" w:sz="0" w:space="0" w:color="auto"/>
              </w:divBdr>
            </w:div>
            <w:div w:id="2136555222">
              <w:marLeft w:val="0"/>
              <w:marRight w:val="0"/>
              <w:marTop w:val="0"/>
              <w:marBottom w:val="0"/>
              <w:divBdr>
                <w:top w:val="none" w:sz="0" w:space="0" w:color="auto"/>
                <w:left w:val="none" w:sz="0" w:space="0" w:color="auto"/>
                <w:bottom w:val="none" w:sz="0" w:space="0" w:color="auto"/>
                <w:right w:val="none" w:sz="0" w:space="0" w:color="auto"/>
              </w:divBdr>
            </w:div>
          </w:divsChild>
        </w:div>
        <w:div w:id="1478452645">
          <w:marLeft w:val="0"/>
          <w:marRight w:val="0"/>
          <w:marTop w:val="0"/>
          <w:marBottom w:val="0"/>
          <w:divBdr>
            <w:top w:val="none" w:sz="0" w:space="0" w:color="auto"/>
            <w:left w:val="none" w:sz="0" w:space="0" w:color="auto"/>
            <w:bottom w:val="none" w:sz="0" w:space="0" w:color="auto"/>
            <w:right w:val="none" w:sz="0" w:space="0" w:color="auto"/>
          </w:divBdr>
        </w:div>
        <w:div w:id="1522742213">
          <w:marLeft w:val="0"/>
          <w:marRight w:val="0"/>
          <w:marTop w:val="0"/>
          <w:marBottom w:val="0"/>
          <w:divBdr>
            <w:top w:val="none" w:sz="0" w:space="0" w:color="auto"/>
            <w:left w:val="none" w:sz="0" w:space="0" w:color="auto"/>
            <w:bottom w:val="none" w:sz="0" w:space="0" w:color="auto"/>
            <w:right w:val="none" w:sz="0" w:space="0" w:color="auto"/>
          </w:divBdr>
        </w:div>
        <w:div w:id="1575818762">
          <w:marLeft w:val="0"/>
          <w:marRight w:val="0"/>
          <w:marTop w:val="0"/>
          <w:marBottom w:val="0"/>
          <w:divBdr>
            <w:top w:val="none" w:sz="0" w:space="0" w:color="auto"/>
            <w:left w:val="none" w:sz="0" w:space="0" w:color="auto"/>
            <w:bottom w:val="none" w:sz="0" w:space="0" w:color="auto"/>
            <w:right w:val="none" w:sz="0" w:space="0" w:color="auto"/>
          </w:divBdr>
        </w:div>
        <w:div w:id="1579754192">
          <w:marLeft w:val="0"/>
          <w:marRight w:val="0"/>
          <w:marTop w:val="0"/>
          <w:marBottom w:val="0"/>
          <w:divBdr>
            <w:top w:val="none" w:sz="0" w:space="0" w:color="auto"/>
            <w:left w:val="none" w:sz="0" w:space="0" w:color="auto"/>
            <w:bottom w:val="none" w:sz="0" w:space="0" w:color="auto"/>
            <w:right w:val="none" w:sz="0" w:space="0" w:color="auto"/>
          </w:divBdr>
        </w:div>
        <w:div w:id="1629433144">
          <w:marLeft w:val="0"/>
          <w:marRight w:val="0"/>
          <w:marTop w:val="0"/>
          <w:marBottom w:val="0"/>
          <w:divBdr>
            <w:top w:val="none" w:sz="0" w:space="0" w:color="auto"/>
            <w:left w:val="none" w:sz="0" w:space="0" w:color="auto"/>
            <w:bottom w:val="none" w:sz="0" w:space="0" w:color="auto"/>
            <w:right w:val="none" w:sz="0" w:space="0" w:color="auto"/>
          </w:divBdr>
        </w:div>
        <w:div w:id="1802311084">
          <w:marLeft w:val="0"/>
          <w:marRight w:val="0"/>
          <w:marTop w:val="0"/>
          <w:marBottom w:val="0"/>
          <w:divBdr>
            <w:top w:val="none" w:sz="0" w:space="0" w:color="auto"/>
            <w:left w:val="none" w:sz="0" w:space="0" w:color="auto"/>
            <w:bottom w:val="none" w:sz="0" w:space="0" w:color="auto"/>
            <w:right w:val="none" w:sz="0" w:space="0" w:color="auto"/>
          </w:divBdr>
        </w:div>
        <w:div w:id="1819952952">
          <w:marLeft w:val="0"/>
          <w:marRight w:val="0"/>
          <w:marTop w:val="0"/>
          <w:marBottom w:val="0"/>
          <w:divBdr>
            <w:top w:val="none" w:sz="0" w:space="0" w:color="auto"/>
            <w:left w:val="none" w:sz="0" w:space="0" w:color="auto"/>
            <w:bottom w:val="none" w:sz="0" w:space="0" w:color="auto"/>
            <w:right w:val="none" w:sz="0" w:space="0" w:color="auto"/>
          </w:divBdr>
        </w:div>
        <w:div w:id="1917785476">
          <w:marLeft w:val="0"/>
          <w:marRight w:val="0"/>
          <w:marTop w:val="0"/>
          <w:marBottom w:val="0"/>
          <w:divBdr>
            <w:top w:val="none" w:sz="0" w:space="0" w:color="auto"/>
            <w:left w:val="none" w:sz="0" w:space="0" w:color="auto"/>
            <w:bottom w:val="none" w:sz="0" w:space="0" w:color="auto"/>
            <w:right w:val="none" w:sz="0" w:space="0" w:color="auto"/>
          </w:divBdr>
        </w:div>
        <w:div w:id="1921910003">
          <w:marLeft w:val="0"/>
          <w:marRight w:val="0"/>
          <w:marTop w:val="0"/>
          <w:marBottom w:val="0"/>
          <w:divBdr>
            <w:top w:val="none" w:sz="0" w:space="0" w:color="auto"/>
            <w:left w:val="none" w:sz="0" w:space="0" w:color="auto"/>
            <w:bottom w:val="none" w:sz="0" w:space="0" w:color="auto"/>
            <w:right w:val="none" w:sz="0" w:space="0" w:color="auto"/>
          </w:divBdr>
          <w:divsChild>
            <w:div w:id="679116723">
              <w:marLeft w:val="0"/>
              <w:marRight w:val="0"/>
              <w:marTop w:val="0"/>
              <w:marBottom w:val="0"/>
              <w:divBdr>
                <w:top w:val="none" w:sz="0" w:space="0" w:color="auto"/>
                <w:left w:val="none" w:sz="0" w:space="0" w:color="auto"/>
                <w:bottom w:val="none" w:sz="0" w:space="0" w:color="auto"/>
                <w:right w:val="none" w:sz="0" w:space="0" w:color="auto"/>
              </w:divBdr>
            </w:div>
            <w:div w:id="708409759">
              <w:marLeft w:val="0"/>
              <w:marRight w:val="0"/>
              <w:marTop w:val="0"/>
              <w:marBottom w:val="0"/>
              <w:divBdr>
                <w:top w:val="none" w:sz="0" w:space="0" w:color="auto"/>
                <w:left w:val="none" w:sz="0" w:space="0" w:color="auto"/>
                <w:bottom w:val="none" w:sz="0" w:space="0" w:color="auto"/>
                <w:right w:val="none" w:sz="0" w:space="0" w:color="auto"/>
              </w:divBdr>
            </w:div>
            <w:div w:id="744690678">
              <w:marLeft w:val="0"/>
              <w:marRight w:val="0"/>
              <w:marTop w:val="0"/>
              <w:marBottom w:val="0"/>
              <w:divBdr>
                <w:top w:val="none" w:sz="0" w:space="0" w:color="auto"/>
                <w:left w:val="none" w:sz="0" w:space="0" w:color="auto"/>
                <w:bottom w:val="none" w:sz="0" w:space="0" w:color="auto"/>
                <w:right w:val="none" w:sz="0" w:space="0" w:color="auto"/>
              </w:divBdr>
            </w:div>
            <w:div w:id="1037196004">
              <w:marLeft w:val="0"/>
              <w:marRight w:val="0"/>
              <w:marTop w:val="0"/>
              <w:marBottom w:val="0"/>
              <w:divBdr>
                <w:top w:val="none" w:sz="0" w:space="0" w:color="auto"/>
                <w:left w:val="none" w:sz="0" w:space="0" w:color="auto"/>
                <w:bottom w:val="none" w:sz="0" w:space="0" w:color="auto"/>
                <w:right w:val="none" w:sz="0" w:space="0" w:color="auto"/>
              </w:divBdr>
            </w:div>
            <w:div w:id="1074667099">
              <w:marLeft w:val="0"/>
              <w:marRight w:val="0"/>
              <w:marTop w:val="0"/>
              <w:marBottom w:val="0"/>
              <w:divBdr>
                <w:top w:val="none" w:sz="0" w:space="0" w:color="auto"/>
                <w:left w:val="none" w:sz="0" w:space="0" w:color="auto"/>
                <w:bottom w:val="none" w:sz="0" w:space="0" w:color="auto"/>
                <w:right w:val="none" w:sz="0" w:space="0" w:color="auto"/>
              </w:divBdr>
            </w:div>
            <w:div w:id="1405103500">
              <w:marLeft w:val="0"/>
              <w:marRight w:val="0"/>
              <w:marTop w:val="0"/>
              <w:marBottom w:val="0"/>
              <w:divBdr>
                <w:top w:val="none" w:sz="0" w:space="0" w:color="auto"/>
                <w:left w:val="none" w:sz="0" w:space="0" w:color="auto"/>
                <w:bottom w:val="none" w:sz="0" w:space="0" w:color="auto"/>
                <w:right w:val="none" w:sz="0" w:space="0" w:color="auto"/>
              </w:divBdr>
            </w:div>
            <w:div w:id="1687365879">
              <w:marLeft w:val="0"/>
              <w:marRight w:val="0"/>
              <w:marTop w:val="0"/>
              <w:marBottom w:val="0"/>
              <w:divBdr>
                <w:top w:val="none" w:sz="0" w:space="0" w:color="auto"/>
                <w:left w:val="none" w:sz="0" w:space="0" w:color="auto"/>
                <w:bottom w:val="none" w:sz="0" w:space="0" w:color="auto"/>
                <w:right w:val="none" w:sz="0" w:space="0" w:color="auto"/>
              </w:divBdr>
            </w:div>
            <w:div w:id="17491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2837">
      <w:bodyDiv w:val="1"/>
      <w:marLeft w:val="0"/>
      <w:marRight w:val="0"/>
      <w:marTop w:val="0"/>
      <w:marBottom w:val="0"/>
      <w:divBdr>
        <w:top w:val="none" w:sz="0" w:space="0" w:color="auto"/>
        <w:left w:val="none" w:sz="0" w:space="0" w:color="auto"/>
        <w:bottom w:val="none" w:sz="0" w:space="0" w:color="auto"/>
        <w:right w:val="none" w:sz="0" w:space="0" w:color="auto"/>
      </w:divBdr>
      <w:divsChild>
        <w:div w:id="1577282434">
          <w:marLeft w:val="0"/>
          <w:marRight w:val="0"/>
          <w:marTop w:val="0"/>
          <w:marBottom w:val="0"/>
          <w:divBdr>
            <w:top w:val="none" w:sz="0" w:space="0" w:color="auto"/>
            <w:left w:val="none" w:sz="0" w:space="0" w:color="auto"/>
            <w:bottom w:val="none" w:sz="0" w:space="0" w:color="auto"/>
            <w:right w:val="none" w:sz="0" w:space="0" w:color="auto"/>
          </w:divBdr>
        </w:div>
      </w:divsChild>
    </w:div>
    <w:div w:id="366368354">
      <w:bodyDiv w:val="1"/>
      <w:marLeft w:val="0"/>
      <w:marRight w:val="0"/>
      <w:marTop w:val="0"/>
      <w:marBottom w:val="0"/>
      <w:divBdr>
        <w:top w:val="none" w:sz="0" w:space="0" w:color="auto"/>
        <w:left w:val="none" w:sz="0" w:space="0" w:color="auto"/>
        <w:bottom w:val="none" w:sz="0" w:space="0" w:color="auto"/>
        <w:right w:val="none" w:sz="0" w:space="0" w:color="auto"/>
      </w:divBdr>
    </w:div>
    <w:div w:id="373387595">
      <w:bodyDiv w:val="1"/>
      <w:marLeft w:val="0"/>
      <w:marRight w:val="0"/>
      <w:marTop w:val="0"/>
      <w:marBottom w:val="0"/>
      <w:divBdr>
        <w:top w:val="none" w:sz="0" w:space="0" w:color="auto"/>
        <w:left w:val="none" w:sz="0" w:space="0" w:color="auto"/>
        <w:bottom w:val="none" w:sz="0" w:space="0" w:color="auto"/>
        <w:right w:val="none" w:sz="0" w:space="0" w:color="auto"/>
      </w:divBdr>
    </w:div>
    <w:div w:id="476842497">
      <w:bodyDiv w:val="1"/>
      <w:marLeft w:val="0"/>
      <w:marRight w:val="0"/>
      <w:marTop w:val="0"/>
      <w:marBottom w:val="0"/>
      <w:divBdr>
        <w:top w:val="none" w:sz="0" w:space="0" w:color="auto"/>
        <w:left w:val="none" w:sz="0" w:space="0" w:color="auto"/>
        <w:bottom w:val="none" w:sz="0" w:space="0" w:color="auto"/>
        <w:right w:val="none" w:sz="0" w:space="0" w:color="auto"/>
      </w:divBdr>
    </w:div>
    <w:div w:id="503981328">
      <w:bodyDiv w:val="1"/>
      <w:marLeft w:val="0"/>
      <w:marRight w:val="0"/>
      <w:marTop w:val="0"/>
      <w:marBottom w:val="0"/>
      <w:divBdr>
        <w:top w:val="none" w:sz="0" w:space="0" w:color="auto"/>
        <w:left w:val="none" w:sz="0" w:space="0" w:color="auto"/>
        <w:bottom w:val="none" w:sz="0" w:space="0" w:color="auto"/>
        <w:right w:val="none" w:sz="0" w:space="0" w:color="auto"/>
      </w:divBdr>
    </w:div>
    <w:div w:id="512064036">
      <w:bodyDiv w:val="1"/>
      <w:marLeft w:val="0"/>
      <w:marRight w:val="0"/>
      <w:marTop w:val="0"/>
      <w:marBottom w:val="0"/>
      <w:divBdr>
        <w:top w:val="none" w:sz="0" w:space="0" w:color="auto"/>
        <w:left w:val="none" w:sz="0" w:space="0" w:color="auto"/>
        <w:bottom w:val="none" w:sz="0" w:space="0" w:color="auto"/>
        <w:right w:val="none" w:sz="0" w:space="0" w:color="auto"/>
      </w:divBdr>
    </w:div>
    <w:div w:id="592904638">
      <w:bodyDiv w:val="1"/>
      <w:marLeft w:val="0"/>
      <w:marRight w:val="0"/>
      <w:marTop w:val="0"/>
      <w:marBottom w:val="0"/>
      <w:divBdr>
        <w:top w:val="none" w:sz="0" w:space="0" w:color="auto"/>
        <w:left w:val="none" w:sz="0" w:space="0" w:color="auto"/>
        <w:bottom w:val="none" w:sz="0" w:space="0" w:color="auto"/>
        <w:right w:val="none" w:sz="0" w:space="0" w:color="auto"/>
      </w:divBdr>
    </w:div>
    <w:div w:id="597098781">
      <w:bodyDiv w:val="1"/>
      <w:marLeft w:val="0"/>
      <w:marRight w:val="0"/>
      <w:marTop w:val="0"/>
      <w:marBottom w:val="0"/>
      <w:divBdr>
        <w:top w:val="none" w:sz="0" w:space="0" w:color="auto"/>
        <w:left w:val="none" w:sz="0" w:space="0" w:color="auto"/>
        <w:bottom w:val="none" w:sz="0" w:space="0" w:color="auto"/>
        <w:right w:val="none" w:sz="0" w:space="0" w:color="auto"/>
      </w:divBdr>
    </w:div>
    <w:div w:id="602616127">
      <w:bodyDiv w:val="1"/>
      <w:marLeft w:val="0"/>
      <w:marRight w:val="0"/>
      <w:marTop w:val="0"/>
      <w:marBottom w:val="0"/>
      <w:divBdr>
        <w:top w:val="none" w:sz="0" w:space="0" w:color="auto"/>
        <w:left w:val="none" w:sz="0" w:space="0" w:color="auto"/>
        <w:bottom w:val="none" w:sz="0" w:space="0" w:color="auto"/>
        <w:right w:val="none" w:sz="0" w:space="0" w:color="auto"/>
      </w:divBdr>
    </w:div>
    <w:div w:id="630403719">
      <w:bodyDiv w:val="1"/>
      <w:marLeft w:val="0"/>
      <w:marRight w:val="0"/>
      <w:marTop w:val="0"/>
      <w:marBottom w:val="0"/>
      <w:divBdr>
        <w:top w:val="none" w:sz="0" w:space="0" w:color="auto"/>
        <w:left w:val="none" w:sz="0" w:space="0" w:color="auto"/>
        <w:bottom w:val="none" w:sz="0" w:space="0" w:color="auto"/>
        <w:right w:val="none" w:sz="0" w:space="0" w:color="auto"/>
      </w:divBdr>
    </w:div>
    <w:div w:id="676611682">
      <w:bodyDiv w:val="1"/>
      <w:marLeft w:val="0"/>
      <w:marRight w:val="0"/>
      <w:marTop w:val="0"/>
      <w:marBottom w:val="0"/>
      <w:divBdr>
        <w:top w:val="none" w:sz="0" w:space="0" w:color="auto"/>
        <w:left w:val="none" w:sz="0" w:space="0" w:color="auto"/>
        <w:bottom w:val="none" w:sz="0" w:space="0" w:color="auto"/>
        <w:right w:val="none" w:sz="0" w:space="0" w:color="auto"/>
      </w:divBdr>
    </w:div>
    <w:div w:id="767166283">
      <w:bodyDiv w:val="1"/>
      <w:marLeft w:val="0"/>
      <w:marRight w:val="0"/>
      <w:marTop w:val="0"/>
      <w:marBottom w:val="0"/>
      <w:divBdr>
        <w:top w:val="none" w:sz="0" w:space="0" w:color="auto"/>
        <w:left w:val="none" w:sz="0" w:space="0" w:color="auto"/>
        <w:bottom w:val="none" w:sz="0" w:space="0" w:color="auto"/>
        <w:right w:val="none" w:sz="0" w:space="0" w:color="auto"/>
      </w:divBdr>
    </w:div>
    <w:div w:id="776415189">
      <w:bodyDiv w:val="1"/>
      <w:marLeft w:val="0"/>
      <w:marRight w:val="0"/>
      <w:marTop w:val="0"/>
      <w:marBottom w:val="0"/>
      <w:divBdr>
        <w:top w:val="none" w:sz="0" w:space="0" w:color="auto"/>
        <w:left w:val="none" w:sz="0" w:space="0" w:color="auto"/>
        <w:bottom w:val="none" w:sz="0" w:space="0" w:color="auto"/>
        <w:right w:val="none" w:sz="0" w:space="0" w:color="auto"/>
      </w:divBdr>
    </w:div>
    <w:div w:id="790712897">
      <w:bodyDiv w:val="1"/>
      <w:marLeft w:val="0"/>
      <w:marRight w:val="0"/>
      <w:marTop w:val="0"/>
      <w:marBottom w:val="0"/>
      <w:divBdr>
        <w:top w:val="none" w:sz="0" w:space="0" w:color="auto"/>
        <w:left w:val="none" w:sz="0" w:space="0" w:color="auto"/>
        <w:bottom w:val="none" w:sz="0" w:space="0" w:color="auto"/>
        <w:right w:val="none" w:sz="0" w:space="0" w:color="auto"/>
      </w:divBdr>
    </w:div>
    <w:div w:id="815226200">
      <w:bodyDiv w:val="1"/>
      <w:marLeft w:val="0"/>
      <w:marRight w:val="0"/>
      <w:marTop w:val="0"/>
      <w:marBottom w:val="0"/>
      <w:divBdr>
        <w:top w:val="none" w:sz="0" w:space="0" w:color="auto"/>
        <w:left w:val="none" w:sz="0" w:space="0" w:color="auto"/>
        <w:bottom w:val="none" w:sz="0" w:space="0" w:color="auto"/>
        <w:right w:val="none" w:sz="0" w:space="0" w:color="auto"/>
      </w:divBdr>
    </w:div>
    <w:div w:id="826869559">
      <w:bodyDiv w:val="1"/>
      <w:marLeft w:val="0"/>
      <w:marRight w:val="0"/>
      <w:marTop w:val="0"/>
      <w:marBottom w:val="0"/>
      <w:divBdr>
        <w:top w:val="none" w:sz="0" w:space="0" w:color="auto"/>
        <w:left w:val="none" w:sz="0" w:space="0" w:color="auto"/>
        <w:bottom w:val="none" w:sz="0" w:space="0" w:color="auto"/>
        <w:right w:val="none" w:sz="0" w:space="0" w:color="auto"/>
      </w:divBdr>
      <w:divsChild>
        <w:div w:id="20785574">
          <w:marLeft w:val="0"/>
          <w:marRight w:val="0"/>
          <w:marTop w:val="0"/>
          <w:marBottom w:val="0"/>
          <w:divBdr>
            <w:top w:val="none" w:sz="0" w:space="0" w:color="auto"/>
            <w:left w:val="none" w:sz="0" w:space="0" w:color="auto"/>
            <w:bottom w:val="none" w:sz="0" w:space="0" w:color="auto"/>
            <w:right w:val="none" w:sz="0" w:space="0" w:color="auto"/>
          </w:divBdr>
        </w:div>
        <w:div w:id="67503617">
          <w:marLeft w:val="0"/>
          <w:marRight w:val="0"/>
          <w:marTop w:val="0"/>
          <w:marBottom w:val="0"/>
          <w:divBdr>
            <w:top w:val="none" w:sz="0" w:space="0" w:color="auto"/>
            <w:left w:val="none" w:sz="0" w:space="0" w:color="auto"/>
            <w:bottom w:val="none" w:sz="0" w:space="0" w:color="auto"/>
            <w:right w:val="none" w:sz="0" w:space="0" w:color="auto"/>
          </w:divBdr>
          <w:divsChild>
            <w:div w:id="1301811708">
              <w:marLeft w:val="-75"/>
              <w:marRight w:val="0"/>
              <w:marTop w:val="30"/>
              <w:marBottom w:val="30"/>
              <w:divBdr>
                <w:top w:val="none" w:sz="0" w:space="0" w:color="auto"/>
                <w:left w:val="none" w:sz="0" w:space="0" w:color="auto"/>
                <w:bottom w:val="none" w:sz="0" w:space="0" w:color="auto"/>
                <w:right w:val="none" w:sz="0" w:space="0" w:color="auto"/>
              </w:divBdr>
              <w:divsChild>
                <w:div w:id="67308474">
                  <w:marLeft w:val="0"/>
                  <w:marRight w:val="0"/>
                  <w:marTop w:val="0"/>
                  <w:marBottom w:val="0"/>
                  <w:divBdr>
                    <w:top w:val="none" w:sz="0" w:space="0" w:color="auto"/>
                    <w:left w:val="none" w:sz="0" w:space="0" w:color="auto"/>
                    <w:bottom w:val="none" w:sz="0" w:space="0" w:color="auto"/>
                    <w:right w:val="none" w:sz="0" w:space="0" w:color="auto"/>
                  </w:divBdr>
                  <w:divsChild>
                    <w:div w:id="1590041532">
                      <w:marLeft w:val="0"/>
                      <w:marRight w:val="0"/>
                      <w:marTop w:val="0"/>
                      <w:marBottom w:val="0"/>
                      <w:divBdr>
                        <w:top w:val="none" w:sz="0" w:space="0" w:color="auto"/>
                        <w:left w:val="none" w:sz="0" w:space="0" w:color="auto"/>
                        <w:bottom w:val="none" w:sz="0" w:space="0" w:color="auto"/>
                        <w:right w:val="none" w:sz="0" w:space="0" w:color="auto"/>
                      </w:divBdr>
                    </w:div>
                  </w:divsChild>
                </w:div>
                <w:div w:id="139924494">
                  <w:marLeft w:val="0"/>
                  <w:marRight w:val="0"/>
                  <w:marTop w:val="0"/>
                  <w:marBottom w:val="0"/>
                  <w:divBdr>
                    <w:top w:val="none" w:sz="0" w:space="0" w:color="auto"/>
                    <w:left w:val="none" w:sz="0" w:space="0" w:color="auto"/>
                    <w:bottom w:val="none" w:sz="0" w:space="0" w:color="auto"/>
                    <w:right w:val="none" w:sz="0" w:space="0" w:color="auto"/>
                  </w:divBdr>
                  <w:divsChild>
                    <w:div w:id="1208489409">
                      <w:marLeft w:val="0"/>
                      <w:marRight w:val="0"/>
                      <w:marTop w:val="0"/>
                      <w:marBottom w:val="0"/>
                      <w:divBdr>
                        <w:top w:val="none" w:sz="0" w:space="0" w:color="auto"/>
                        <w:left w:val="none" w:sz="0" w:space="0" w:color="auto"/>
                        <w:bottom w:val="none" w:sz="0" w:space="0" w:color="auto"/>
                        <w:right w:val="none" w:sz="0" w:space="0" w:color="auto"/>
                      </w:divBdr>
                    </w:div>
                  </w:divsChild>
                </w:div>
                <w:div w:id="276789577">
                  <w:marLeft w:val="0"/>
                  <w:marRight w:val="0"/>
                  <w:marTop w:val="0"/>
                  <w:marBottom w:val="0"/>
                  <w:divBdr>
                    <w:top w:val="none" w:sz="0" w:space="0" w:color="auto"/>
                    <w:left w:val="none" w:sz="0" w:space="0" w:color="auto"/>
                    <w:bottom w:val="none" w:sz="0" w:space="0" w:color="auto"/>
                    <w:right w:val="none" w:sz="0" w:space="0" w:color="auto"/>
                  </w:divBdr>
                  <w:divsChild>
                    <w:div w:id="1456674264">
                      <w:marLeft w:val="0"/>
                      <w:marRight w:val="0"/>
                      <w:marTop w:val="0"/>
                      <w:marBottom w:val="0"/>
                      <w:divBdr>
                        <w:top w:val="none" w:sz="0" w:space="0" w:color="auto"/>
                        <w:left w:val="none" w:sz="0" w:space="0" w:color="auto"/>
                        <w:bottom w:val="none" w:sz="0" w:space="0" w:color="auto"/>
                        <w:right w:val="none" w:sz="0" w:space="0" w:color="auto"/>
                      </w:divBdr>
                    </w:div>
                  </w:divsChild>
                </w:div>
                <w:div w:id="288245184">
                  <w:marLeft w:val="0"/>
                  <w:marRight w:val="0"/>
                  <w:marTop w:val="0"/>
                  <w:marBottom w:val="0"/>
                  <w:divBdr>
                    <w:top w:val="none" w:sz="0" w:space="0" w:color="auto"/>
                    <w:left w:val="none" w:sz="0" w:space="0" w:color="auto"/>
                    <w:bottom w:val="none" w:sz="0" w:space="0" w:color="auto"/>
                    <w:right w:val="none" w:sz="0" w:space="0" w:color="auto"/>
                  </w:divBdr>
                  <w:divsChild>
                    <w:div w:id="885795807">
                      <w:marLeft w:val="0"/>
                      <w:marRight w:val="0"/>
                      <w:marTop w:val="0"/>
                      <w:marBottom w:val="0"/>
                      <w:divBdr>
                        <w:top w:val="none" w:sz="0" w:space="0" w:color="auto"/>
                        <w:left w:val="none" w:sz="0" w:space="0" w:color="auto"/>
                        <w:bottom w:val="none" w:sz="0" w:space="0" w:color="auto"/>
                        <w:right w:val="none" w:sz="0" w:space="0" w:color="auto"/>
                      </w:divBdr>
                    </w:div>
                  </w:divsChild>
                </w:div>
                <w:div w:id="296490043">
                  <w:marLeft w:val="0"/>
                  <w:marRight w:val="0"/>
                  <w:marTop w:val="0"/>
                  <w:marBottom w:val="0"/>
                  <w:divBdr>
                    <w:top w:val="none" w:sz="0" w:space="0" w:color="auto"/>
                    <w:left w:val="none" w:sz="0" w:space="0" w:color="auto"/>
                    <w:bottom w:val="none" w:sz="0" w:space="0" w:color="auto"/>
                    <w:right w:val="none" w:sz="0" w:space="0" w:color="auto"/>
                  </w:divBdr>
                  <w:divsChild>
                    <w:div w:id="1450128658">
                      <w:marLeft w:val="0"/>
                      <w:marRight w:val="0"/>
                      <w:marTop w:val="0"/>
                      <w:marBottom w:val="0"/>
                      <w:divBdr>
                        <w:top w:val="none" w:sz="0" w:space="0" w:color="auto"/>
                        <w:left w:val="none" w:sz="0" w:space="0" w:color="auto"/>
                        <w:bottom w:val="none" w:sz="0" w:space="0" w:color="auto"/>
                        <w:right w:val="none" w:sz="0" w:space="0" w:color="auto"/>
                      </w:divBdr>
                    </w:div>
                  </w:divsChild>
                </w:div>
                <w:div w:id="533272773">
                  <w:marLeft w:val="0"/>
                  <w:marRight w:val="0"/>
                  <w:marTop w:val="0"/>
                  <w:marBottom w:val="0"/>
                  <w:divBdr>
                    <w:top w:val="none" w:sz="0" w:space="0" w:color="auto"/>
                    <w:left w:val="none" w:sz="0" w:space="0" w:color="auto"/>
                    <w:bottom w:val="none" w:sz="0" w:space="0" w:color="auto"/>
                    <w:right w:val="none" w:sz="0" w:space="0" w:color="auto"/>
                  </w:divBdr>
                  <w:divsChild>
                    <w:div w:id="1863981118">
                      <w:marLeft w:val="0"/>
                      <w:marRight w:val="0"/>
                      <w:marTop w:val="0"/>
                      <w:marBottom w:val="0"/>
                      <w:divBdr>
                        <w:top w:val="none" w:sz="0" w:space="0" w:color="auto"/>
                        <w:left w:val="none" w:sz="0" w:space="0" w:color="auto"/>
                        <w:bottom w:val="none" w:sz="0" w:space="0" w:color="auto"/>
                        <w:right w:val="none" w:sz="0" w:space="0" w:color="auto"/>
                      </w:divBdr>
                    </w:div>
                  </w:divsChild>
                </w:div>
                <w:div w:id="541752860">
                  <w:marLeft w:val="0"/>
                  <w:marRight w:val="0"/>
                  <w:marTop w:val="0"/>
                  <w:marBottom w:val="0"/>
                  <w:divBdr>
                    <w:top w:val="none" w:sz="0" w:space="0" w:color="auto"/>
                    <w:left w:val="none" w:sz="0" w:space="0" w:color="auto"/>
                    <w:bottom w:val="none" w:sz="0" w:space="0" w:color="auto"/>
                    <w:right w:val="none" w:sz="0" w:space="0" w:color="auto"/>
                  </w:divBdr>
                  <w:divsChild>
                    <w:div w:id="1965842039">
                      <w:marLeft w:val="0"/>
                      <w:marRight w:val="0"/>
                      <w:marTop w:val="0"/>
                      <w:marBottom w:val="0"/>
                      <w:divBdr>
                        <w:top w:val="none" w:sz="0" w:space="0" w:color="auto"/>
                        <w:left w:val="none" w:sz="0" w:space="0" w:color="auto"/>
                        <w:bottom w:val="none" w:sz="0" w:space="0" w:color="auto"/>
                        <w:right w:val="none" w:sz="0" w:space="0" w:color="auto"/>
                      </w:divBdr>
                    </w:div>
                  </w:divsChild>
                </w:div>
                <w:div w:id="656498540">
                  <w:marLeft w:val="0"/>
                  <w:marRight w:val="0"/>
                  <w:marTop w:val="0"/>
                  <w:marBottom w:val="0"/>
                  <w:divBdr>
                    <w:top w:val="none" w:sz="0" w:space="0" w:color="auto"/>
                    <w:left w:val="none" w:sz="0" w:space="0" w:color="auto"/>
                    <w:bottom w:val="none" w:sz="0" w:space="0" w:color="auto"/>
                    <w:right w:val="none" w:sz="0" w:space="0" w:color="auto"/>
                  </w:divBdr>
                  <w:divsChild>
                    <w:div w:id="120727472">
                      <w:marLeft w:val="0"/>
                      <w:marRight w:val="0"/>
                      <w:marTop w:val="0"/>
                      <w:marBottom w:val="0"/>
                      <w:divBdr>
                        <w:top w:val="none" w:sz="0" w:space="0" w:color="auto"/>
                        <w:left w:val="none" w:sz="0" w:space="0" w:color="auto"/>
                        <w:bottom w:val="none" w:sz="0" w:space="0" w:color="auto"/>
                        <w:right w:val="none" w:sz="0" w:space="0" w:color="auto"/>
                      </w:divBdr>
                    </w:div>
                  </w:divsChild>
                </w:div>
                <w:div w:id="678850530">
                  <w:marLeft w:val="0"/>
                  <w:marRight w:val="0"/>
                  <w:marTop w:val="0"/>
                  <w:marBottom w:val="0"/>
                  <w:divBdr>
                    <w:top w:val="none" w:sz="0" w:space="0" w:color="auto"/>
                    <w:left w:val="none" w:sz="0" w:space="0" w:color="auto"/>
                    <w:bottom w:val="none" w:sz="0" w:space="0" w:color="auto"/>
                    <w:right w:val="none" w:sz="0" w:space="0" w:color="auto"/>
                  </w:divBdr>
                  <w:divsChild>
                    <w:div w:id="38209504">
                      <w:marLeft w:val="0"/>
                      <w:marRight w:val="0"/>
                      <w:marTop w:val="0"/>
                      <w:marBottom w:val="0"/>
                      <w:divBdr>
                        <w:top w:val="none" w:sz="0" w:space="0" w:color="auto"/>
                        <w:left w:val="none" w:sz="0" w:space="0" w:color="auto"/>
                        <w:bottom w:val="none" w:sz="0" w:space="0" w:color="auto"/>
                        <w:right w:val="none" w:sz="0" w:space="0" w:color="auto"/>
                      </w:divBdr>
                    </w:div>
                  </w:divsChild>
                </w:div>
                <w:div w:id="694354844">
                  <w:marLeft w:val="0"/>
                  <w:marRight w:val="0"/>
                  <w:marTop w:val="0"/>
                  <w:marBottom w:val="0"/>
                  <w:divBdr>
                    <w:top w:val="none" w:sz="0" w:space="0" w:color="auto"/>
                    <w:left w:val="none" w:sz="0" w:space="0" w:color="auto"/>
                    <w:bottom w:val="none" w:sz="0" w:space="0" w:color="auto"/>
                    <w:right w:val="none" w:sz="0" w:space="0" w:color="auto"/>
                  </w:divBdr>
                  <w:divsChild>
                    <w:div w:id="1695380616">
                      <w:marLeft w:val="0"/>
                      <w:marRight w:val="0"/>
                      <w:marTop w:val="0"/>
                      <w:marBottom w:val="0"/>
                      <w:divBdr>
                        <w:top w:val="none" w:sz="0" w:space="0" w:color="auto"/>
                        <w:left w:val="none" w:sz="0" w:space="0" w:color="auto"/>
                        <w:bottom w:val="none" w:sz="0" w:space="0" w:color="auto"/>
                        <w:right w:val="none" w:sz="0" w:space="0" w:color="auto"/>
                      </w:divBdr>
                    </w:div>
                  </w:divsChild>
                </w:div>
                <w:div w:id="702678839">
                  <w:marLeft w:val="0"/>
                  <w:marRight w:val="0"/>
                  <w:marTop w:val="0"/>
                  <w:marBottom w:val="0"/>
                  <w:divBdr>
                    <w:top w:val="none" w:sz="0" w:space="0" w:color="auto"/>
                    <w:left w:val="none" w:sz="0" w:space="0" w:color="auto"/>
                    <w:bottom w:val="none" w:sz="0" w:space="0" w:color="auto"/>
                    <w:right w:val="none" w:sz="0" w:space="0" w:color="auto"/>
                  </w:divBdr>
                  <w:divsChild>
                    <w:div w:id="461268663">
                      <w:marLeft w:val="0"/>
                      <w:marRight w:val="0"/>
                      <w:marTop w:val="0"/>
                      <w:marBottom w:val="0"/>
                      <w:divBdr>
                        <w:top w:val="none" w:sz="0" w:space="0" w:color="auto"/>
                        <w:left w:val="none" w:sz="0" w:space="0" w:color="auto"/>
                        <w:bottom w:val="none" w:sz="0" w:space="0" w:color="auto"/>
                        <w:right w:val="none" w:sz="0" w:space="0" w:color="auto"/>
                      </w:divBdr>
                    </w:div>
                  </w:divsChild>
                </w:div>
                <w:div w:id="751198854">
                  <w:marLeft w:val="0"/>
                  <w:marRight w:val="0"/>
                  <w:marTop w:val="0"/>
                  <w:marBottom w:val="0"/>
                  <w:divBdr>
                    <w:top w:val="none" w:sz="0" w:space="0" w:color="auto"/>
                    <w:left w:val="none" w:sz="0" w:space="0" w:color="auto"/>
                    <w:bottom w:val="none" w:sz="0" w:space="0" w:color="auto"/>
                    <w:right w:val="none" w:sz="0" w:space="0" w:color="auto"/>
                  </w:divBdr>
                  <w:divsChild>
                    <w:div w:id="1275943793">
                      <w:marLeft w:val="0"/>
                      <w:marRight w:val="0"/>
                      <w:marTop w:val="0"/>
                      <w:marBottom w:val="0"/>
                      <w:divBdr>
                        <w:top w:val="none" w:sz="0" w:space="0" w:color="auto"/>
                        <w:left w:val="none" w:sz="0" w:space="0" w:color="auto"/>
                        <w:bottom w:val="none" w:sz="0" w:space="0" w:color="auto"/>
                        <w:right w:val="none" w:sz="0" w:space="0" w:color="auto"/>
                      </w:divBdr>
                    </w:div>
                  </w:divsChild>
                </w:div>
                <w:div w:id="854147593">
                  <w:marLeft w:val="0"/>
                  <w:marRight w:val="0"/>
                  <w:marTop w:val="0"/>
                  <w:marBottom w:val="0"/>
                  <w:divBdr>
                    <w:top w:val="none" w:sz="0" w:space="0" w:color="auto"/>
                    <w:left w:val="none" w:sz="0" w:space="0" w:color="auto"/>
                    <w:bottom w:val="none" w:sz="0" w:space="0" w:color="auto"/>
                    <w:right w:val="none" w:sz="0" w:space="0" w:color="auto"/>
                  </w:divBdr>
                  <w:divsChild>
                    <w:div w:id="1407805482">
                      <w:marLeft w:val="0"/>
                      <w:marRight w:val="0"/>
                      <w:marTop w:val="0"/>
                      <w:marBottom w:val="0"/>
                      <w:divBdr>
                        <w:top w:val="none" w:sz="0" w:space="0" w:color="auto"/>
                        <w:left w:val="none" w:sz="0" w:space="0" w:color="auto"/>
                        <w:bottom w:val="none" w:sz="0" w:space="0" w:color="auto"/>
                        <w:right w:val="none" w:sz="0" w:space="0" w:color="auto"/>
                      </w:divBdr>
                    </w:div>
                  </w:divsChild>
                </w:div>
                <w:div w:id="1039624386">
                  <w:marLeft w:val="0"/>
                  <w:marRight w:val="0"/>
                  <w:marTop w:val="0"/>
                  <w:marBottom w:val="0"/>
                  <w:divBdr>
                    <w:top w:val="none" w:sz="0" w:space="0" w:color="auto"/>
                    <w:left w:val="none" w:sz="0" w:space="0" w:color="auto"/>
                    <w:bottom w:val="none" w:sz="0" w:space="0" w:color="auto"/>
                    <w:right w:val="none" w:sz="0" w:space="0" w:color="auto"/>
                  </w:divBdr>
                  <w:divsChild>
                    <w:div w:id="1312248612">
                      <w:marLeft w:val="0"/>
                      <w:marRight w:val="0"/>
                      <w:marTop w:val="0"/>
                      <w:marBottom w:val="0"/>
                      <w:divBdr>
                        <w:top w:val="none" w:sz="0" w:space="0" w:color="auto"/>
                        <w:left w:val="none" w:sz="0" w:space="0" w:color="auto"/>
                        <w:bottom w:val="none" w:sz="0" w:space="0" w:color="auto"/>
                        <w:right w:val="none" w:sz="0" w:space="0" w:color="auto"/>
                      </w:divBdr>
                    </w:div>
                  </w:divsChild>
                </w:div>
                <w:div w:id="1046173411">
                  <w:marLeft w:val="0"/>
                  <w:marRight w:val="0"/>
                  <w:marTop w:val="0"/>
                  <w:marBottom w:val="0"/>
                  <w:divBdr>
                    <w:top w:val="none" w:sz="0" w:space="0" w:color="auto"/>
                    <w:left w:val="none" w:sz="0" w:space="0" w:color="auto"/>
                    <w:bottom w:val="none" w:sz="0" w:space="0" w:color="auto"/>
                    <w:right w:val="none" w:sz="0" w:space="0" w:color="auto"/>
                  </w:divBdr>
                  <w:divsChild>
                    <w:div w:id="1709908996">
                      <w:marLeft w:val="0"/>
                      <w:marRight w:val="0"/>
                      <w:marTop w:val="0"/>
                      <w:marBottom w:val="0"/>
                      <w:divBdr>
                        <w:top w:val="none" w:sz="0" w:space="0" w:color="auto"/>
                        <w:left w:val="none" w:sz="0" w:space="0" w:color="auto"/>
                        <w:bottom w:val="none" w:sz="0" w:space="0" w:color="auto"/>
                        <w:right w:val="none" w:sz="0" w:space="0" w:color="auto"/>
                      </w:divBdr>
                    </w:div>
                  </w:divsChild>
                </w:div>
                <w:div w:id="1237084017">
                  <w:marLeft w:val="0"/>
                  <w:marRight w:val="0"/>
                  <w:marTop w:val="0"/>
                  <w:marBottom w:val="0"/>
                  <w:divBdr>
                    <w:top w:val="none" w:sz="0" w:space="0" w:color="auto"/>
                    <w:left w:val="none" w:sz="0" w:space="0" w:color="auto"/>
                    <w:bottom w:val="none" w:sz="0" w:space="0" w:color="auto"/>
                    <w:right w:val="none" w:sz="0" w:space="0" w:color="auto"/>
                  </w:divBdr>
                  <w:divsChild>
                    <w:div w:id="1338268076">
                      <w:marLeft w:val="0"/>
                      <w:marRight w:val="0"/>
                      <w:marTop w:val="0"/>
                      <w:marBottom w:val="0"/>
                      <w:divBdr>
                        <w:top w:val="none" w:sz="0" w:space="0" w:color="auto"/>
                        <w:left w:val="none" w:sz="0" w:space="0" w:color="auto"/>
                        <w:bottom w:val="none" w:sz="0" w:space="0" w:color="auto"/>
                        <w:right w:val="none" w:sz="0" w:space="0" w:color="auto"/>
                      </w:divBdr>
                    </w:div>
                  </w:divsChild>
                </w:div>
                <w:div w:id="1320771075">
                  <w:marLeft w:val="0"/>
                  <w:marRight w:val="0"/>
                  <w:marTop w:val="0"/>
                  <w:marBottom w:val="0"/>
                  <w:divBdr>
                    <w:top w:val="none" w:sz="0" w:space="0" w:color="auto"/>
                    <w:left w:val="none" w:sz="0" w:space="0" w:color="auto"/>
                    <w:bottom w:val="none" w:sz="0" w:space="0" w:color="auto"/>
                    <w:right w:val="none" w:sz="0" w:space="0" w:color="auto"/>
                  </w:divBdr>
                  <w:divsChild>
                    <w:div w:id="1938126024">
                      <w:marLeft w:val="0"/>
                      <w:marRight w:val="0"/>
                      <w:marTop w:val="0"/>
                      <w:marBottom w:val="0"/>
                      <w:divBdr>
                        <w:top w:val="none" w:sz="0" w:space="0" w:color="auto"/>
                        <w:left w:val="none" w:sz="0" w:space="0" w:color="auto"/>
                        <w:bottom w:val="none" w:sz="0" w:space="0" w:color="auto"/>
                        <w:right w:val="none" w:sz="0" w:space="0" w:color="auto"/>
                      </w:divBdr>
                    </w:div>
                  </w:divsChild>
                </w:div>
                <w:div w:id="1348217380">
                  <w:marLeft w:val="0"/>
                  <w:marRight w:val="0"/>
                  <w:marTop w:val="0"/>
                  <w:marBottom w:val="0"/>
                  <w:divBdr>
                    <w:top w:val="none" w:sz="0" w:space="0" w:color="auto"/>
                    <w:left w:val="none" w:sz="0" w:space="0" w:color="auto"/>
                    <w:bottom w:val="none" w:sz="0" w:space="0" w:color="auto"/>
                    <w:right w:val="none" w:sz="0" w:space="0" w:color="auto"/>
                  </w:divBdr>
                  <w:divsChild>
                    <w:div w:id="1962298265">
                      <w:marLeft w:val="0"/>
                      <w:marRight w:val="0"/>
                      <w:marTop w:val="0"/>
                      <w:marBottom w:val="0"/>
                      <w:divBdr>
                        <w:top w:val="none" w:sz="0" w:space="0" w:color="auto"/>
                        <w:left w:val="none" w:sz="0" w:space="0" w:color="auto"/>
                        <w:bottom w:val="none" w:sz="0" w:space="0" w:color="auto"/>
                        <w:right w:val="none" w:sz="0" w:space="0" w:color="auto"/>
                      </w:divBdr>
                    </w:div>
                  </w:divsChild>
                </w:div>
                <w:div w:id="1534271359">
                  <w:marLeft w:val="0"/>
                  <w:marRight w:val="0"/>
                  <w:marTop w:val="0"/>
                  <w:marBottom w:val="0"/>
                  <w:divBdr>
                    <w:top w:val="none" w:sz="0" w:space="0" w:color="auto"/>
                    <w:left w:val="none" w:sz="0" w:space="0" w:color="auto"/>
                    <w:bottom w:val="none" w:sz="0" w:space="0" w:color="auto"/>
                    <w:right w:val="none" w:sz="0" w:space="0" w:color="auto"/>
                  </w:divBdr>
                  <w:divsChild>
                    <w:div w:id="1667901655">
                      <w:marLeft w:val="0"/>
                      <w:marRight w:val="0"/>
                      <w:marTop w:val="0"/>
                      <w:marBottom w:val="0"/>
                      <w:divBdr>
                        <w:top w:val="none" w:sz="0" w:space="0" w:color="auto"/>
                        <w:left w:val="none" w:sz="0" w:space="0" w:color="auto"/>
                        <w:bottom w:val="none" w:sz="0" w:space="0" w:color="auto"/>
                        <w:right w:val="none" w:sz="0" w:space="0" w:color="auto"/>
                      </w:divBdr>
                    </w:div>
                  </w:divsChild>
                </w:div>
                <w:div w:id="1601330628">
                  <w:marLeft w:val="0"/>
                  <w:marRight w:val="0"/>
                  <w:marTop w:val="0"/>
                  <w:marBottom w:val="0"/>
                  <w:divBdr>
                    <w:top w:val="none" w:sz="0" w:space="0" w:color="auto"/>
                    <w:left w:val="none" w:sz="0" w:space="0" w:color="auto"/>
                    <w:bottom w:val="none" w:sz="0" w:space="0" w:color="auto"/>
                    <w:right w:val="none" w:sz="0" w:space="0" w:color="auto"/>
                  </w:divBdr>
                  <w:divsChild>
                    <w:div w:id="2053655440">
                      <w:marLeft w:val="0"/>
                      <w:marRight w:val="0"/>
                      <w:marTop w:val="0"/>
                      <w:marBottom w:val="0"/>
                      <w:divBdr>
                        <w:top w:val="none" w:sz="0" w:space="0" w:color="auto"/>
                        <w:left w:val="none" w:sz="0" w:space="0" w:color="auto"/>
                        <w:bottom w:val="none" w:sz="0" w:space="0" w:color="auto"/>
                        <w:right w:val="none" w:sz="0" w:space="0" w:color="auto"/>
                      </w:divBdr>
                    </w:div>
                  </w:divsChild>
                </w:div>
                <w:div w:id="1989087660">
                  <w:marLeft w:val="0"/>
                  <w:marRight w:val="0"/>
                  <w:marTop w:val="0"/>
                  <w:marBottom w:val="0"/>
                  <w:divBdr>
                    <w:top w:val="none" w:sz="0" w:space="0" w:color="auto"/>
                    <w:left w:val="none" w:sz="0" w:space="0" w:color="auto"/>
                    <w:bottom w:val="none" w:sz="0" w:space="0" w:color="auto"/>
                    <w:right w:val="none" w:sz="0" w:space="0" w:color="auto"/>
                  </w:divBdr>
                  <w:divsChild>
                    <w:div w:id="165633998">
                      <w:marLeft w:val="0"/>
                      <w:marRight w:val="0"/>
                      <w:marTop w:val="0"/>
                      <w:marBottom w:val="0"/>
                      <w:divBdr>
                        <w:top w:val="none" w:sz="0" w:space="0" w:color="auto"/>
                        <w:left w:val="none" w:sz="0" w:space="0" w:color="auto"/>
                        <w:bottom w:val="none" w:sz="0" w:space="0" w:color="auto"/>
                        <w:right w:val="none" w:sz="0" w:space="0" w:color="auto"/>
                      </w:divBdr>
                    </w:div>
                  </w:divsChild>
                </w:div>
                <w:div w:id="2125270596">
                  <w:marLeft w:val="0"/>
                  <w:marRight w:val="0"/>
                  <w:marTop w:val="0"/>
                  <w:marBottom w:val="0"/>
                  <w:divBdr>
                    <w:top w:val="none" w:sz="0" w:space="0" w:color="auto"/>
                    <w:left w:val="none" w:sz="0" w:space="0" w:color="auto"/>
                    <w:bottom w:val="none" w:sz="0" w:space="0" w:color="auto"/>
                    <w:right w:val="none" w:sz="0" w:space="0" w:color="auto"/>
                  </w:divBdr>
                  <w:divsChild>
                    <w:div w:id="835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1762">
          <w:marLeft w:val="0"/>
          <w:marRight w:val="0"/>
          <w:marTop w:val="0"/>
          <w:marBottom w:val="0"/>
          <w:divBdr>
            <w:top w:val="none" w:sz="0" w:space="0" w:color="auto"/>
            <w:left w:val="none" w:sz="0" w:space="0" w:color="auto"/>
            <w:bottom w:val="none" w:sz="0" w:space="0" w:color="auto"/>
            <w:right w:val="none" w:sz="0" w:space="0" w:color="auto"/>
          </w:divBdr>
        </w:div>
        <w:div w:id="219249094">
          <w:marLeft w:val="0"/>
          <w:marRight w:val="0"/>
          <w:marTop w:val="0"/>
          <w:marBottom w:val="0"/>
          <w:divBdr>
            <w:top w:val="none" w:sz="0" w:space="0" w:color="auto"/>
            <w:left w:val="none" w:sz="0" w:space="0" w:color="auto"/>
            <w:bottom w:val="none" w:sz="0" w:space="0" w:color="auto"/>
            <w:right w:val="none" w:sz="0" w:space="0" w:color="auto"/>
          </w:divBdr>
        </w:div>
        <w:div w:id="357122231">
          <w:marLeft w:val="0"/>
          <w:marRight w:val="0"/>
          <w:marTop w:val="0"/>
          <w:marBottom w:val="0"/>
          <w:divBdr>
            <w:top w:val="none" w:sz="0" w:space="0" w:color="auto"/>
            <w:left w:val="none" w:sz="0" w:space="0" w:color="auto"/>
            <w:bottom w:val="none" w:sz="0" w:space="0" w:color="auto"/>
            <w:right w:val="none" w:sz="0" w:space="0" w:color="auto"/>
          </w:divBdr>
          <w:divsChild>
            <w:div w:id="116684729">
              <w:marLeft w:val="0"/>
              <w:marRight w:val="0"/>
              <w:marTop w:val="0"/>
              <w:marBottom w:val="0"/>
              <w:divBdr>
                <w:top w:val="none" w:sz="0" w:space="0" w:color="auto"/>
                <w:left w:val="none" w:sz="0" w:space="0" w:color="auto"/>
                <w:bottom w:val="none" w:sz="0" w:space="0" w:color="auto"/>
                <w:right w:val="none" w:sz="0" w:space="0" w:color="auto"/>
              </w:divBdr>
            </w:div>
            <w:div w:id="370154666">
              <w:marLeft w:val="0"/>
              <w:marRight w:val="0"/>
              <w:marTop w:val="0"/>
              <w:marBottom w:val="0"/>
              <w:divBdr>
                <w:top w:val="none" w:sz="0" w:space="0" w:color="auto"/>
                <w:left w:val="none" w:sz="0" w:space="0" w:color="auto"/>
                <w:bottom w:val="none" w:sz="0" w:space="0" w:color="auto"/>
                <w:right w:val="none" w:sz="0" w:space="0" w:color="auto"/>
              </w:divBdr>
            </w:div>
            <w:div w:id="386759032">
              <w:marLeft w:val="0"/>
              <w:marRight w:val="0"/>
              <w:marTop w:val="0"/>
              <w:marBottom w:val="0"/>
              <w:divBdr>
                <w:top w:val="none" w:sz="0" w:space="0" w:color="auto"/>
                <w:left w:val="none" w:sz="0" w:space="0" w:color="auto"/>
                <w:bottom w:val="none" w:sz="0" w:space="0" w:color="auto"/>
                <w:right w:val="none" w:sz="0" w:space="0" w:color="auto"/>
              </w:divBdr>
            </w:div>
            <w:div w:id="445084142">
              <w:marLeft w:val="0"/>
              <w:marRight w:val="0"/>
              <w:marTop w:val="0"/>
              <w:marBottom w:val="0"/>
              <w:divBdr>
                <w:top w:val="none" w:sz="0" w:space="0" w:color="auto"/>
                <w:left w:val="none" w:sz="0" w:space="0" w:color="auto"/>
                <w:bottom w:val="none" w:sz="0" w:space="0" w:color="auto"/>
                <w:right w:val="none" w:sz="0" w:space="0" w:color="auto"/>
              </w:divBdr>
            </w:div>
            <w:div w:id="662973555">
              <w:marLeft w:val="0"/>
              <w:marRight w:val="0"/>
              <w:marTop w:val="0"/>
              <w:marBottom w:val="0"/>
              <w:divBdr>
                <w:top w:val="none" w:sz="0" w:space="0" w:color="auto"/>
                <w:left w:val="none" w:sz="0" w:space="0" w:color="auto"/>
                <w:bottom w:val="none" w:sz="0" w:space="0" w:color="auto"/>
                <w:right w:val="none" w:sz="0" w:space="0" w:color="auto"/>
              </w:divBdr>
            </w:div>
            <w:div w:id="779564231">
              <w:marLeft w:val="0"/>
              <w:marRight w:val="0"/>
              <w:marTop w:val="0"/>
              <w:marBottom w:val="0"/>
              <w:divBdr>
                <w:top w:val="none" w:sz="0" w:space="0" w:color="auto"/>
                <w:left w:val="none" w:sz="0" w:space="0" w:color="auto"/>
                <w:bottom w:val="none" w:sz="0" w:space="0" w:color="auto"/>
                <w:right w:val="none" w:sz="0" w:space="0" w:color="auto"/>
              </w:divBdr>
            </w:div>
            <w:div w:id="797143700">
              <w:marLeft w:val="0"/>
              <w:marRight w:val="0"/>
              <w:marTop w:val="0"/>
              <w:marBottom w:val="0"/>
              <w:divBdr>
                <w:top w:val="none" w:sz="0" w:space="0" w:color="auto"/>
                <w:left w:val="none" w:sz="0" w:space="0" w:color="auto"/>
                <w:bottom w:val="none" w:sz="0" w:space="0" w:color="auto"/>
                <w:right w:val="none" w:sz="0" w:space="0" w:color="auto"/>
              </w:divBdr>
            </w:div>
            <w:div w:id="810513549">
              <w:marLeft w:val="0"/>
              <w:marRight w:val="0"/>
              <w:marTop w:val="0"/>
              <w:marBottom w:val="0"/>
              <w:divBdr>
                <w:top w:val="none" w:sz="0" w:space="0" w:color="auto"/>
                <w:left w:val="none" w:sz="0" w:space="0" w:color="auto"/>
                <w:bottom w:val="none" w:sz="0" w:space="0" w:color="auto"/>
                <w:right w:val="none" w:sz="0" w:space="0" w:color="auto"/>
              </w:divBdr>
            </w:div>
            <w:div w:id="976640368">
              <w:marLeft w:val="0"/>
              <w:marRight w:val="0"/>
              <w:marTop w:val="0"/>
              <w:marBottom w:val="0"/>
              <w:divBdr>
                <w:top w:val="none" w:sz="0" w:space="0" w:color="auto"/>
                <w:left w:val="none" w:sz="0" w:space="0" w:color="auto"/>
                <w:bottom w:val="none" w:sz="0" w:space="0" w:color="auto"/>
                <w:right w:val="none" w:sz="0" w:space="0" w:color="auto"/>
              </w:divBdr>
            </w:div>
            <w:div w:id="1129207865">
              <w:marLeft w:val="0"/>
              <w:marRight w:val="0"/>
              <w:marTop w:val="0"/>
              <w:marBottom w:val="0"/>
              <w:divBdr>
                <w:top w:val="none" w:sz="0" w:space="0" w:color="auto"/>
                <w:left w:val="none" w:sz="0" w:space="0" w:color="auto"/>
                <w:bottom w:val="none" w:sz="0" w:space="0" w:color="auto"/>
                <w:right w:val="none" w:sz="0" w:space="0" w:color="auto"/>
              </w:divBdr>
            </w:div>
            <w:div w:id="1152989287">
              <w:marLeft w:val="0"/>
              <w:marRight w:val="0"/>
              <w:marTop w:val="0"/>
              <w:marBottom w:val="0"/>
              <w:divBdr>
                <w:top w:val="none" w:sz="0" w:space="0" w:color="auto"/>
                <w:left w:val="none" w:sz="0" w:space="0" w:color="auto"/>
                <w:bottom w:val="none" w:sz="0" w:space="0" w:color="auto"/>
                <w:right w:val="none" w:sz="0" w:space="0" w:color="auto"/>
              </w:divBdr>
            </w:div>
            <w:div w:id="1293290520">
              <w:marLeft w:val="0"/>
              <w:marRight w:val="0"/>
              <w:marTop w:val="0"/>
              <w:marBottom w:val="0"/>
              <w:divBdr>
                <w:top w:val="none" w:sz="0" w:space="0" w:color="auto"/>
                <w:left w:val="none" w:sz="0" w:space="0" w:color="auto"/>
                <w:bottom w:val="none" w:sz="0" w:space="0" w:color="auto"/>
                <w:right w:val="none" w:sz="0" w:space="0" w:color="auto"/>
              </w:divBdr>
            </w:div>
            <w:div w:id="1431509465">
              <w:marLeft w:val="0"/>
              <w:marRight w:val="0"/>
              <w:marTop w:val="0"/>
              <w:marBottom w:val="0"/>
              <w:divBdr>
                <w:top w:val="none" w:sz="0" w:space="0" w:color="auto"/>
                <w:left w:val="none" w:sz="0" w:space="0" w:color="auto"/>
                <w:bottom w:val="none" w:sz="0" w:space="0" w:color="auto"/>
                <w:right w:val="none" w:sz="0" w:space="0" w:color="auto"/>
              </w:divBdr>
            </w:div>
            <w:div w:id="1561405534">
              <w:marLeft w:val="0"/>
              <w:marRight w:val="0"/>
              <w:marTop w:val="0"/>
              <w:marBottom w:val="0"/>
              <w:divBdr>
                <w:top w:val="none" w:sz="0" w:space="0" w:color="auto"/>
                <w:left w:val="none" w:sz="0" w:space="0" w:color="auto"/>
                <w:bottom w:val="none" w:sz="0" w:space="0" w:color="auto"/>
                <w:right w:val="none" w:sz="0" w:space="0" w:color="auto"/>
              </w:divBdr>
            </w:div>
            <w:div w:id="1668510544">
              <w:marLeft w:val="0"/>
              <w:marRight w:val="0"/>
              <w:marTop w:val="0"/>
              <w:marBottom w:val="0"/>
              <w:divBdr>
                <w:top w:val="none" w:sz="0" w:space="0" w:color="auto"/>
                <w:left w:val="none" w:sz="0" w:space="0" w:color="auto"/>
                <w:bottom w:val="none" w:sz="0" w:space="0" w:color="auto"/>
                <w:right w:val="none" w:sz="0" w:space="0" w:color="auto"/>
              </w:divBdr>
            </w:div>
            <w:div w:id="1799060145">
              <w:marLeft w:val="0"/>
              <w:marRight w:val="0"/>
              <w:marTop w:val="0"/>
              <w:marBottom w:val="0"/>
              <w:divBdr>
                <w:top w:val="none" w:sz="0" w:space="0" w:color="auto"/>
                <w:left w:val="none" w:sz="0" w:space="0" w:color="auto"/>
                <w:bottom w:val="none" w:sz="0" w:space="0" w:color="auto"/>
                <w:right w:val="none" w:sz="0" w:space="0" w:color="auto"/>
              </w:divBdr>
            </w:div>
            <w:div w:id="1869297231">
              <w:marLeft w:val="0"/>
              <w:marRight w:val="0"/>
              <w:marTop w:val="0"/>
              <w:marBottom w:val="0"/>
              <w:divBdr>
                <w:top w:val="none" w:sz="0" w:space="0" w:color="auto"/>
                <w:left w:val="none" w:sz="0" w:space="0" w:color="auto"/>
                <w:bottom w:val="none" w:sz="0" w:space="0" w:color="auto"/>
                <w:right w:val="none" w:sz="0" w:space="0" w:color="auto"/>
              </w:divBdr>
            </w:div>
            <w:div w:id="1933582797">
              <w:marLeft w:val="0"/>
              <w:marRight w:val="0"/>
              <w:marTop w:val="0"/>
              <w:marBottom w:val="0"/>
              <w:divBdr>
                <w:top w:val="none" w:sz="0" w:space="0" w:color="auto"/>
                <w:left w:val="none" w:sz="0" w:space="0" w:color="auto"/>
                <w:bottom w:val="none" w:sz="0" w:space="0" w:color="auto"/>
                <w:right w:val="none" w:sz="0" w:space="0" w:color="auto"/>
              </w:divBdr>
            </w:div>
            <w:div w:id="1935088765">
              <w:marLeft w:val="0"/>
              <w:marRight w:val="0"/>
              <w:marTop w:val="0"/>
              <w:marBottom w:val="0"/>
              <w:divBdr>
                <w:top w:val="none" w:sz="0" w:space="0" w:color="auto"/>
                <w:left w:val="none" w:sz="0" w:space="0" w:color="auto"/>
                <w:bottom w:val="none" w:sz="0" w:space="0" w:color="auto"/>
                <w:right w:val="none" w:sz="0" w:space="0" w:color="auto"/>
              </w:divBdr>
            </w:div>
            <w:div w:id="2094692897">
              <w:marLeft w:val="0"/>
              <w:marRight w:val="0"/>
              <w:marTop w:val="0"/>
              <w:marBottom w:val="0"/>
              <w:divBdr>
                <w:top w:val="none" w:sz="0" w:space="0" w:color="auto"/>
                <w:left w:val="none" w:sz="0" w:space="0" w:color="auto"/>
                <w:bottom w:val="none" w:sz="0" w:space="0" w:color="auto"/>
                <w:right w:val="none" w:sz="0" w:space="0" w:color="auto"/>
              </w:divBdr>
            </w:div>
          </w:divsChild>
        </w:div>
        <w:div w:id="358892706">
          <w:marLeft w:val="0"/>
          <w:marRight w:val="0"/>
          <w:marTop w:val="0"/>
          <w:marBottom w:val="0"/>
          <w:divBdr>
            <w:top w:val="none" w:sz="0" w:space="0" w:color="auto"/>
            <w:left w:val="none" w:sz="0" w:space="0" w:color="auto"/>
            <w:bottom w:val="none" w:sz="0" w:space="0" w:color="auto"/>
            <w:right w:val="none" w:sz="0" w:space="0" w:color="auto"/>
          </w:divBdr>
        </w:div>
        <w:div w:id="438110617">
          <w:marLeft w:val="0"/>
          <w:marRight w:val="0"/>
          <w:marTop w:val="0"/>
          <w:marBottom w:val="0"/>
          <w:divBdr>
            <w:top w:val="none" w:sz="0" w:space="0" w:color="auto"/>
            <w:left w:val="none" w:sz="0" w:space="0" w:color="auto"/>
            <w:bottom w:val="none" w:sz="0" w:space="0" w:color="auto"/>
            <w:right w:val="none" w:sz="0" w:space="0" w:color="auto"/>
          </w:divBdr>
        </w:div>
        <w:div w:id="485362323">
          <w:marLeft w:val="0"/>
          <w:marRight w:val="0"/>
          <w:marTop w:val="0"/>
          <w:marBottom w:val="0"/>
          <w:divBdr>
            <w:top w:val="none" w:sz="0" w:space="0" w:color="auto"/>
            <w:left w:val="none" w:sz="0" w:space="0" w:color="auto"/>
            <w:bottom w:val="none" w:sz="0" w:space="0" w:color="auto"/>
            <w:right w:val="none" w:sz="0" w:space="0" w:color="auto"/>
          </w:divBdr>
        </w:div>
        <w:div w:id="501434226">
          <w:marLeft w:val="0"/>
          <w:marRight w:val="0"/>
          <w:marTop w:val="0"/>
          <w:marBottom w:val="0"/>
          <w:divBdr>
            <w:top w:val="none" w:sz="0" w:space="0" w:color="auto"/>
            <w:left w:val="none" w:sz="0" w:space="0" w:color="auto"/>
            <w:bottom w:val="none" w:sz="0" w:space="0" w:color="auto"/>
            <w:right w:val="none" w:sz="0" w:space="0" w:color="auto"/>
          </w:divBdr>
        </w:div>
        <w:div w:id="616372885">
          <w:marLeft w:val="0"/>
          <w:marRight w:val="0"/>
          <w:marTop w:val="0"/>
          <w:marBottom w:val="0"/>
          <w:divBdr>
            <w:top w:val="none" w:sz="0" w:space="0" w:color="auto"/>
            <w:left w:val="none" w:sz="0" w:space="0" w:color="auto"/>
            <w:bottom w:val="none" w:sz="0" w:space="0" w:color="auto"/>
            <w:right w:val="none" w:sz="0" w:space="0" w:color="auto"/>
          </w:divBdr>
          <w:divsChild>
            <w:div w:id="238953487">
              <w:marLeft w:val="0"/>
              <w:marRight w:val="0"/>
              <w:marTop w:val="0"/>
              <w:marBottom w:val="0"/>
              <w:divBdr>
                <w:top w:val="none" w:sz="0" w:space="0" w:color="auto"/>
                <w:left w:val="none" w:sz="0" w:space="0" w:color="auto"/>
                <w:bottom w:val="none" w:sz="0" w:space="0" w:color="auto"/>
                <w:right w:val="none" w:sz="0" w:space="0" w:color="auto"/>
              </w:divBdr>
            </w:div>
            <w:div w:id="676660698">
              <w:marLeft w:val="0"/>
              <w:marRight w:val="0"/>
              <w:marTop w:val="0"/>
              <w:marBottom w:val="0"/>
              <w:divBdr>
                <w:top w:val="none" w:sz="0" w:space="0" w:color="auto"/>
                <w:left w:val="none" w:sz="0" w:space="0" w:color="auto"/>
                <w:bottom w:val="none" w:sz="0" w:space="0" w:color="auto"/>
                <w:right w:val="none" w:sz="0" w:space="0" w:color="auto"/>
              </w:divBdr>
            </w:div>
            <w:div w:id="786706380">
              <w:marLeft w:val="0"/>
              <w:marRight w:val="0"/>
              <w:marTop w:val="0"/>
              <w:marBottom w:val="0"/>
              <w:divBdr>
                <w:top w:val="none" w:sz="0" w:space="0" w:color="auto"/>
                <w:left w:val="none" w:sz="0" w:space="0" w:color="auto"/>
                <w:bottom w:val="none" w:sz="0" w:space="0" w:color="auto"/>
                <w:right w:val="none" w:sz="0" w:space="0" w:color="auto"/>
              </w:divBdr>
            </w:div>
            <w:div w:id="807476951">
              <w:marLeft w:val="0"/>
              <w:marRight w:val="0"/>
              <w:marTop w:val="0"/>
              <w:marBottom w:val="0"/>
              <w:divBdr>
                <w:top w:val="none" w:sz="0" w:space="0" w:color="auto"/>
                <w:left w:val="none" w:sz="0" w:space="0" w:color="auto"/>
                <w:bottom w:val="none" w:sz="0" w:space="0" w:color="auto"/>
                <w:right w:val="none" w:sz="0" w:space="0" w:color="auto"/>
              </w:divBdr>
            </w:div>
            <w:div w:id="1053384299">
              <w:marLeft w:val="0"/>
              <w:marRight w:val="0"/>
              <w:marTop w:val="0"/>
              <w:marBottom w:val="0"/>
              <w:divBdr>
                <w:top w:val="none" w:sz="0" w:space="0" w:color="auto"/>
                <w:left w:val="none" w:sz="0" w:space="0" w:color="auto"/>
                <w:bottom w:val="none" w:sz="0" w:space="0" w:color="auto"/>
                <w:right w:val="none" w:sz="0" w:space="0" w:color="auto"/>
              </w:divBdr>
            </w:div>
            <w:div w:id="1092167467">
              <w:marLeft w:val="0"/>
              <w:marRight w:val="0"/>
              <w:marTop w:val="0"/>
              <w:marBottom w:val="0"/>
              <w:divBdr>
                <w:top w:val="none" w:sz="0" w:space="0" w:color="auto"/>
                <w:left w:val="none" w:sz="0" w:space="0" w:color="auto"/>
                <w:bottom w:val="none" w:sz="0" w:space="0" w:color="auto"/>
                <w:right w:val="none" w:sz="0" w:space="0" w:color="auto"/>
              </w:divBdr>
            </w:div>
            <w:div w:id="1442720517">
              <w:marLeft w:val="0"/>
              <w:marRight w:val="0"/>
              <w:marTop w:val="0"/>
              <w:marBottom w:val="0"/>
              <w:divBdr>
                <w:top w:val="none" w:sz="0" w:space="0" w:color="auto"/>
                <w:left w:val="none" w:sz="0" w:space="0" w:color="auto"/>
                <w:bottom w:val="none" w:sz="0" w:space="0" w:color="auto"/>
                <w:right w:val="none" w:sz="0" w:space="0" w:color="auto"/>
              </w:divBdr>
            </w:div>
            <w:div w:id="2089956110">
              <w:marLeft w:val="0"/>
              <w:marRight w:val="0"/>
              <w:marTop w:val="0"/>
              <w:marBottom w:val="0"/>
              <w:divBdr>
                <w:top w:val="none" w:sz="0" w:space="0" w:color="auto"/>
                <w:left w:val="none" w:sz="0" w:space="0" w:color="auto"/>
                <w:bottom w:val="none" w:sz="0" w:space="0" w:color="auto"/>
                <w:right w:val="none" w:sz="0" w:space="0" w:color="auto"/>
              </w:divBdr>
            </w:div>
          </w:divsChild>
        </w:div>
        <w:div w:id="950430376">
          <w:marLeft w:val="0"/>
          <w:marRight w:val="0"/>
          <w:marTop w:val="0"/>
          <w:marBottom w:val="0"/>
          <w:divBdr>
            <w:top w:val="none" w:sz="0" w:space="0" w:color="auto"/>
            <w:left w:val="none" w:sz="0" w:space="0" w:color="auto"/>
            <w:bottom w:val="none" w:sz="0" w:space="0" w:color="auto"/>
            <w:right w:val="none" w:sz="0" w:space="0" w:color="auto"/>
          </w:divBdr>
        </w:div>
        <w:div w:id="966393955">
          <w:marLeft w:val="0"/>
          <w:marRight w:val="0"/>
          <w:marTop w:val="0"/>
          <w:marBottom w:val="0"/>
          <w:divBdr>
            <w:top w:val="none" w:sz="0" w:space="0" w:color="auto"/>
            <w:left w:val="none" w:sz="0" w:space="0" w:color="auto"/>
            <w:bottom w:val="none" w:sz="0" w:space="0" w:color="auto"/>
            <w:right w:val="none" w:sz="0" w:space="0" w:color="auto"/>
          </w:divBdr>
        </w:div>
        <w:div w:id="996962469">
          <w:marLeft w:val="0"/>
          <w:marRight w:val="0"/>
          <w:marTop w:val="0"/>
          <w:marBottom w:val="0"/>
          <w:divBdr>
            <w:top w:val="none" w:sz="0" w:space="0" w:color="auto"/>
            <w:left w:val="none" w:sz="0" w:space="0" w:color="auto"/>
            <w:bottom w:val="none" w:sz="0" w:space="0" w:color="auto"/>
            <w:right w:val="none" w:sz="0" w:space="0" w:color="auto"/>
          </w:divBdr>
        </w:div>
        <w:div w:id="1018579807">
          <w:marLeft w:val="0"/>
          <w:marRight w:val="0"/>
          <w:marTop w:val="0"/>
          <w:marBottom w:val="0"/>
          <w:divBdr>
            <w:top w:val="none" w:sz="0" w:space="0" w:color="auto"/>
            <w:left w:val="none" w:sz="0" w:space="0" w:color="auto"/>
            <w:bottom w:val="none" w:sz="0" w:space="0" w:color="auto"/>
            <w:right w:val="none" w:sz="0" w:space="0" w:color="auto"/>
          </w:divBdr>
        </w:div>
        <w:div w:id="1038508485">
          <w:marLeft w:val="0"/>
          <w:marRight w:val="0"/>
          <w:marTop w:val="0"/>
          <w:marBottom w:val="0"/>
          <w:divBdr>
            <w:top w:val="none" w:sz="0" w:space="0" w:color="auto"/>
            <w:left w:val="none" w:sz="0" w:space="0" w:color="auto"/>
            <w:bottom w:val="none" w:sz="0" w:space="0" w:color="auto"/>
            <w:right w:val="none" w:sz="0" w:space="0" w:color="auto"/>
          </w:divBdr>
        </w:div>
        <w:div w:id="1057779976">
          <w:marLeft w:val="0"/>
          <w:marRight w:val="0"/>
          <w:marTop w:val="0"/>
          <w:marBottom w:val="0"/>
          <w:divBdr>
            <w:top w:val="none" w:sz="0" w:space="0" w:color="auto"/>
            <w:left w:val="none" w:sz="0" w:space="0" w:color="auto"/>
            <w:bottom w:val="none" w:sz="0" w:space="0" w:color="auto"/>
            <w:right w:val="none" w:sz="0" w:space="0" w:color="auto"/>
          </w:divBdr>
        </w:div>
        <w:div w:id="1087535115">
          <w:marLeft w:val="0"/>
          <w:marRight w:val="0"/>
          <w:marTop w:val="0"/>
          <w:marBottom w:val="0"/>
          <w:divBdr>
            <w:top w:val="none" w:sz="0" w:space="0" w:color="auto"/>
            <w:left w:val="none" w:sz="0" w:space="0" w:color="auto"/>
            <w:bottom w:val="none" w:sz="0" w:space="0" w:color="auto"/>
            <w:right w:val="none" w:sz="0" w:space="0" w:color="auto"/>
          </w:divBdr>
        </w:div>
        <w:div w:id="1295452613">
          <w:marLeft w:val="0"/>
          <w:marRight w:val="0"/>
          <w:marTop w:val="0"/>
          <w:marBottom w:val="0"/>
          <w:divBdr>
            <w:top w:val="none" w:sz="0" w:space="0" w:color="auto"/>
            <w:left w:val="none" w:sz="0" w:space="0" w:color="auto"/>
            <w:bottom w:val="none" w:sz="0" w:space="0" w:color="auto"/>
            <w:right w:val="none" w:sz="0" w:space="0" w:color="auto"/>
          </w:divBdr>
        </w:div>
        <w:div w:id="1374424819">
          <w:marLeft w:val="0"/>
          <w:marRight w:val="0"/>
          <w:marTop w:val="0"/>
          <w:marBottom w:val="0"/>
          <w:divBdr>
            <w:top w:val="none" w:sz="0" w:space="0" w:color="auto"/>
            <w:left w:val="none" w:sz="0" w:space="0" w:color="auto"/>
            <w:bottom w:val="none" w:sz="0" w:space="0" w:color="auto"/>
            <w:right w:val="none" w:sz="0" w:space="0" w:color="auto"/>
          </w:divBdr>
        </w:div>
        <w:div w:id="1541474853">
          <w:marLeft w:val="0"/>
          <w:marRight w:val="0"/>
          <w:marTop w:val="0"/>
          <w:marBottom w:val="0"/>
          <w:divBdr>
            <w:top w:val="none" w:sz="0" w:space="0" w:color="auto"/>
            <w:left w:val="none" w:sz="0" w:space="0" w:color="auto"/>
            <w:bottom w:val="none" w:sz="0" w:space="0" w:color="auto"/>
            <w:right w:val="none" w:sz="0" w:space="0" w:color="auto"/>
          </w:divBdr>
        </w:div>
        <w:div w:id="1541625954">
          <w:marLeft w:val="0"/>
          <w:marRight w:val="0"/>
          <w:marTop w:val="0"/>
          <w:marBottom w:val="0"/>
          <w:divBdr>
            <w:top w:val="none" w:sz="0" w:space="0" w:color="auto"/>
            <w:left w:val="none" w:sz="0" w:space="0" w:color="auto"/>
            <w:bottom w:val="none" w:sz="0" w:space="0" w:color="auto"/>
            <w:right w:val="none" w:sz="0" w:space="0" w:color="auto"/>
          </w:divBdr>
        </w:div>
        <w:div w:id="1553033658">
          <w:marLeft w:val="0"/>
          <w:marRight w:val="0"/>
          <w:marTop w:val="0"/>
          <w:marBottom w:val="0"/>
          <w:divBdr>
            <w:top w:val="none" w:sz="0" w:space="0" w:color="auto"/>
            <w:left w:val="none" w:sz="0" w:space="0" w:color="auto"/>
            <w:bottom w:val="none" w:sz="0" w:space="0" w:color="auto"/>
            <w:right w:val="none" w:sz="0" w:space="0" w:color="auto"/>
          </w:divBdr>
        </w:div>
        <w:div w:id="1596091755">
          <w:marLeft w:val="0"/>
          <w:marRight w:val="0"/>
          <w:marTop w:val="0"/>
          <w:marBottom w:val="0"/>
          <w:divBdr>
            <w:top w:val="none" w:sz="0" w:space="0" w:color="auto"/>
            <w:left w:val="none" w:sz="0" w:space="0" w:color="auto"/>
            <w:bottom w:val="none" w:sz="0" w:space="0" w:color="auto"/>
            <w:right w:val="none" w:sz="0" w:space="0" w:color="auto"/>
          </w:divBdr>
        </w:div>
        <w:div w:id="1813668919">
          <w:marLeft w:val="0"/>
          <w:marRight w:val="0"/>
          <w:marTop w:val="0"/>
          <w:marBottom w:val="0"/>
          <w:divBdr>
            <w:top w:val="none" w:sz="0" w:space="0" w:color="auto"/>
            <w:left w:val="none" w:sz="0" w:space="0" w:color="auto"/>
            <w:bottom w:val="none" w:sz="0" w:space="0" w:color="auto"/>
            <w:right w:val="none" w:sz="0" w:space="0" w:color="auto"/>
          </w:divBdr>
        </w:div>
        <w:div w:id="1832022163">
          <w:marLeft w:val="0"/>
          <w:marRight w:val="0"/>
          <w:marTop w:val="0"/>
          <w:marBottom w:val="0"/>
          <w:divBdr>
            <w:top w:val="none" w:sz="0" w:space="0" w:color="auto"/>
            <w:left w:val="none" w:sz="0" w:space="0" w:color="auto"/>
            <w:bottom w:val="none" w:sz="0" w:space="0" w:color="auto"/>
            <w:right w:val="none" w:sz="0" w:space="0" w:color="auto"/>
          </w:divBdr>
        </w:div>
        <w:div w:id="2014642756">
          <w:marLeft w:val="0"/>
          <w:marRight w:val="0"/>
          <w:marTop w:val="0"/>
          <w:marBottom w:val="0"/>
          <w:divBdr>
            <w:top w:val="none" w:sz="0" w:space="0" w:color="auto"/>
            <w:left w:val="none" w:sz="0" w:space="0" w:color="auto"/>
            <w:bottom w:val="none" w:sz="0" w:space="0" w:color="auto"/>
            <w:right w:val="none" w:sz="0" w:space="0" w:color="auto"/>
          </w:divBdr>
        </w:div>
        <w:div w:id="2038655300">
          <w:marLeft w:val="0"/>
          <w:marRight w:val="0"/>
          <w:marTop w:val="0"/>
          <w:marBottom w:val="0"/>
          <w:divBdr>
            <w:top w:val="none" w:sz="0" w:space="0" w:color="auto"/>
            <w:left w:val="none" w:sz="0" w:space="0" w:color="auto"/>
            <w:bottom w:val="none" w:sz="0" w:space="0" w:color="auto"/>
            <w:right w:val="none" w:sz="0" w:space="0" w:color="auto"/>
          </w:divBdr>
        </w:div>
        <w:div w:id="2083526111">
          <w:marLeft w:val="0"/>
          <w:marRight w:val="0"/>
          <w:marTop w:val="0"/>
          <w:marBottom w:val="0"/>
          <w:divBdr>
            <w:top w:val="none" w:sz="0" w:space="0" w:color="auto"/>
            <w:left w:val="none" w:sz="0" w:space="0" w:color="auto"/>
            <w:bottom w:val="none" w:sz="0" w:space="0" w:color="auto"/>
            <w:right w:val="none" w:sz="0" w:space="0" w:color="auto"/>
          </w:divBdr>
        </w:div>
        <w:div w:id="2084453467">
          <w:marLeft w:val="0"/>
          <w:marRight w:val="0"/>
          <w:marTop w:val="0"/>
          <w:marBottom w:val="0"/>
          <w:divBdr>
            <w:top w:val="none" w:sz="0" w:space="0" w:color="auto"/>
            <w:left w:val="none" w:sz="0" w:space="0" w:color="auto"/>
            <w:bottom w:val="none" w:sz="0" w:space="0" w:color="auto"/>
            <w:right w:val="none" w:sz="0" w:space="0" w:color="auto"/>
          </w:divBdr>
        </w:div>
        <w:div w:id="2133786939">
          <w:marLeft w:val="0"/>
          <w:marRight w:val="0"/>
          <w:marTop w:val="0"/>
          <w:marBottom w:val="0"/>
          <w:divBdr>
            <w:top w:val="none" w:sz="0" w:space="0" w:color="auto"/>
            <w:left w:val="none" w:sz="0" w:space="0" w:color="auto"/>
            <w:bottom w:val="none" w:sz="0" w:space="0" w:color="auto"/>
            <w:right w:val="none" w:sz="0" w:space="0" w:color="auto"/>
          </w:divBdr>
        </w:div>
      </w:divsChild>
    </w:div>
    <w:div w:id="828132038">
      <w:bodyDiv w:val="1"/>
      <w:marLeft w:val="0"/>
      <w:marRight w:val="0"/>
      <w:marTop w:val="0"/>
      <w:marBottom w:val="0"/>
      <w:divBdr>
        <w:top w:val="none" w:sz="0" w:space="0" w:color="auto"/>
        <w:left w:val="none" w:sz="0" w:space="0" w:color="auto"/>
        <w:bottom w:val="none" w:sz="0" w:space="0" w:color="auto"/>
        <w:right w:val="none" w:sz="0" w:space="0" w:color="auto"/>
      </w:divBdr>
    </w:div>
    <w:div w:id="874738511">
      <w:bodyDiv w:val="1"/>
      <w:marLeft w:val="0"/>
      <w:marRight w:val="0"/>
      <w:marTop w:val="0"/>
      <w:marBottom w:val="0"/>
      <w:divBdr>
        <w:top w:val="none" w:sz="0" w:space="0" w:color="auto"/>
        <w:left w:val="none" w:sz="0" w:space="0" w:color="auto"/>
        <w:bottom w:val="none" w:sz="0" w:space="0" w:color="auto"/>
        <w:right w:val="none" w:sz="0" w:space="0" w:color="auto"/>
      </w:divBdr>
    </w:div>
    <w:div w:id="906961843">
      <w:bodyDiv w:val="1"/>
      <w:marLeft w:val="0"/>
      <w:marRight w:val="0"/>
      <w:marTop w:val="0"/>
      <w:marBottom w:val="0"/>
      <w:divBdr>
        <w:top w:val="none" w:sz="0" w:space="0" w:color="auto"/>
        <w:left w:val="none" w:sz="0" w:space="0" w:color="auto"/>
        <w:bottom w:val="none" w:sz="0" w:space="0" w:color="auto"/>
        <w:right w:val="none" w:sz="0" w:space="0" w:color="auto"/>
      </w:divBdr>
    </w:div>
    <w:div w:id="917448170">
      <w:bodyDiv w:val="1"/>
      <w:marLeft w:val="0"/>
      <w:marRight w:val="0"/>
      <w:marTop w:val="0"/>
      <w:marBottom w:val="0"/>
      <w:divBdr>
        <w:top w:val="none" w:sz="0" w:space="0" w:color="auto"/>
        <w:left w:val="none" w:sz="0" w:space="0" w:color="auto"/>
        <w:bottom w:val="none" w:sz="0" w:space="0" w:color="auto"/>
        <w:right w:val="none" w:sz="0" w:space="0" w:color="auto"/>
      </w:divBdr>
    </w:div>
    <w:div w:id="955672318">
      <w:bodyDiv w:val="1"/>
      <w:marLeft w:val="0"/>
      <w:marRight w:val="0"/>
      <w:marTop w:val="0"/>
      <w:marBottom w:val="0"/>
      <w:divBdr>
        <w:top w:val="none" w:sz="0" w:space="0" w:color="auto"/>
        <w:left w:val="none" w:sz="0" w:space="0" w:color="auto"/>
        <w:bottom w:val="none" w:sz="0" w:space="0" w:color="auto"/>
        <w:right w:val="none" w:sz="0" w:space="0" w:color="auto"/>
      </w:divBdr>
    </w:div>
    <w:div w:id="957762666">
      <w:bodyDiv w:val="1"/>
      <w:marLeft w:val="0"/>
      <w:marRight w:val="0"/>
      <w:marTop w:val="0"/>
      <w:marBottom w:val="0"/>
      <w:divBdr>
        <w:top w:val="none" w:sz="0" w:space="0" w:color="auto"/>
        <w:left w:val="none" w:sz="0" w:space="0" w:color="auto"/>
        <w:bottom w:val="none" w:sz="0" w:space="0" w:color="auto"/>
        <w:right w:val="none" w:sz="0" w:space="0" w:color="auto"/>
      </w:divBdr>
    </w:div>
    <w:div w:id="969552065">
      <w:bodyDiv w:val="1"/>
      <w:marLeft w:val="0"/>
      <w:marRight w:val="0"/>
      <w:marTop w:val="0"/>
      <w:marBottom w:val="0"/>
      <w:divBdr>
        <w:top w:val="none" w:sz="0" w:space="0" w:color="auto"/>
        <w:left w:val="none" w:sz="0" w:space="0" w:color="auto"/>
        <w:bottom w:val="none" w:sz="0" w:space="0" w:color="auto"/>
        <w:right w:val="none" w:sz="0" w:space="0" w:color="auto"/>
      </w:divBdr>
    </w:div>
    <w:div w:id="1026325778">
      <w:bodyDiv w:val="1"/>
      <w:marLeft w:val="0"/>
      <w:marRight w:val="0"/>
      <w:marTop w:val="0"/>
      <w:marBottom w:val="0"/>
      <w:divBdr>
        <w:top w:val="none" w:sz="0" w:space="0" w:color="auto"/>
        <w:left w:val="none" w:sz="0" w:space="0" w:color="auto"/>
        <w:bottom w:val="none" w:sz="0" w:space="0" w:color="auto"/>
        <w:right w:val="none" w:sz="0" w:space="0" w:color="auto"/>
      </w:divBdr>
    </w:div>
    <w:div w:id="1049567736">
      <w:bodyDiv w:val="1"/>
      <w:marLeft w:val="0"/>
      <w:marRight w:val="0"/>
      <w:marTop w:val="0"/>
      <w:marBottom w:val="0"/>
      <w:divBdr>
        <w:top w:val="none" w:sz="0" w:space="0" w:color="auto"/>
        <w:left w:val="none" w:sz="0" w:space="0" w:color="auto"/>
        <w:bottom w:val="none" w:sz="0" w:space="0" w:color="auto"/>
        <w:right w:val="none" w:sz="0" w:space="0" w:color="auto"/>
      </w:divBdr>
    </w:div>
    <w:div w:id="1083330652">
      <w:bodyDiv w:val="1"/>
      <w:marLeft w:val="0"/>
      <w:marRight w:val="0"/>
      <w:marTop w:val="0"/>
      <w:marBottom w:val="0"/>
      <w:divBdr>
        <w:top w:val="none" w:sz="0" w:space="0" w:color="auto"/>
        <w:left w:val="none" w:sz="0" w:space="0" w:color="auto"/>
        <w:bottom w:val="none" w:sz="0" w:space="0" w:color="auto"/>
        <w:right w:val="none" w:sz="0" w:space="0" w:color="auto"/>
      </w:divBdr>
    </w:div>
    <w:div w:id="1101681124">
      <w:bodyDiv w:val="1"/>
      <w:marLeft w:val="0"/>
      <w:marRight w:val="0"/>
      <w:marTop w:val="0"/>
      <w:marBottom w:val="0"/>
      <w:divBdr>
        <w:top w:val="none" w:sz="0" w:space="0" w:color="auto"/>
        <w:left w:val="none" w:sz="0" w:space="0" w:color="auto"/>
        <w:bottom w:val="none" w:sz="0" w:space="0" w:color="auto"/>
        <w:right w:val="none" w:sz="0" w:space="0" w:color="auto"/>
      </w:divBdr>
    </w:div>
    <w:div w:id="1170867941">
      <w:bodyDiv w:val="1"/>
      <w:marLeft w:val="0"/>
      <w:marRight w:val="0"/>
      <w:marTop w:val="0"/>
      <w:marBottom w:val="0"/>
      <w:divBdr>
        <w:top w:val="none" w:sz="0" w:space="0" w:color="auto"/>
        <w:left w:val="none" w:sz="0" w:space="0" w:color="auto"/>
        <w:bottom w:val="none" w:sz="0" w:space="0" w:color="auto"/>
        <w:right w:val="none" w:sz="0" w:space="0" w:color="auto"/>
      </w:divBdr>
    </w:div>
    <w:div w:id="1183087832">
      <w:bodyDiv w:val="1"/>
      <w:marLeft w:val="0"/>
      <w:marRight w:val="0"/>
      <w:marTop w:val="0"/>
      <w:marBottom w:val="0"/>
      <w:divBdr>
        <w:top w:val="none" w:sz="0" w:space="0" w:color="auto"/>
        <w:left w:val="none" w:sz="0" w:space="0" w:color="auto"/>
        <w:bottom w:val="none" w:sz="0" w:space="0" w:color="auto"/>
        <w:right w:val="none" w:sz="0" w:space="0" w:color="auto"/>
      </w:divBdr>
      <w:divsChild>
        <w:div w:id="5790711">
          <w:marLeft w:val="0"/>
          <w:marRight w:val="0"/>
          <w:marTop w:val="0"/>
          <w:marBottom w:val="0"/>
          <w:divBdr>
            <w:top w:val="none" w:sz="0" w:space="0" w:color="auto"/>
            <w:left w:val="none" w:sz="0" w:space="0" w:color="auto"/>
            <w:bottom w:val="none" w:sz="0" w:space="0" w:color="auto"/>
            <w:right w:val="none" w:sz="0" w:space="0" w:color="auto"/>
          </w:divBdr>
        </w:div>
        <w:div w:id="7611148">
          <w:marLeft w:val="0"/>
          <w:marRight w:val="0"/>
          <w:marTop w:val="0"/>
          <w:marBottom w:val="0"/>
          <w:divBdr>
            <w:top w:val="none" w:sz="0" w:space="0" w:color="auto"/>
            <w:left w:val="none" w:sz="0" w:space="0" w:color="auto"/>
            <w:bottom w:val="none" w:sz="0" w:space="0" w:color="auto"/>
            <w:right w:val="none" w:sz="0" w:space="0" w:color="auto"/>
          </w:divBdr>
        </w:div>
        <w:div w:id="17853174">
          <w:marLeft w:val="0"/>
          <w:marRight w:val="0"/>
          <w:marTop w:val="0"/>
          <w:marBottom w:val="0"/>
          <w:divBdr>
            <w:top w:val="none" w:sz="0" w:space="0" w:color="auto"/>
            <w:left w:val="none" w:sz="0" w:space="0" w:color="auto"/>
            <w:bottom w:val="none" w:sz="0" w:space="0" w:color="auto"/>
            <w:right w:val="none" w:sz="0" w:space="0" w:color="auto"/>
          </w:divBdr>
        </w:div>
        <w:div w:id="232274850">
          <w:marLeft w:val="0"/>
          <w:marRight w:val="0"/>
          <w:marTop w:val="0"/>
          <w:marBottom w:val="0"/>
          <w:divBdr>
            <w:top w:val="none" w:sz="0" w:space="0" w:color="auto"/>
            <w:left w:val="none" w:sz="0" w:space="0" w:color="auto"/>
            <w:bottom w:val="none" w:sz="0" w:space="0" w:color="auto"/>
            <w:right w:val="none" w:sz="0" w:space="0" w:color="auto"/>
          </w:divBdr>
        </w:div>
        <w:div w:id="253587577">
          <w:marLeft w:val="0"/>
          <w:marRight w:val="0"/>
          <w:marTop w:val="0"/>
          <w:marBottom w:val="0"/>
          <w:divBdr>
            <w:top w:val="none" w:sz="0" w:space="0" w:color="auto"/>
            <w:left w:val="none" w:sz="0" w:space="0" w:color="auto"/>
            <w:bottom w:val="none" w:sz="0" w:space="0" w:color="auto"/>
            <w:right w:val="none" w:sz="0" w:space="0" w:color="auto"/>
          </w:divBdr>
        </w:div>
        <w:div w:id="411439180">
          <w:marLeft w:val="0"/>
          <w:marRight w:val="0"/>
          <w:marTop w:val="0"/>
          <w:marBottom w:val="0"/>
          <w:divBdr>
            <w:top w:val="none" w:sz="0" w:space="0" w:color="auto"/>
            <w:left w:val="none" w:sz="0" w:space="0" w:color="auto"/>
            <w:bottom w:val="none" w:sz="0" w:space="0" w:color="auto"/>
            <w:right w:val="none" w:sz="0" w:space="0" w:color="auto"/>
          </w:divBdr>
        </w:div>
        <w:div w:id="491915880">
          <w:marLeft w:val="0"/>
          <w:marRight w:val="0"/>
          <w:marTop w:val="0"/>
          <w:marBottom w:val="0"/>
          <w:divBdr>
            <w:top w:val="none" w:sz="0" w:space="0" w:color="auto"/>
            <w:left w:val="none" w:sz="0" w:space="0" w:color="auto"/>
            <w:bottom w:val="none" w:sz="0" w:space="0" w:color="auto"/>
            <w:right w:val="none" w:sz="0" w:space="0" w:color="auto"/>
          </w:divBdr>
        </w:div>
        <w:div w:id="569266984">
          <w:marLeft w:val="0"/>
          <w:marRight w:val="0"/>
          <w:marTop w:val="0"/>
          <w:marBottom w:val="0"/>
          <w:divBdr>
            <w:top w:val="none" w:sz="0" w:space="0" w:color="auto"/>
            <w:left w:val="none" w:sz="0" w:space="0" w:color="auto"/>
            <w:bottom w:val="none" w:sz="0" w:space="0" w:color="auto"/>
            <w:right w:val="none" w:sz="0" w:space="0" w:color="auto"/>
          </w:divBdr>
        </w:div>
        <w:div w:id="581372558">
          <w:marLeft w:val="0"/>
          <w:marRight w:val="0"/>
          <w:marTop w:val="0"/>
          <w:marBottom w:val="0"/>
          <w:divBdr>
            <w:top w:val="none" w:sz="0" w:space="0" w:color="auto"/>
            <w:left w:val="none" w:sz="0" w:space="0" w:color="auto"/>
            <w:bottom w:val="none" w:sz="0" w:space="0" w:color="auto"/>
            <w:right w:val="none" w:sz="0" w:space="0" w:color="auto"/>
          </w:divBdr>
        </w:div>
        <w:div w:id="612633662">
          <w:marLeft w:val="0"/>
          <w:marRight w:val="0"/>
          <w:marTop w:val="0"/>
          <w:marBottom w:val="0"/>
          <w:divBdr>
            <w:top w:val="none" w:sz="0" w:space="0" w:color="auto"/>
            <w:left w:val="none" w:sz="0" w:space="0" w:color="auto"/>
            <w:bottom w:val="none" w:sz="0" w:space="0" w:color="auto"/>
            <w:right w:val="none" w:sz="0" w:space="0" w:color="auto"/>
          </w:divBdr>
        </w:div>
        <w:div w:id="638149672">
          <w:marLeft w:val="0"/>
          <w:marRight w:val="0"/>
          <w:marTop w:val="0"/>
          <w:marBottom w:val="0"/>
          <w:divBdr>
            <w:top w:val="none" w:sz="0" w:space="0" w:color="auto"/>
            <w:left w:val="none" w:sz="0" w:space="0" w:color="auto"/>
            <w:bottom w:val="none" w:sz="0" w:space="0" w:color="auto"/>
            <w:right w:val="none" w:sz="0" w:space="0" w:color="auto"/>
          </w:divBdr>
        </w:div>
        <w:div w:id="668364877">
          <w:marLeft w:val="0"/>
          <w:marRight w:val="0"/>
          <w:marTop w:val="0"/>
          <w:marBottom w:val="0"/>
          <w:divBdr>
            <w:top w:val="none" w:sz="0" w:space="0" w:color="auto"/>
            <w:left w:val="none" w:sz="0" w:space="0" w:color="auto"/>
            <w:bottom w:val="none" w:sz="0" w:space="0" w:color="auto"/>
            <w:right w:val="none" w:sz="0" w:space="0" w:color="auto"/>
          </w:divBdr>
        </w:div>
        <w:div w:id="687485234">
          <w:marLeft w:val="0"/>
          <w:marRight w:val="0"/>
          <w:marTop w:val="0"/>
          <w:marBottom w:val="0"/>
          <w:divBdr>
            <w:top w:val="none" w:sz="0" w:space="0" w:color="auto"/>
            <w:left w:val="none" w:sz="0" w:space="0" w:color="auto"/>
            <w:bottom w:val="none" w:sz="0" w:space="0" w:color="auto"/>
            <w:right w:val="none" w:sz="0" w:space="0" w:color="auto"/>
          </w:divBdr>
        </w:div>
        <w:div w:id="721948002">
          <w:marLeft w:val="0"/>
          <w:marRight w:val="0"/>
          <w:marTop w:val="0"/>
          <w:marBottom w:val="0"/>
          <w:divBdr>
            <w:top w:val="none" w:sz="0" w:space="0" w:color="auto"/>
            <w:left w:val="none" w:sz="0" w:space="0" w:color="auto"/>
            <w:bottom w:val="none" w:sz="0" w:space="0" w:color="auto"/>
            <w:right w:val="none" w:sz="0" w:space="0" w:color="auto"/>
          </w:divBdr>
        </w:div>
        <w:div w:id="754283387">
          <w:marLeft w:val="0"/>
          <w:marRight w:val="0"/>
          <w:marTop w:val="0"/>
          <w:marBottom w:val="0"/>
          <w:divBdr>
            <w:top w:val="none" w:sz="0" w:space="0" w:color="auto"/>
            <w:left w:val="none" w:sz="0" w:space="0" w:color="auto"/>
            <w:bottom w:val="none" w:sz="0" w:space="0" w:color="auto"/>
            <w:right w:val="none" w:sz="0" w:space="0" w:color="auto"/>
          </w:divBdr>
        </w:div>
        <w:div w:id="881138963">
          <w:marLeft w:val="0"/>
          <w:marRight w:val="0"/>
          <w:marTop w:val="0"/>
          <w:marBottom w:val="0"/>
          <w:divBdr>
            <w:top w:val="none" w:sz="0" w:space="0" w:color="auto"/>
            <w:left w:val="none" w:sz="0" w:space="0" w:color="auto"/>
            <w:bottom w:val="none" w:sz="0" w:space="0" w:color="auto"/>
            <w:right w:val="none" w:sz="0" w:space="0" w:color="auto"/>
          </w:divBdr>
        </w:div>
        <w:div w:id="938828509">
          <w:marLeft w:val="0"/>
          <w:marRight w:val="0"/>
          <w:marTop w:val="0"/>
          <w:marBottom w:val="0"/>
          <w:divBdr>
            <w:top w:val="none" w:sz="0" w:space="0" w:color="auto"/>
            <w:left w:val="none" w:sz="0" w:space="0" w:color="auto"/>
            <w:bottom w:val="none" w:sz="0" w:space="0" w:color="auto"/>
            <w:right w:val="none" w:sz="0" w:space="0" w:color="auto"/>
          </w:divBdr>
        </w:div>
        <w:div w:id="975525815">
          <w:marLeft w:val="0"/>
          <w:marRight w:val="0"/>
          <w:marTop w:val="0"/>
          <w:marBottom w:val="0"/>
          <w:divBdr>
            <w:top w:val="none" w:sz="0" w:space="0" w:color="auto"/>
            <w:left w:val="none" w:sz="0" w:space="0" w:color="auto"/>
            <w:bottom w:val="none" w:sz="0" w:space="0" w:color="auto"/>
            <w:right w:val="none" w:sz="0" w:space="0" w:color="auto"/>
          </w:divBdr>
        </w:div>
        <w:div w:id="1265919859">
          <w:marLeft w:val="0"/>
          <w:marRight w:val="0"/>
          <w:marTop w:val="0"/>
          <w:marBottom w:val="0"/>
          <w:divBdr>
            <w:top w:val="none" w:sz="0" w:space="0" w:color="auto"/>
            <w:left w:val="none" w:sz="0" w:space="0" w:color="auto"/>
            <w:bottom w:val="none" w:sz="0" w:space="0" w:color="auto"/>
            <w:right w:val="none" w:sz="0" w:space="0" w:color="auto"/>
          </w:divBdr>
        </w:div>
        <w:div w:id="1296175394">
          <w:marLeft w:val="0"/>
          <w:marRight w:val="0"/>
          <w:marTop w:val="0"/>
          <w:marBottom w:val="0"/>
          <w:divBdr>
            <w:top w:val="none" w:sz="0" w:space="0" w:color="auto"/>
            <w:left w:val="none" w:sz="0" w:space="0" w:color="auto"/>
            <w:bottom w:val="none" w:sz="0" w:space="0" w:color="auto"/>
            <w:right w:val="none" w:sz="0" w:space="0" w:color="auto"/>
          </w:divBdr>
        </w:div>
        <w:div w:id="1332568277">
          <w:marLeft w:val="0"/>
          <w:marRight w:val="0"/>
          <w:marTop w:val="0"/>
          <w:marBottom w:val="0"/>
          <w:divBdr>
            <w:top w:val="none" w:sz="0" w:space="0" w:color="auto"/>
            <w:left w:val="none" w:sz="0" w:space="0" w:color="auto"/>
            <w:bottom w:val="none" w:sz="0" w:space="0" w:color="auto"/>
            <w:right w:val="none" w:sz="0" w:space="0" w:color="auto"/>
          </w:divBdr>
        </w:div>
        <w:div w:id="1344281350">
          <w:marLeft w:val="0"/>
          <w:marRight w:val="0"/>
          <w:marTop w:val="0"/>
          <w:marBottom w:val="0"/>
          <w:divBdr>
            <w:top w:val="none" w:sz="0" w:space="0" w:color="auto"/>
            <w:left w:val="none" w:sz="0" w:space="0" w:color="auto"/>
            <w:bottom w:val="none" w:sz="0" w:space="0" w:color="auto"/>
            <w:right w:val="none" w:sz="0" w:space="0" w:color="auto"/>
          </w:divBdr>
        </w:div>
        <w:div w:id="1355351762">
          <w:marLeft w:val="0"/>
          <w:marRight w:val="0"/>
          <w:marTop w:val="0"/>
          <w:marBottom w:val="0"/>
          <w:divBdr>
            <w:top w:val="none" w:sz="0" w:space="0" w:color="auto"/>
            <w:left w:val="none" w:sz="0" w:space="0" w:color="auto"/>
            <w:bottom w:val="none" w:sz="0" w:space="0" w:color="auto"/>
            <w:right w:val="none" w:sz="0" w:space="0" w:color="auto"/>
          </w:divBdr>
        </w:div>
        <w:div w:id="1381974449">
          <w:marLeft w:val="0"/>
          <w:marRight w:val="0"/>
          <w:marTop w:val="0"/>
          <w:marBottom w:val="0"/>
          <w:divBdr>
            <w:top w:val="none" w:sz="0" w:space="0" w:color="auto"/>
            <w:left w:val="none" w:sz="0" w:space="0" w:color="auto"/>
            <w:bottom w:val="none" w:sz="0" w:space="0" w:color="auto"/>
            <w:right w:val="none" w:sz="0" w:space="0" w:color="auto"/>
          </w:divBdr>
        </w:div>
        <w:div w:id="1406997660">
          <w:marLeft w:val="0"/>
          <w:marRight w:val="0"/>
          <w:marTop w:val="0"/>
          <w:marBottom w:val="0"/>
          <w:divBdr>
            <w:top w:val="none" w:sz="0" w:space="0" w:color="auto"/>
            <w:left w:val="none" w:sz="0" w:space="0" w:color="auto"/>
            <w:bottom w:val="none" w:sz="0" w:space="0" w:color="auto"/>
            <w:right w:val="none" w:sz="0" w:space="0" w:color="auto"/>
          </w:divBdr>
        </w:div>
        <w:div w:id="1461025474">
          <w:marLeft w:val="0"/>
          <w:marRight w:val="0"/>
          <w:marTop w:val="0"/>
          <w:marBottom w:val="0"/>
          <w:divBdr>
            <w:top w:val="none" w:sz="0" w:space="0" w:color="auto"/>
            <w:left w:val="none" w:sz="0" w:space="0" w:color="auto"/>
            <w:bottom w:val="none" w:sz="0" w:space="0" w:color="auto"/>
            <w:right w:val="none" w:sz="0" w:space="0" w:color="auto"/>
          </w:divBdr>
        </w:div>
        <w:div w:id="1480076389">
          <w:marLeft w:val="0"/>
          <w:marRight w:val="0"/>
          <w:marTop w:val="0"/>
          <w:marBottom w:val="0"/>
          <w:divBdr>
            <w:top w:val="none" w:sz="0" w:space="0" w:color="auto"/>
            <w:left w:val="none" w:sz="0" w:space="0" w:color="auto"/>
            <w:bottom w:val="none" w:sz="0" w:space="0" w:color="auto"/>
            <w:right w:val="none" w:sz="0" w:space="0" w:color="auto"/>
          </w:divBdr>
        </w:div>
        <w:div w:id="1500581678">
          <w:marLeft w:val="0"/>
          <w:marRight w:val="0"/>
          <w:marTop w:val="0"/>
          <w:marBottom w:val="0"/>
          <w:divBdr>
            <w:top w:val="none" w:sz="0" w:space="0" w:color="auto"/>
            <w:left w:val="none" w:sz="0" w:space="0" w:color="auto"/>
            <w:bottom w:val="none" w:sz="0" w:space="0" w:color="auto"/>
            <w:right w:val="none" w:sz="0" w:space="0" w:color="auto"/>
          </w:divBdr>
        </w:div>
        <w:div w:id="1536960055">
          <w:marLeft w:val="0"/>
          <w:marRight w:val="0"/>
          <w:marTop w:val="0"/>
          <w:marBottom w:val="0"/>
          <w:divBdr>
            <w:top w:val="none" w:sz="0" w:space="0" w:color="auto"/>
            <w:left w:val="none" w:sz="0" w:space="0" w:color="auto"/>
            <w:bottom w:val="none" w:sz="0" w:space="0" w:color="auto"/>
            <w:right w:val="none" w:sz="0" w:space="0" w:color="auto"/>
          </w:divBdr>
        </w:div>
        <w:div w:id="1562517013">
          <w:marLeft w:val="0"/>
          <w:marRight w:val="0"/>
          <w:marTop w:val="0"/>
          <w:marBottom w:val="0"/>
          <w:divBdr>
            <w:top w:val="none" w:sz="0" w:space="0" w:color="auto"/>
            <w:left w:val="none" w:sz="0" w:space="0" w:color="auto"/>
            <w:bottom w:val="none" w:sz="0" w:space="0" w:color="auto"/>
            <w:right w:val="none" w:sz="0" w:space="0" w:color="auto"/>
          </w:divBdr>
        </w:div>
        <w:div w:id="1626423006">
          <w:marLeft w:val="0"/>
          <w:marRight w:val="0"/>
          <w:marTop w:val="0"/>
          <w:marBottom w:val="0"/>
          <w:divBdr>
            <w:top w:val="none" w:sz="0" w:space="0" w:color="auto"/>
            <w:left w:val="none" w:sz="0" w:space="0" w:color="auto"/>
            <w:bottom w:val="none" w:sz="0" w:space="0" w:color="auto"/>
            <w:right w:val="none" w:sz="0" w:space="0" w:color="auto"/>
          </w:divBdr>
        </w:div>
        <w:div w:id="1628782690">
          <w:marLeft w:val="0"/>
          <w:marRight w:val="0"/>
          <w:marTop w:val="0"/>
          <w:marBottom w:val="0"/>
          <w:divBdr>
            <w:top w:val="none" w:sz="0" w:space="0" w:color="auto"/>
            <w:left w:val="none" w:sz="0" w:space="0" w:color="auto"/>
            <w:bottom w:val="none" w:sz="0" w:space="0" w:color="auto"/>
            <w:right w:val="none" w:sz="0" w:space="0" w:color="auto"/>
          </w:divBdr>
        </w:div>
        <w:div w:id="1727603057">
          <w:marLeft w:val="0"/>
          <w:marRight w:val="0"/>
          <w:marTop w:val="0"/>
          <w:marBottom w:val="0"/>
          <w:divBdr>
            <w:top w:val="none" w:sz="0" w:space="0" w:color="auto"/>
            <w:left w:val="none" w:sz="0" w:space="0" w:color="auto"/>
            <w:bottom w:val="none" w:sz="0" w:space="0" w:color="auto"/>
            <w:right w:val="none" w:sz="0" w:space="0" w:color="auto"/>
          </w:divBdr>
        </w:div>
        <w:div w:id="1884172803">
          <w:marLeft w:val="0"/>
          <w:marRight w:val="0"/>
          <w:marTop w:val="0"/>
          <w:marBottom w:val="0"/>
          <w:divBdr>
            <w:top w:val="none" w:sz="0" w:space="0" w:color="auto"/>
            <w:left w:val="none" w:sz="0" w:space="0" w:color="auto"/>
            <w:bottom w:val="none" w:sz="0" w:space="0" w:color="auto"/>
            <w:right w:val="none" w:sz="0" w:space="0" w:color="auto"/>
          </w:divBdr>
        </w:div>
        <w:div w:id="1922328970">
          <w:marLeft w:val="0"/>
          <w:marRight w:val="0"/>
          <w:marTop w:val="0"/>
          <w:marBottom w:val="0"/>
          <w:divBdr>
            <w:top w:val="none" w:sz="0" w:space="0" w:color="auto"/>
            <w:left w:val="none" w:sz="0" w:space="0" w:color="auto"/>
            <w:bottom w:val="none" w:sz="0" w:space="0" w:color="auto"/>
            <w:right w:val="none" w:sz="0" w:space="0" w:color="auto"/>
          </w:divBdr>
        </w:div>
        <w:div w:id="1965040891">
          <w:marLeft w:val="0"/>
          <w:marRight w:val="0"/>
          <w:marTop w:val="0"/>
          <w:marBottom w:val="0"/>
          <w:divBdr>
            <w:top w:val="none" w:sz="0" w:space="0" w:color="auto"/>
            <w:left w:val="none" w:sz="0" w:space="0" w:color="auto"/>
            <w:bottom w:val="none" w:sz="0" w:space="0" w:color="auto"/>
            <w:right w:val="none" w:sz="0" w:space="0" w:color="auto"/>
          </w:divBdr>
        </w:div>
        <w:div w:id="1997148151">
          <w:marLeft w:val="0"/>
          <w:marRight w:val="0"/>
          <w:marTop w:val="0"/>
          <w:marBottom w:val="0"/>
          <w:divBdr>
            <w:top w:val="none" w:sz="0" w:space="0" w:color="auto"/>
            <w:left w:val="none" w:sz="0" w:space="0" w:color="auto"/>
            <w:bottom w:val="none" w:sz="0" w:space="0" w:color="auto"/>
            <w:right w:val="none" w:sz="0" w:space="0" w:color="auto"/>
          </w:divBdr>
        </w:div>
        <w:div w:id="2005012533">
          <w:marLeft w:val="0"/>
          <w:marRight w:val="0"/>
          <w:marTop w:val="0"/>
          <w:marBottom w:val="0"/>
          <w:divBdr>
            <w:top w:val="none" w:sz="0" w:space="0" w:color="auto"/>
            <w:left w:val="none" w:sz="0" w:space="0" w:color="auto"/>
            <w:bottom w:val="none" w:sz="0" w:space="0" w:color="auto"/>
            <w:right w:val="none" w:sz="0" w:space="0" w:color="auto"/>
          </w:divBdr>
        </w:div>
        <w:div w:id="2062745761">
          <w:marLeft w:val="0"/>
          <w:marRight w:val="0"/>
          <w:marTop w:val="0"/>
          <w:marBottom w:val="0"/>
          <w:divBdr>
            <w:top w:val="none" w:sz="0" w:space="0" w:color="auto"/>
            <w:left w:val="none" w:sz="0" w:space="0" w:color="auto"/>
            <w:bottom w:val="none" w:sz="0" w:space="0" w:color="auto"/>
            <w:right w:val="none" w:sz="0" w:space="0" w:color="auto"/>
          </w:divBdr>
        </w:div>
        <w:div w:id="2124615487">
          <w:marLeft w:val="0"/>
          <w:marRight w:val="0"/>
          <w:marTop w:val="0"/>
          <w:marBottom w:val="0"/>
          <w:divBdr>
            <w:top w:val="none" w:sz="0" w:space="0" w:color="auto"/>
            <w:left w:val="none" w:sz="0" w:space="0" w:color="auto"/>
            <w:bottom w:val="none" w:sz="0" w:space="0" w:color="auto"/>
            <w:right w:val="none" w:sz="0" w:space="0" w:color="auto"/>
          </w:divBdr>
        </w:div>
        <w:div w:id="2145658688">
          <w:marLeft w:val="0"/>
          <w:marRight w:val="0"/>
          <w:marTop w:val="0"/>
          <w:marBottom w:val="0"/>
          <w:divBdr>
            <w:top w:val="none" w:sz="0" w:space="0" w:color="auto"/>
            <w:left w:val="none" w:sz="0" w:space="0" w:color="auto"/>
            <w:bottom w:val="none" w:sz="0" w:space="0" w:color="auto"/>
            <w:right w:val="none" w:sz="0" w:space="0" w:color="auto"/>
          </w:divBdr>
        </w:div>
      </w:divsChild>
    </w:div>
    <w:div w:id="1205171007">
      <w:bodyDiv w:val="1"/>
      <w:marLeft w:val="0"/>
      <w:marRight w:val="0"/>
      <w:marTop w:val="0"/>
      <w:marBottom w:val="0"/>
      <w:divBdr>
        <w:top w:val="none" w:sz="0" w:space="0" w:color="auto"/>
        <w:left w:val="none" w:sz="0" w:space="0" w:color="auto"/>
        <w:bottom w:val="none" w:sz="0" w:space="0" w:color="auto"/>
        <w:right w:val="none" w:sz="0" w:space="0" w:color="auto"/>
      </w:divBdr>
    </w:div>
    <w:div w:id="1237858550">
      <w:bodyDiv w:val="1"/>
      <w:marLeft w:val="0"/>
      <w:marRight w:val="0"/>
      <w:marTop w:val="0"/>
      <w:marBottom w:val="0"/>
      <w:divBdr>
        <w:top w:val="none" w:sz="0" w:space="0" w:color="auto"/>
        <w:left w:val="none" w:sz="0" w:space="0" w:color="auto"/>
        <w:bottom w:val="none" w:sz="0" w:space="0" w:color="auto"/>
        <w:right w:val="none" w:sz="0" w:space="0" w:color="auto"/>
      </w:divBdr>
      <w:divsChild>
        <w:div w:id="113836638">
          <w:marLeft w:val="0"/>
          <w:marRight w:val="0"/>
          <w:marTop w:val="0"/>
          <w:marBottom w:val="0"/>
          <w:divBdr>
            <w:top w:val="none" w:sz="0" w:space="0" w:color="auto"/>
            <w:left w:val="none" w:sz="0" w:space="0" w:color="auto"/>
            <w:bottom w:val="none" w:sz="0" w:space="0" w:color="auto"/>
            <w:right w:val="none" w:sz="0" w:space="0" w:color="auto"/>
          </w:divBdr>
        </w:div>
      </w:divsChild>
    </w:div>
    <w:div w:id="1315066355">
      <w:bodyDiv w:val="1"/>
      <w:marLeft w:val="0"/>
      <w:marRight w:val="0"/>
      <w:marTop w:val="0"/>
      <w:marBottom w:val="0"/>
      <w:divBdr>
        <w:top w:val="none" w:sz="0" w:space="0" w:color="auto"/>
        <w:left w:val="none" w:sz="0" w:space="0" w:color="auto"/>
        <w:bottom w:val="none" w:sz="0" w:space="0" w:color="auto"/>
        <w:right w:val="none" w:sz="0" w:space="0" w:color="auto"/>
      </w:divBdr>
    </w:div>
    <w:div w:id="1321809873">
      <w:bodyDiv w:val="1"/>
      <w:marLeft w:val="0"/>
      <w:marRight w:val="0"/>
      <w:marTop w:val="0"/>
      <w:marBottom w:val="0"/>
      <w:divBdr>
        <w:top w:val="none" w:sz="0" w:space="0" w:color="auto"/>
        <w:left w:val="none" w:sz="0" w:space="0" w:color="auto"/>
        <w:bottom w:val="none" w:sz="0" w:space="0" w:color="auto"/>
        <w:right w:val="none" w:sz="0" w:space="0" w:color="auto"/>
      </w:divBdr>
    </w:div>
    <w:div w:id="1328558231">
      <w:bodyDiv w:val="1"/>
      <w:marLeft w:val="0"/>
      <w:marRight w:val="0"/>
      <w:marTop w:val="0"/>
      <w:marBottom w:val="0"/>
      <w:divBdr>
        <w:top w:val="none" w:sz="0" w:space="0" w:color="auto"/>
        <w:left w:val="none" w:sz="0" w:space="0" w:color="auto"/>
        <w:bottom w:val="none" w:sz="0" w:space="0" w:color="auto"/>
        <w:right w:val="none" w:sz="0" w:space="0" w:color="auto"/>
      </w:divBdr>
    </w:div>
    <w:div w:id="1450126637">
      <w:bodyDiv w:val="1"/>
      <w:marLeft w:val="0"/>
      <w:marRight w:val="0"/>
      <w:marTop w:val="0"/>
      <w:marBottom w:val="0"/>
      <w:divBdr>
        <w:top w:val="none" w:sz="0" w:space="0" w:color="auto"/>
        <w:left w:val="none" w:sz="0" w:space="0" w:color="auto"/>
        <w:bottom w:val="none" w:sz="0" w:space="0" w:color="auto"/>
        <w:right w:val="none" w:sz="0" w:space="0" w:color="auto"/>
      </w:divBdr>
    </w:div>
    <w:div w:id="1508904106">
      <w:bodyDiv w:val="1"/>
      <w:marLeft w:val="0"/>
      <w:marRight w:val="0"/>
      <w:marTop w:val="0"/>
      <w:marBottom w:val="0"/>
      <w:divBdr>
        <w:top w:val="none" w:sz="0" w:space="0" w:color="auto"/>
        <w:left w:val="none" w:sz="0" w:space="0" w:color="auto"/>
        <w:bottom w:val="none" w:sz="0" w:space="0" w:color="auto"/>
        <w:right w:val="none" w:sz="0" w:space="0" w:color="auto"/>
      </w:divBdr>
    </w:div>
    <w:div w:id="1532569208">
      <w:bodyDiv w:val="1"/>
      <w:marLeft w:val="0"/>
      <w:marRight w:val="0"/>
      <w:marTop w:val="0"/>
      <w:marBottom w:val="0"/>
      <w:divBdr>
        <w:top w:val="none" w:sz="0" w:space="0" w:color="auto"/>
        <w:left w:val="none" w:sz="0" w:space="0" w:color="auto"/>
        <w:bottom w:val="none" w:sz="0" w:space="0" w:color="auto"/>
        <w:right w:val="none" w:sz="0" w:space="0" w:color="auto"/>
      </w:divBdr>
    </w:div>
    <w:div w:id="1582720649">
      <w:bodyDiv w:val="1"/>
      <w:marLeft w:val="0"/>
      <w:marRight w:val="0"/>
      <w:marTop w:val="0"/>
      <w:marBottom w:val="0"/>
      <w:divBdr>
        <w:top w:val="none" w:sz="0" w:space="0" w:color="auto"/>
        <w:left w:val="none" w:sz="0" w:space="0" w:color="auto"/>
        <w:bottom w:val="none" w:sz="0" w:space="0" w:color="auto"/>
        <w:right w:val="none" w:sz="0" w:space="0" w:color="auto"/>
      </w:divBdr>
    </w:div>
    <w:div w:id="1618491195">
      <w:bodyDiv w:val="1"/>
      <w:marLeft w:val="0"/>
      <w:marRight w:val="0"/>
      <w:marTop w:val="0"/>
      <w:marBottom w:val="0"/>
      <w:divBdr>
        <w:top w:val="none" w:sz="0" w:space="0" w:color="auto"/>
        <w:left w:val="none" w:sz="0" w:space="0" w:color="auto"/>
        <w:bottom w:val="none" w:sz="0" w:space="0" w:color="auto"/>
        <w:right w:val="none" w:sz="0" w:space="0" w:color="auto"/>
      </w:divBdr>
    </w:div>
    <w:div w:id="1624653022">
      <w:bodyDiv w:val="1"/>
      <w:marLeft w:val="0"/>
      <w:marRight w:val="0"/>
      <w:marTop w:val="0"/>
      <w:marBottom w:val="0"/>
      <w:divBdr>
        <w:top w:val="none" w:sz="0" w:space="0" w:color="auto"/>
        <w:left w:val="none" w:sz="0" w:space="0" w:color="auto"/>
        <w:bottom w:val="none" w:sz="0" w:space="0" w:color="auto"/>
        <w:right w:val="none" w:sz="0" w:space="0" w:color="auto"/>
      </w:divBdr>
    </w:div>
    <w:div w:id="1768387438">
      <w:bodyDiv w:val="1"/>
      <w:marLeft w:val="0"/>
      <w:marRight w:val="0"/>
      <w:marTop w:val="0"/>
      <w:marBottom w:val="0"/>
      <w:divBdr>
        <w:top w:val="none" w:sz="0" w:space="0" w:color="auto"/>
        <w:left w:val="none" w:sz="0" w:space="0" w:color="auto"/>
        <w:bottom w:val="none" w:sz="0" w:space="0" w:color="auto"/>
        <w:right w:val="none" w:sz="0" w:space="0" w:color="auto"/>
      </w:divBdr>
    </w:div>
    <w:div w:id="1820075840">
      <w:bodyDiv w:val="1"/>
      <w:marLeft w:val="0"/>
      <w:marRight w:val="0"/>
      <w:marTop w:val="0"/>
      <w:marBottom w:val="0"/>
      <w:divBdr>
        <w:top w:val="none" w:sz="0" w:space="0" w:color="auto"/>
        <w:left w:val="none" w:sz="0" w:space="0" w:color="auto"/>
        <w:bottom w:val="none" w:sz="0" w:space="0" w:color="auto"/>
        <w:right w:val="none" w:sz="0" w:space="0" w:color="auto"/>
      </w:divBdr>
    </w:div>
    <w:div w:id="1921862098">
      <w:bodyDiv w:val="1"/>
      <w:marLeft w:val="0"/>
      <w:marRight w:val="0"/>
      <w:marTop w:val="0"/>
      <w:marBottom w:val="0"/>
      <w:divBdr>
        <w:top w:val="none" w:sz="0" w:space="0" w:color="auto"/>
        <w:left w:val="none" w:sz="0" w:space="0" w:color="auto"/>
        <w:bottom w:val="none" w:sz="0" w:space="0" w:color="auto"/>
        <w:right w:val="none" w:sz="0" w:space="0" w:color="auto"/>
      </w:divBdr>
    </w:div>
    <w:div w:id="1936788168">
      <w:bodyDiv w:val="1"/>
      <w:marLeft w:val="0"/>
      <w:marRight w:val="0"/>
      <w:marTop w:val="0"/>
      <w:marBottom w:val="0"/>
      <w:divBdr>
        <w:top w:val="none" w:sz="0" w:space="0" w:color="auto"/>
        <w:left w:val="none" w:sz="0" w:space="0" w:color="auto"/>
        <w:bottom w:val="none" w:sz="0" w:space="0" w:color="auto"/>
        <w:right w:val="none" w:sz="0" w:space="0" w:color="auto"/>
      </w:divBdr>
    </w:div>
    <w:div w:id="1937445376">
      <w:bodyDiv w:val="1"/>
      <w:marLeft w:val="0"/>
      <w:marRight w:val="0"/>
      <w:marTop w:val="0"/>
      <w:marBottom w:val="0"/>
      <w:divBdr>
        <w:top w:val="none" w:sz="0" w:space="0" w:color="auto"/>
        <w:left w:val="none" w:sz="0" w:space="0" w:color="auto"/>
        <w:bottom w:val="none" w:sz="0" w:space="0" w:color="auto"/>
        <w:right w:val="none" w:sz="0" w:space="0" w:color="auto"/>
      </w:divBdr>
    </w:div>
    <w:div w:id="1965305954">
      <w:bodyDiv w:val="1"/>
      <w:marLeft w:val="0"/>
      <w:marRight w:val="0"/>
      <w:marTop w:val="0"/>
      <w:marBottom w:val="0"/>
      <w:divBdr>
        <w:top w:val="none" w:sz="0" w:space="0" w:color="auto"/>
        <w:left w:val="none" w:sz="0" w:space="0" w:color="auto"/>
        <w:bottom w:val="none" w:sz="0" w:space="0" w:color="auto"/>
        <w:right w:val="none" w:sz="0" w:space="0" w:color="auto"/>
      </w:divBdr>
    </w:div>
    <w:div w:id="1969776012">
      <w:bodyDiv w:val="1"/>
      <w:marLeft w:val="0"/>
      <w:marRight w:val="0"/>
      <w:marTop w:val="0"/>
      <w:marBottom w:val="0"/>
      <w:divBdr>
        <w:top w:val="none" w:sz="0" w:space="0" w:color="auto"/>
        <w:left w:val="none" w:sz="0" w:space="0" w:color="auto"/>
        <w:bottom w:val="none" w:sz="0" w:space="0" w:color="auto"/>
        <w:right w:val="none" w:sz="0" w:space="0" w:color="auto"/>
      </w:divBdr>
    </w:div>
    <w:div w:id="1990672070">
      <w:bodyDiv w:val="1"/>
      <w:marLeft w:val="0"/>
      <w:marRight w:val="0"/>
      <w:marTop w:val="0"/>
      <w:marBottom w:val="0"/>
      <w:divBdr>
        <w:top w:val="none" w:sz="0" w:space="0" w:color="auto"/>
        <w:left w:val="none" w:sz="0" w:space="0" w:color="auto"/>
        <w:bottom w:val="none" w:sz="0" w:space="0" w:color="auto"/>
        <w:right w:val="none" w:sz="0" w:space="0" w:color="auto"/>
      </w:divBdr>
    </w:div>
    <w:div w:id="2018995817">
      <w:bodyDiv w:val="1"/>
      <w:marLeft w:val="0"/>
      <w:marRight w:val="0"/>
      <w:marTop w:val="0"/>
      <w:marBottom w:val="0"/>
      <w:divBdr>
        <w:top w:val="none" w:sz="0" w:space="0" w:color="auto"/>
        <w:left w:val="none" w:sz="0" w:space="0" w:color="auto"/>
        <w:bottom w:val="none" w:sz="0" w:space="0" w:color="auto"/>
        <w:right w:val="none" w:sz="0" w:space="0" w:color="auto"/>
      </w:divBdr>
    </w:div>
    <w:div w:id="204875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chart" Target="charts/chart4.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chart" Target="charts/chart2.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placer.ca.gov/3396/Housing" TargetMode="External"/><Relationship Id="rId1" Type="http://schemas.openxmlformats.org/officeDocument/2006/relationships/hyperlink" Target="https://tahoe.ca.gov/programs/tahoe-livable-communities/asset-land-sale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kkasman\Documents\All-Docs\Reno%20Tahoe%20Airport%20Stats%202006-2023.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schmid\Documents\Data%20Trends%20Report\SDE_SchoolEnrollmen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schmid\Documents\Data%20Trends%20Report\SDE_SchoolEnrollmen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schmid\Documents\Data%20Trends%20Report\CensusDemographics_20241010.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Reno Tahoe International Airport: Total Passengers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722152378011571E-2"/>
          <c:y val="0.15211156906726522"/>
          <c:w val="0.88373629766867379"/>
          <c:h val="0.65857333612490321"/>
        </c:manualLayout>
      </c:layout>
      <c:barChart>
        <c:barDir val="col"/>
        <c:grouping val="clustered"/>
        <c:varyColors val="0"/>
        <c:ser>
          <c:idx val="0"/>
          <c:order val="0"/>
          <c:tx>
            <c:strRef>
              <c:f>'Annual Summary - Passengers'!$A$4</c:f>
              <c:strCache>
                <c:ptCount val="1"/>
                <c:pt idx="0">
                  <c:v>Total Passengers</c:v>
                </c:pt>
              </c:strCache>
            </c:strRef>
          </c:tx>
          <c:spPr>
            <a:solidFill>
              <a:schemeClr val="accent1"/>
            </a:solidFill>
            <a:ln>
              <a:noFill/>
            </a:ln>
            <a:effectLst/>
          </c:spPr>
          <c:invertIfNegative val="0"/>
          <c:cat>
            <c:numRef>
              <c:f>'Annual Summary - Passengers'!$B$3:$S$3</c:f>
              <c:numCache>
                <c:formatCode>General</c:formatCode>
                <c:ptCount val="1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numCache>
            </c:numRef>
          </c:cat>
          <c:val>
            <c:numRef>
              <c:f>'Annual Summary - Passengers'!$B$4:$S$4</c:f>
              <c:numCache>
                <c:formatCode>#,##0</c:formatCode>
                <c:ptCount val="18"/>
                <c:pt idx="0">
                  <c:v>5000663</c:v>
                </c:pt>
                <c:pt idx="1">
                  <c:v>5044087</c:v>
                </c:pt>
                <c:pt idx="2">
                  <c:v>4434638</c:v>
                </c:pt>
                <c:pt idx="3">
                  <c:v>3755935</c:v>
                </c:pt>
                <c:pt idx="4">
                  <c:v>3823393</c:v>
                </c:pt>
                <c:pt idx="5">
                  <c:v>3754394</c:v>
                </c:pt>
                <c:pt idx="6">
                  <c:v>3479290</c:v>
                </c:pt>
                <c:pt idx="7">
                  <c:v>3432311</c:v>
                </c:pt>
                <c:pt idx="8">
                  <c:v>3305090</c:v>
                </c:pt>
                <c:pt idx="9">
                  <c:v>3432330</c:v>
                </c:pt>
                <c:pt idx="10">
                  <c:v>3650830</c:v>
                </c:pt>
                <c:pt idx="11">
                  <c:v>4015381</c:v>
                </c:pt>
                <c:pt idx="12">
                  <c:v>4210095</c:v>
                </c:pt>
                <c:pt idx="13">
                  <c:v>4450673</c:v>
                </c:pt>
                <c:pt idx="14">
                  <c:v>2006420</c:v>
                </c:pt>
                <c:pt idx="15">
                  <c:v>3623458</c:v>
                </c:pt>
                <c:pt idx="16">
                  <c:v>4310958</c:v>
                </c:pt>
                <c:pt idx="17">
                  <c:v>4573384</c:v>
                </c:pt>
              </c:numCache>
            </c:numRef>
          </c:val>
          <c:extLst>
            <c:ext xmlns:c16="http://schemas.microsoft.com/office/drawing/2014/chart" uri="{C3380CC4-5D6E-409C-BE32-E72D297353CC}">
              <c16:uniqueId val="{00000000-5D24-4434-AD86-1530CF3E7551}"/>
            </c:ext>
          </c:extLst>
        </c:ser>
        <c:dLbls>
          <c:showLegendKey val="0"/>
          <c:showVal val="0"/>
          <c:showCatName val="0"/>
          <c:showSerName val="0"/>
          <c:showPercent val="0"/>
          <c:showBubbleSize val="0"/>
        </c:dLbls>
        <c:gapWidth val="219"/>
        <c:overlap val="-27"/>
        <c:axId val="393807104"/>
        <c:axId val="393807760"/>
      </c:barChart>
      <c:catAx>
        <c:axId val="393807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807760"/>
        <c:crosses val="autoZero"/>
        <c:auto val="1"/>
        <c:lblAlgn val="ctr"/>
        <c:lblOffset val="100"/>
        <c:noMultiLvlLbl val="0"/>
      </c:catAx>
      <c:valAx>
        <c:axId val="39380776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8071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Tahoe Nevada School Enrollment, 2003-2023</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Sheet1!$G$5:$G$24</c:f>
              <c:strCache>
                <c:ptCount val="20"/>
                <c:pt idx="0">
                  <c:v>2003-2004</c:v>
                </c:pt>
                <c:pt idx="1">
                  <c:v>2004-2005</c:v>
                </c:pt>
                <c:pt idx="2">
                  <c:v>2005-2006</c:v>
                </c:pt>
                <c:pt idx="3">
                  <c:v>2006-2007</c:v>
                </c:pt>
                <c:pt idx="4">
                  <c:v>2007-2008</c:v>
                </c:pt>
                <c:pt idx="5">
                  <c:v>2008-2009</c:v>
                </c:pt>
                <c:pt idx="6">
                  <c:v>2009-2010</c:v>
                </c:pt>
                <c:pt idx="7">
                  <c:v>2010-2011</c:v>
                </c:pt>
                <c:pt idx="8">
                  <c:v>2011-2012</c:v>
                </c:pt>
                <c:pt idx="9">
                  <c:v>2012-2013</c:v>
                </c:pt>
                <c:pt idx="10">
                  <c:v>2013-2014</c:v>
                </c:pt>
                <c:pt idx="11">
                  <c:v>2014-2015</c:v>
                </c:pt>
                <c:pt idx="12">
                  <c:v>2015-2016</c:v>
                </c:pt>
                <c:pt idx="13">
                  <c:v>2016-2017</c:v>
                </c:pt>
                <c:pt idx="14">
                  <c:v>2017-2018</c:v>
                </c:pt>
                <c:pt idx="15">
                  <c:v>2018-2019</c:v>
                </c:pt>
                <c:pt idx="16">
                  <c:v>2019-2020</c:v>
                </c:pt>
                <c:pt idx="17">
                  <c:v>2020-2021</c:v>
                </c:pt>
                <c:pt idx="18">
                  <c:v>2021-2022</c:v>
                </c:pt>
                <c:pt idx="19">
                  <c:v>2022-2023</c:v>
                </c:pt>
              </c:strCache>
            </c:strRef>
          </c:cat>
          <c:val>
            <c:numRef>
              <c:f>Sheet1!$H$5:$H$24</c:f>
              <c:numCache>
                <c:formatCode>General</c:formatCode>
                <c:ptCount val="20"/>
                <c:pt idx="0">
                  <c:v>1852</c:v>
                </c:pt>
                <c:pt idx="1">
                  <c:v>1735</c:v>
                </c:pt>
                <c:pt idx="2">
                  <c:v>1701</c:v>
                </c:pt>
                <c:pt idx="3">
                  <c:v>1634</c:v>
                </c:pt>
                <c:pt idx="4">
                  <c:v>1548</c:v>
                </c:pt>
                <c:pt idx="5">
                  <c:v>1462</c:v>
                </c:pt>
                <c:pt idx="6">
                  <c:v>1404</c:v>
                </c:pt>
                <c:pt idx="7">
                  <c:v>1436</c:v>
                </c:pt>
                <c:pt idx="8">
                  <c:v>1380</c:v>
                </c:pt>
                <c:pt idx="9">
                  <c:v>1366</c:v>
                </c:pt>
                <c:pt idx="10">
                  <c:v>1340</c:v>
                </c:pt>
                <c:pt idx="11">
                  <c:v>1345</c:v>
                </c:pt>
                <c:pt idx="12">
                  <c:v>1315</c:v>
                </c:pt>
                <c:pt idx="13">
                  <c:v>1299</c:v>
                </c:pt>
                <c:pt idx="14">
                  <c:v>1189</c:v>
                </c:pt>
                <c:pt idx="15">
                  <c:v>1160</c:v>
                </c:pt>
                <c:pt idx="16">
                  <c:v>1117</c:v>
                </c:pt>
                <c:pt idx="17">
                  <c:v>1061</c:v>
                </c:pt>
                <c:pt idx="18">
                  <c:v>1056</c:v>
                </c:pt>
                <c:pt idx="19">
                  <c:v>1008</c:v>
                </c:pt>
              </c:numCache>
            </c:numRef>
          </c:val>
          <c:extLst>
            <c:ext xmlns:c16="http://schemas.microsoft.com/office/drawing/2014/chart" uri="{C3380CC4-5D6E-409C-BE32-E72D297353CC}">
              <c16:uniqueId val="{00000000-346B-46C1-9AE3-DE239082BC7E}"/>
            </c:ext>
          </c:extLst>
        </c:ser>
        <c:dLbls>
          <c:showLegendKey val="0"/>
          <c:showVal val="0"/>
          <c:showCatName val="0"/>
          <c:showSerName val="0"/>
          <c:showPercent val="0"/>
          <c:showBubbleSize val="0"/>
        </c:dLbls>
        <c:gapWidth val="70"/>
        <c:overlap val="-27"/>
        <c:axId val="1067323728"/>
        <c:axId val="1067325168"/>
      </c:barChart>
      <c:catAx>
        <c:axId val="106732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325168"/>
        <c:crosses val="autoZero"/>
        <c:auto val="1"/>
        <c:lblAlgn val="ctr"/>
        <c:lblOffset val="100"/>
        <c:noMultiLvlLbl val="0"/>
      </c:catAx>
      <c:valAx>
        <c:axId val="1067325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3237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aseline="0"/>
              <a:t>Tahoe California School Enrollment, 2003-2023</a:t>
            </a:r>
            <a:endParaRPr lang="en-US"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Sheet1!$D$5:$D$24</c:f>
              <c:strCache>
                <c:ptCount val="20"/>
                <c:pt idx="0">
                  <c:v>2003-2004</c:v>
                </c:pt>
                <c:pt idx="1">
                  <c:v>2004-2005</c:v>
                </c:pt>
                <c:pt idx="2">
                  <c:v>2005-2006</c:v>
                </c:pt>
                <c:pt idx="3">
                  <c:v>2006-2007</c:v>
                </c:pt>
                <c:pt idx="4">
                  <c:v>2007-2008</c:v>
                </c:pt>
                <c:pt idx="5">
                  <c:v>2008-2009</c:v>
                </c:pt>
                <c:pt idx="6">
                  <c:v>2009-2010</c:v>
                </c:pt>
                <c:pt idx="7">
                  <c:v>2010-2011</c:v>
                </c:pt>
                <c:pt idx="8">
                  <c:v>2011-2012</c:v>
                </c:pt>
                <c:pt idx="9">
                  <c:v>2012-2013</c:v>
                </c:pt>
                <c:pt idx="10">
                  <c:v>2013-2014</c:v>
                </c:pt>
                <c:pt idx="11">
                  <c:v>2014-2015</c:v>
                </c:pt>
                <c:pt idx="12">
                  <c:v>2015-2016</c:v>
                </c:pt>
                <c:pt idx="13">
                  <c:v>2016-2017</c:v>
                </c:pt>
                <c:pt idx="14">
                  <c:v>2017-2018</c:v>
                </c:pt>
                <c:pt idx="15">
                  <c:v>2018-2019</c:v>
                </c:pt>
                <c:pt idx="16">
                  <c:v>2019-2020</c:v>
                </c:pt>
                <c:pt idx="17">
                  <c:v>2020-2021</c:v>
                </c:pt>
                <c:pt idx="18">
                  <c:v>2021-2022</c:v>
                </c:pt>
                <c:pt idx="19">
                  <c:v>2022-2023</c:v>
                </c:pt>
              </c:strCache>
            </c:strRef>
          </c:cat>
          <c:val>
            <c:numRef>
              <c:f>Sheet1!$E$5:$E$24</c:f>
              <c:numCache>
                <c:formatCode>General</c:formatCode>
                <c:ptCount val="20"/>
                <c:pt idx="0">
                  <c:v>6228</c:v>
                </c:pt>
                <c:pt idx="1">
                  <c:v>6027</c:v>
                </c:pt>
                <c:pt idx="2">
                  <c:v>5772</c:v>
                </c:pt>
                <c:pt idx="3">
                  <c:v>5485</c:v>
                </c:pt>
                <c:pt idx="4">
                  <c:v>5454</c:v>
                </c:pt>
                <c:pt idx="5">
                  <c:v>5504</c:v>
                </c:pt>
                <c:pt idx="6">
                  <c:v>5321</c:v>
                </c:pt>
                <c:pt idx="7">
                  <c:v>5263</c:v>
                </c:pt>
                <c:pt idx="8">
                  <c:v>5190</c:v>
                </c:pt>
                <c:pt idx="9">
                  <c:v>5329</c:v>
                </c:pt>
                <c:pt idx="10">
                  <c:v>5379</c:v>
                </c:pt>
                <c:pt idx="11">
                  <c:v>5427</c:v>
                </c:pt>
                <c:pt idx="12">
                  <c:v>5469</c:v>
                </c:pt>
                <c:pt idx="13">
                  <c:v>5650</c:v>
                </c:pt>
                <c:pt idx="14">
                  <c:v>5622</c:v>
                </c:pt>
                <c:pt idx="15">
                  <c:v>5686</c:v>
                </c:pt>
                <c:pt idx="16">
                  <c:v>5399</c:v>
                </c:pt>
                <c:pt idx="17">
                  <c:v>5219</c:v>
                </c:pt>
                <c:pt idx="18">
                  <c:v>5145</c:v>
                </c:pt>
                <c:pt idx="19">
                  <c:v>5134</c:v>
                </c:pt>
              </c:numCache>
            </c:numRef>
          </c:val>
          <c:extLst>
            <c:ext xmlns:c16="http://schemas.microsoft.com/office/drawing/2014/chart" uri="{C3380CC4-5D6E-409C-BE32-E72D297353CC}">
              <c16:uniqueId val="{00000000-1841-4AD4-838E-7881837647E3}"/>
            </c:ext>
          </c:extLst>
        </c:ser>
        <c:dLbls>
          <c:showLegendKey val="0"/>
          <c:showVal val="0"/>
          <c:showCatName val="0"/>
          <c:showSerName val="0"/>
          <c:showPercent val="0"/>
          <c:showBubbleSize val="0"/>
        </c:dLbls>
        <c:gapWidth val="70"/>
        <c:overlap val="-27"/>
        <c:axId val="1067494416"/>
        <c:axId val="1067494896"/>
      </c:barChart>
      <c:catAx>
        <c:axId val="1067494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494896"/>
        <c:crosses val="autoZero"/>
        <c:auto val="1"/>
        <c:lblAlgn val="ctr"/>
        <c:lblOffset val="100"/>
        <c:noMultiLvlLbl val="0"/>
      </c:catAx>
      <c:valAx>
        <c:axId val="1067494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4944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0" i="0" u="none" strike="noStrike" kern="1200" spc="0" baseline="0">
                <a:solidFill>
                  <a:sysClr val="windowText" lastClr="000000">
                    <a:lumMod val="65000"/>
                    <a:lumOff val="35000"/>
                  </a:sysClr>
                </a:solidFill>
              </a:rPr>
              <a:t>Household Income Categories (% of Households, ACS 2010-2022</a:t>
            </a:r>
            <a:r>
              <a:rPr lang="en-US" sz="1200" b="0" i="0" u="none" strike="noStrike" kern="1200" spc="0" baseline="0">
                <a:solidFill>
                  <a:sysClr val="windowText" lastClr="000000">
                    <a:lumMod val="65000"/>
                    <a:lumOff val="35000"/>
                  </a:sysClr>
                </a:solidFill>
              </a:rPr>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HHIncome!$A$20</c:f>
              <c:strCache>
                <c:ptCount val="1"/>
                <c:pt idx="0">
                  <c:v>Less than $25k</c:v>
                </c:pt>
              </c:strCache>
            </c:strRef>
          </c:tx>
          <c:spPr>
            <a:solidFill>
              <a:schemeClr val="accent1"/>
            </a:solidFill>
            <a:ln>
              <a:noFill/>
            </a:ln>
            <a:effectLst/>
          </c:spPr>
          <c:invertIfNegative val="0"/>
          <c:dLbls>
            <c:dLbl>
              <c:idx val="0"/>
              <c:tx>
                <c:rich>
                  <a:bodyPr/>
                  <a:lstStyle/>
                  <a:p>
                    <a:fld id="{38990A7B-5639-441A-A5AD-025914D4DD7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4483-4F48-9F0E-8373DE6362A5}"/>
                </c:ext>
              </c:extLst>
            </c:dLbl>
            <c:dLbl>
              <c:idx val="1"/>
              <c:tx>
                <c:rich>
                  <a:bodyPr/>
                  <a:lstStyle/>
                  <a:p>
                    <a:fld id="{78739C0E-F994-4710-9D16-01B393D506D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4483-4F48-9F0E-8373DE6362A5}"/>
                </c:ext>
              </c:extLst>
            </c:dLbl>
            <c:dLbl>
              <c:idx val="2"/>
              <c:tx>
                <c:rich>
                  <a:bodyPr/>
                  <a:lstStyle/>
                  <a:p>
                    <a:fld id="{CA6C0CE4-5444-479E-AB1E-09C41C7C448A}"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4483-4F48-9F0E-8373DE6362A5}"/>
                </c:ext>
              </c:extLst>
            </c:dLbl>
            <c:dLbl>
              <c:idx val="3"/>
              <c:tx>
                <c:rich>
                  <a:bodyPr/>
                  <a:lstStyle/>
                  <a:p>
                    <a:fld id="{90251B7D-0455-4184-A5DA-E6F35BE1FFD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4483-4F48-9F0E-8373DE6362A5}"/>
                </c:ext>
              </c:extLst>
            </c:dLbl>
            <c:dLbl>
              <c:idx val="4"/>
              <c:tx>
                <c:rich>
                  <a:bodyPr/>
                  <a:lstStyle/>
                  <a:p>
                    <a:fld id="{BB5FA708-EC94-445D-AA68-31EDD349A70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4483-4F48-9F0E-8373DE6362A5}"/>
                </c:ext>
              </c:extLst>
            </c:dLbl>
            <c:dLbl>
              <c:idx val="5"/>
              <c:tx>
                <c:rich>
                  <a:bodyPr/>
                  <a:lstStyle/>
                  <a:p>
                    <a:fld id="{B36AF9DB-3696-4A21-B441-E286904E145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4483-4F48-9F0E-8373DE6362A5}"/>
                </c:ext>
              </c:extLst>
            </c:dLbl>
            <c:dLbl>
              <c:idx val="6"/>
              <c:tx>
                <c:rich>
                  <a:bodyPr/>
                  <a:lstStyle/>
                  <a:p>
                    <a:fld id="{61EC7674-1036-4C7D-9355-F9837CDFEC1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4483-4F48-9F0E-8373DE6362A5}"/>
                </c:ext>
              </c:extLst>
            </c:dLbl>
            <c:dLbl>
              <c:idx val="7"/>
              <c:tx>
                <c:rich>
                  <a:bodyPr/>
                  <a:lstStyle/>
                  <a:p>
                    <a:fld id="{E00D7FC8-40C2-47B4-ABF5-77626F4E9FC2}"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4483-4F48-9F0E-8373DE6362A5}"/>
                </c:ext>
              </c:extLst>
            </c:dLbl>
            <c:dLbl>
              <c:idx val="8"/>
              <c:tx>
                <c:rich>
                  <a:bodyPr/>
                  <a:lstStyle/>
                  <a:p>
                    <a:fld id="{2DF851DE-10E4-459D-9479-A4F57BDEAD9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4483-4F48-9F0E-8373DE6362A5}"/>
                </c:ext>
              </c:extLst>
            </c:dLbl>
            <c:dLbl>
              <c:idx val="9"/>
              <c:tx>
                <c:rich>
                  <a:bodyPr/>
                  <a:lstStyle/>
                  <a:p>
                    <a:fld id="{527372B7-257B-435F-804E-6D8DBB2970A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4483-4F48-9F0E-8373DE6362A5}"/>
                </c:ext>
              </c:extLst>
            </c:dLbl>
            <c:dLbl>
              <c:idx val="10"/>
              <c:tx>
                <c:rich>
                  <a:bodyPr/>
                  <a:lstStyle/>
                  <a:p>
                    <a:fld id="{CDA41C26-56C3-4D0D-BD78-F088604F2099}"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4483-4F48-9F0E-8373DE6362A5}"/>
                </c:ext>
              </c:extLst>
            </c:dLbl>
            <c:dLbl>
              <c:idx val="11"/>
              <c:tx>
                <c:rich>
                  <a:bodyPr/>
                  <a:lstStyle/>
                  <a:p>
                    <a:fld id="{AC7276E3-AF87-4C47-9F21-AA0026E725C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4483-4F48-9F0E-8373DE6362A5}"/>
                </c:ext>
              </c:extLst>
            </c:dLbl>
            <c:dLbl>
              <c:idx val="12"/>
              <c:tx>
                <c:rich>
                  <a:bodyPr/>
                  <a:lstStyle/>
                  <a:p>
                    <a:fld id="{AF95F4A2-BF4A-4ED6-9B7B-168BC366644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HHIncome!$B$20:$N$20</c:f>
              <c:numCache>
                <c:formatCode>General</c:formatCode>
                <c:ptCount val="13"/>
                <c:pt idx="0">
                  <c:v>4389</c:v>
                </c:pt>
                <c:pt idx="1">
                  <c:v>4472</c:v>
                </c:pt>
                <c:pt idx="2">
                  <c:v>4286</c:v>
                </c:pt>
                <c:pt idx="3">
                  <c:v>4428</c:v>
                </c:pt>
                <c:pt idx="4">
                  <c:v>4490</c:v>
                </c:pt>
                <c:pt idx="5">
                  <c:v>4459</c:v>
                </c:pt>
                <c:pt idx="6">
                  <c:v>4083</c:v>
                </c:pt>
                <c:pt idx="7">
                  <c:v>4270</c:v>
                </c:pt>
                <c:pt idx="8">
                  <c:v>4030</c:v>
                </c:pt>
                <c:pt idx="9">
                  <c:v>3725</c:v>
                </c:pt>
                <c:pt idx="10">
                  <c:v>3646</c:v>
                </c:pt>
                <c:pt idx="11">
                  <c:v>3268</c:v>
                </c:pt>
                <c:pt idx="12">
                  <c:v>2869</c:v>
                </c:pt>
              </c:numCache>
            </c:numRef>
          </c:val>
          <c:extLst>
            <c:ext xmlns:c15="http://schemas.microsoft.com/office/drawing/2012/chart" uri="{02D57815-91ED-43cb-92C2-25804820EDAC}">
              <c15:datalabelsRange>
                <c15:f>HHIncome!$B$27:$N$27</c15:f>
                <c15:dlblRangeCache>
                  <c:ptCount val="13"/>
                  <c:pt idx="0">
                    <c:v>20%</c:v>
                  </c:pt>
                  <c:pt idx="1">
                    <c:v>21%</c:v>
                  </c:pt>
                  <c:pt idx="2">
                    <c:v>20%</c:v>
                  </c:pt>
                  <c:pt idx="3">
                    <c:v>20%</c:v>
                  </c:pt>
                  <c:pt idx="4">
                    <c:v>21%</c:v>
                  </c:pt>
                  <c:pt idx="5">
                    <c:v>20%</c:v>
                  </c:pt>
                  <c:pt idx="6">
                    <c:v>19%</c:v>
                  </c:pt>
                  <c:pt idx="7">
                    <c:v>20%</c:v>
                  </c:pt>
                  <c:pt idx="8">
                    <c:v>19%</c:v>
                  </c:pt>
                  <c:pt idx="9">
                    <c:v>17%</c:v>
                  </c:pt>
                  <c:pt idx="10">
                    <c:v>16%</c:v>
                  </c:pt>
                  <c:pt idx="11">
                    <c:v>14%</c:v>
                  </c:pt>
                  <c:pt idx="12">
                    <c:v>12%</c:v>
                  </c:pt>
                </c15:dlblRangeCache>
              </c15:datalabelsRange>
            </c:ext>
            <c:ext xmlns:c16="http://schemas.microsoft.com/office/drawing/2014/chart" uri="{C3380CC4-5D6E-409C-BE32-E72D297353CC}">
              <c16:uniqueId val="{0000000D-4483-4F48-9F0E-8373DE6362A5}"/>
            </c:ext>
          </c:extLst>
        </c:ser>
        <c:ser>
          <c:idx val="1"/>
          <c:order val="1"/>
          <c:tx>
            <c:strRef>
              <c:f>HHIncome!$A$21</c:f>
              <c:strCache>
                <c:ptCount val="1"/>
                <c:pt idx="0">
                  <c:v>$25-50k</c:v>
                </c:pt>
              </c:strCache>
            </c:strRef>
          </c:tx>
          <c:spPr>
            <a:solidFill>
              <a:schemeClr val="accent2"/>
            </a:solidFill>
            <a:ln>
              <a:noFill/>
            </a:ln>
            <a:effectLst/>
          </c:spPr>
          <c:invertIfNegative val="0"/>
          <c:dLbls>
            <c:dLbl>
              <c:idx val="0"/>
              <c:tx>
                <c:rich>
                  <a:bodyPr/>
                  <a:lstStyle/>
                  <a:p>
                    <a:fld id="{8E5F32FB-FA57-434F-A6F0-64C621F88D2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4483-4F48-9F0E-8373DE6362A5}"/>
                </c:ext>
              </c:extLst>
            </c:dLbl>
            <c:dLbl>
              <c:idx val="1"/>
              <c:tx>
                <c:rich>
                  <a:bodyPr/>
                  <a:lstStyle/>
                  <a:p>
                    <a:fld id="{40DE140B-3CCE-4C3F-88FB-4A4DB41960D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4483-4F48-9F0E-8373DE6362A5}"/>
                </c:ext>
              </c:extLst>
            </c:dLbl>
            <c:dLbl>
              <c:idx val="2"/>
              <c:tx>
                <c:rich>
                  <a:bodyPr/>
                  <a:lstStyle/>
                  <a:p>
                    <a:fld id="{2ED7854E-796C-4DEA-BABA-118E233719A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4483-4F48-9F0E-8373DE6362A5}"/>
                </c:ext>
              </c:extLst>
            </c:dLbl>
            <c:dLbl>
              <c:idx val="3"/>
              <c:tx>
                <c:rich>
                  <a:bodyPr/>
                  <a:lstStyle/>
                  <a:p>
                    <a:fld id="{682FA58E-1830-43F7-A38F-CF017E3E43D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4483-4F48-9F0E-8373DE6362A5}"/>
                </c:ext>
              </c:extLst>
            </c:dLbl>
            <c:dLbl>
              <c:idx val="4"/>
              <c:tx>
                <c:rich>
                  <a:bodyPr/>
                  <a:lstStyle/>
                  <a:p>
                    <a:fld id="{E9578CB2-2439-44B7-9EA0-81E6487999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4483-4F48-9F0E-8373DE6362A5}"/>
                </c:ext>
              </c:extLst>
            </c:dLbl>
            <c:dLbl>
              <c:idx val="5"/>
              <c:tx>
                <c:rich>
                  <a:bodyPr/>
                  <a:lstStyle/>
                  <a:p>
                    <a:fld id="{69031C28-88EE-42AC-8AFC-5FF1FDFA93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4483-4F48-9F0E-8373DE6362A5}"/>
                </c:ext>
              </c:extLst>
            </c:dLbl>
            <c:dLbl>
              <c:idx val="6"/>
              <c:tx>
                <c:rich>
                  <a:bodyPr/>
                  <a:lstStyle/>
                  <a:p>
                    <a:fld id="{F54215E3-1238-41FA-AD94-2BA0C429354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4483-4F48-9F0E-8373DE6362A5}"/>
                </c:ext>
              </c:extLst>
            </c:dLbl>
            <c:dLbl>
              <c:idx val="7"/>
              <c:tx>
                <c:rich>
                  <a:bodyPr/>
                  <a:lstStyle/>
                  <a:p>
                    <a:fld id="{74CB7647-9599-4613-B45B-ACFDE814A3F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4483-4F48-9F0E-8373DE6362A5}"/>
                </c:ext>
              </c:extLst>
            </c:dLbl>
            <c:dLbl>
              <c:idx val="8"/>
              <c:tx>
                <c:rich>
                  <a:bodyPr/>
                  <a:lstStyle/>
                  <a:p>
                    <a:fld id="{2503C74F-27F4-4816-9580-1D91D3426CAA}"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6-4483-4F48-9F0E-8373DE6362A5}"/>
                </c:ext>
              </c:extLst>
            </c:dLbl>
            <c:dLbl>
              <c:idx val="9"/>
              <c:tx>
                <c:rich>
                  <a:bodyPr/>
                  <a:lstStyle/>
                  <a:p>
                    <a:fld id="{A2946CD2-64B0-4CA8-8AC4-6D1F7F1C92F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4483-4F48-9F0E-8373DE6362A5}"/>
                </c:ext>
              </c:extLst>
            </c:dLbl>
            <c:dLbl>
              <c:idx val="10"/>
              <c:tx>
                <c:rich>
                  <a:bodyPr/>
                  <a:lstStyle/>
                  <a:p>
                    <a:fld id="{BF3D7F47-761D-4482-B52B-F1549F11141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4483-4F48-9F0E-8373DE6362A5}"/>
                </c:ext>
              </c:extLst>
            </c:dLbl>
            <c:dLbl>
              <c:idx val="11"/>
              <c:tx>
                <c:rich>
                  <a:bodyPr/>
                  <a:lstStyle/>
                  <a:p>
                    <a:fld id="{172CC32B-D63F-463D-8829-BC9568EB0E2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9-4483-4F48-9F0E-8373DE6362A5}"/>
                </c:ext>
              </c:extLst>
            </c:dLbl>
            <c:dLbl>
              <c:idx val="12"/>
              <c:tx>
                <c:rich>
                  <a:bodyPr/>
                  <a:lstStyle/>
                  <a:p>
                    <a:fld id="{21162849-B4AC-4160-BA54-5BB5346E100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A-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HHIncome!$B$21:$N$21</c:f>
              <c:numCache>
                <c:formatCode>General</c:formatCode>
                <c:ptCount val="13"/>
                <c:pt idx="0">
                  <c:v>5448</c:v>
                </c:pt>
                <c:pt idx="1">
                  <c:v>5573</c:v>
                </c:pt>
                <c:pt idx="2">
                  <c:v>5672</c:v>
                </c:pt>
                <c:pt idx="3">
                  <c:v>5711</c:v>
                </c:pt>
                <c:pt idx="4">
                  <c:v>5716</c:v>
                </c:pt>
                <c:pt idx="5">
                  <c:v>5507</c:v>
                </c:pt>
                <c:pt idx="6">
                  <c:v>5235</c:v>
                </c:pt>
                <c:pt idx="7">
                  <c:v>4840</c:v>
                </c:pt>
                <c:pt idx="8">
                  <c:v>4637</c:v>
                </c:pt>
                <c:pt idx="9">
                  <c:v>4654</c:v>
                </c:pt>
                <c:pt idx="10">
                  <c:v>4614</c:v>
                </c:pt>
                <c:pt idx="11">
                  <c:v>4058</c:v>
                </c:pt>
                <c:pt idx="12">
                  <c:v>3774</c:v>
                </c:pt>
              </c:numCache>
            </c:numRef>
          </c:val>
          <c:extLst>
            <c:ext xmlns:c15="http://schemas.microsoft.com/office/drawing/2012/chart" uri="{02D57815-91ED-43cb-92C2-25804820EDAC}">
              <c15:datalabelsRange>
                <c15:f>HHIncome!$B$28:$N$28</c15:f>
                <c15:dlblRangeCache>
                  <c:ptCount val="13"/>
                  <c:pt idx="0">
                    <c:v>25%</c:v>
                  </c:pt>
                  <c:pt idx="1">
                    <c:v>26%</c:v>
                  </c:pt>
                  <c:pt idx="2">
                    <c:v>26%</c:v>
                  </c:pt>
                  <c:pt idx="3">
                    <c:v>26%</c:v>
                  </c:pt>
                  <c:pt idx="4">
                    <c:v>26%</c:v>
                  </c:pt>
                  <c:pt idx="5">
                    <c:v>25%</c:v>
                  </c:pt>
                  <c:pt idx="6">
                    <c:v>25%</c:v>
                  </c:pt>
                  <c:pt idx="7">
                    <c:v>22%</c:v>
                  </c:pt>
                  <c:pt idx="8">
                    <c:v>21%</c:v>
                  </c:pt>
                  <c:pt idx="9">
                    <c:v>21%</c:v>
                  </c:pt>
                  <c:pt idx="10">
                    <c:v>20%</c:v>
                  </c:pt>
                  <c:pt idx="11">
                    <c:v>17%</c:v>
                  </c:pt>
                  <c:pt idx="12">
                    <c:v>16%</c:v>
                  </c:pt>
                </c15:dlblRangeCache>
              </c15:datalabelsRange>
            </c:ext>
            <c:ext xmlns:c16="http://schemas.microsoft.com/office/drawing/2014/chart" uri="{C3380CC4-5D6E-409C-BE32-E72D297353CC}">
              <c16:uniqueId val="{0000001B-4483-4F48-9F0E-8373DE6362A5}"/>
            </c:ext>
          </c:extLst>
        </c:ser>
        <c:ser>
          <c:idx val="2"/>
          <c:order val="2"/>
          <c:tx>
            <c:strRef>
              <c:f>HHIncome!$A$22</c:f>
              <c:strCache>
                <c:ptCount val="1"/>
                <c:pt idx="0">
                  <c:v>$50-100k</c:v>
                </c:pt>
              </c:strCache>
            </c:strRef>
          </c:tx>
          <c:spPr>
            <a:solidFill>
              <a:schemeClr val="accent3"/>
            </a:solidFill>
            <a:ln>
              <a:noFill/>
            </a:ln>
            <a:effectLst/>
          </c:spPr>
          <c:invertIfNegative val="0"/>
          <c:dLbls>
            <c:dLbl>
              <c:idx val="0"/>
              <c:tx>
                <c:rich>
                  <a:bodyPr/>
                  <a:lstStyle/>
                  <a:p>
                    <a:fld id="{11B98C4C-3A26-48C9-A740-57012F8DD2C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C-4483-4F48-9F0E-8373DE6362A5}"/>
                </c:ext>
              </c:extLst>
            </c:dLbl>
            <c:dLbl>
              <c:idx val="1"/>
              <c:tx>
                <c:rich>
                  <a:bodyPr/>
                  <a:lstStyle/>
                  <a:p>
                    <a:fld id="{35634800-BACE-4E35-BBDC-D79130B331B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D-4483-4F48-9F0E-8373DE6362A5}"/>
                </c:ext>
              </c:extLst>
            </c:dLbl>
            <c:dLbl>
              <c:idx val="2"/>
              <c:tx>
                <c:rich>
                  <a:bodyPr/>
                  <a:lstStyle/>
                  <a:p>
                    <a:fld id="{00EE1C6C-098E-4183-9857-DA78D5427073}"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E-4483-4F48-9F0E-8373DE6362A5}"/>
                </c:ext>
              </c:extLst>
            </c:dLbl>
            <c:dLbl>
              <c:idx val="3"/>
              <c:tx>
                <c:rich>
                  <a:bodyPr/>
                  <a:lstStyle/>
                  <a:p>
                    <a:fld id="{E36D8013-5D67-412F-90FE-A67D9D5B70D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F-4483-4F48-9F0E-8373DE6362A5}"/>
                </c:ext>
              </c:extLst>
            </c:dLbl>
            <c:dLbl>
              <c:idx val="4"/>
              <c:tx>
                <c:rich>
                  <a:bodyPr/>
                  <a:lstStyle/>
                  <a:p>
                    <a:fld id="{3A8E8306-06DE-497E-881E-B6FBFD49C16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0-4483-4F48-9F0E-8373DE6362A5}"/>
                </c:ext>
              </c:extLst>
            </c:dLbl>
            <c:dLbl>
              <c:idx val="5"/>
              <c:tx>
                <c:rich>
                  <a:bodyPr/>
                  <a:lstStyle/>
                  <a:p>
                    <a:fld id="{8D770977-9826-415B-8451-AD6D748E454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1-4483-4F48-9F0E-8373DE6362A5}"/>
                </c:ext>
              </c:extLst>
            </c:dLbl>
            <c:dLbl>
              <c:idx val="6"/>
              <c:tx>
                <c:rich>
                  <a:bodyPr/>
                  <a:lstStyle/>
                  <a:p>
                    <a:fld id="{760CA7A4-F165-43A6-8A53-A3A1FABCE74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2-4483-4F48-9F0E-8373DE6362A5}"/>
                </c:ext>
              </c:extLst>
            </c:dLbl>
            <c:dLbl>
              <c:idx val="7"/>
              <c:tx>
                <c:rich>
                  <a:bodyPr/>
                  <a:lstStyle/>
                  <a:p>
                    <a:fld id="{14867D40-5D1D-4301-BE33-EC0B6532454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3-4483-4F48-9F0E-8373DE6362A5}"/>
                </c:ext>
              </c:extLst>
            </c:dLbl>
            <c:dLbl>
              <c:idx val="8"/>
              <c:tx>
                <c:rich>
                  <a:bodyPr/>
                  <a:lstStyle/>
                  <a:p>
                    <a:fld id="{D25272A8-66CF-4A3D-BD6C-0C0050147F1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4-4483-4F48-9F0E-8373DE6362A5}"/>
                </c:ext>
              </c:extLst>
            </c:dLbl>
            <c:dLbl>
              <c:idx val="9"/>
              <c:tx>
                <c:rich>
                  <a:bodyPr/>
                  <a:lstStyle/>
                  <a:p>
                    <a:fld id="{015BDF5A-BC11-4A0C-A072-947489E1789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5-4483-4F48-9F0E-8373DE6362A5}"/>
                </c:ext>
              </c:extLst>
            </c:dLbl>
            <c:dLbl>
              <c:idx val="10"/>
              <c:tx>
                <c:rich>
                  <a:bodyPr/>
                  <a:lstStyle/>
                  <a:p>
                    <a:fld id="{76E119C3-7F57-4826-BDC3-845813605C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6-4483-4F48-9F0E-8373DE6362A5}"/>
                </c:ext>
              </c:extLst>
            </c:dLbl>
            <c:dLbl>
              <c:idx val="11"/>
              <c:tx>
                <c:rich>
                  <a:bodyPr/>
                  <a:lstStyle/>
                  <a:p>
                    <a:fld id="{E9708950-186E-4599-B372-D55EC1DAFB4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7-4483-4F48-9F0E-8373DE6362A5}"/>
                </c:ext>
              </c:extLst>
            </c:dLbl>
            <c:dLbl>
              <c:idx val="12"/>
              <c:tx>
                <c:rich>
                  <a:bodyPr/>
                  <a:lstStyle/>
                  <a:p>
                    <a:fld id="{02C87F7F-BFF3-475D-AF26-766683523A5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8-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HHIncome!$B$22:$N$22</c:f>
              <c:numCache>
                <c:formatCode>General</c:formatCode>
                <c:ptCount val="13"/>
                <c:pt idx="0">
                  <c:v>7045</c:v>
                </c:pt>
                <c:pt idx="1">
                  <c:v>6755</c:v>
                </c:pt>
                <c:pt idx="2">
                  <c:v>6420</c:v>
                </c:pt>
                <c:pt idx="3">
                  <c:v>6448</c:v>
                </c:pt>
                <c:pt idx="4">
                  <c:v>6084</c:v>
                </c:pt>
                <c:pt idx="5">
                  <c:v>6061</c:v>
                </c:pt>
                <c:pt idx="6">
                  <c:v>5911</c:v>
                </c:pt>
                <c:pt idx="7">
                  <c:v>6531</c:v>
                </c:pt>
                <c:pt idx="8">
                  <c:v>6527</c:v>
                </c:pt>
                <c:pt idx="9">
                  <c:v>6763</c:v>
                </c:pt>
                <c:pt idx="10">
                  <c:v>6464</c:v>
                </c:pt>
                <c:pt idx="11">
                  <c:v>6385</c:v>
                </c:pt>
                <c:pt idx="12">
                  <c:v>6048</c:v>
                </c:pt>
              </c:numCache>
            </c:numRef>
          </c:val>
          <c:extLst>
            <c:ext xmlns:c15="http://schemas.microsoft.com/office/drawing/2012/chart" uri="{02D57815-91ED-43cb-92C2-25804820EDAC}">
              <c15:datalabelsRange>
                <c15:f>HHIncome!$B$29:$N$29</c15:f>
                <c15:dlblRangeCache>
                  <c:ptCount val="13"/>
                  <c:pt idx="0">
                    <c:v>32%</c:v>
                  </c:pt>
                  <c:pt idx="1">
                    <c:v>31%</c:v>
                  </c:pt>
                  <c:pt idx="2">
                    <c:v>30%</c:v>
                  </c:pt>
                  <c:pt idx="3">
                    <c:v>30%</c:v>
                  </c:pt>
                  <c:pt idx="4">
                    <c:v>28%</c:v>
                  </c:pt>
                  <c:pt idx="5">
                    <c:v>28%</c:v>
                  </c:pt>
                  <c:pt idx="6">
                    <c:v>28%</c:v>
                  </c:pt>
                  <c:pt idx="7">
                    <c:v>30%</c:v>
                  </c:pt>
                  <c:pt idx="8">
                    <c:v>30%</c:v>
                  </c:pt>
                  <c:pt idx="9">
                    <c:v>31%</c:v>
                  </c:pt>
                  <c:pt idx="10">
                    <c:v>28%</c:v>
                  </c:pt>
                  <c:pt idx="11">
                    <c:v>27%</c:v>
                  </c:pt>
                  <c:pt idx="12">
                    <c:v>26%</c:v>
                  </c:pt>
                </c15:dlblRangeCache>
              </c15:datalabelsRange>
            </c:ext>
            <c:ext xmlns:c16="http://schemas.microsoft.com/office/drawing/2014/chart" uri="{C3380CC4-5D6E-409C-BE32-E72D297353CC}">
              <c16:uniqueId val="{00000029-4483-4F48-9F0E-8373DE6362A5}"/>
            </c:ext>
          </c:extLst>
        </c:ser>
        <c:ser>
          <c:idx val="3"/>
          <c:order val="3"/>
          <c:tx>
            <c:strRef>
              <c:f>HHIncome!$A$23</c:f>
              <c:strCache>
                <c:ptCount val="1"/>
                <c:pt idx="0">
                  <c:v>$100-200k</c:v>
                </c:pt>
              </c:strCache>
            </c:strRef>
          </c:tx>
          <c:spPr>
            <a:solidFill>
              <a:schemeClr val="accent4"/>
            </a:solidFill>
            <a:ln>
              <a:noFill/>
            </a:ln>
            <a:effectLst/>
          </c:spPr>
          <c:invertIfNegative val="0"/>
          <c:dLbls>
            <c:dLbl>
              <c:idx val="0"/>
              <c:tx>
                <c:rich>
                  <a:bodyPr/>
                  <a:lstStyle/>
                  <a:p>
                    <a:fld id="{D7AFB218-D67D-4B01-964A-CAC597BDD3E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A-4483-4F48-9F0E-8373DE6362A5}"/>
                </c:ext>
              </c:extLst>
            </c:dLbl>
            <c:dLbl>
              <c:idx val="1"/>
              <c:tx>
                <c:rich>
                  <a:bodyPr/>
                  <a:lstStyle/>
                  <a:p>
                    <a:fld id="{7A0895B2-D99B-443C-AF9A-D2862671E25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B-4483-4F48-9F0E-8373DE6362A5}"/>
                </c:ext>
              </c:extLst>
            </c:dLbl>
            <c:dLbl>
              <c:idx val="2"/>
              <c:tx>
                <c:rich>
                  <a:bodyPr/>
                  <a:lstStyle/>
                  <a:p>
                    <a:fld id="{18636292-4CFA-4FDE-B2F7-C6C41CBE69C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C-4483-4F48-9F0E-8373DE6362A5}"/>
                </c:ext>
              </c:extLst>
            </c:dLbl>
            <c:dLbl>
              <c:idx val="3"/>
              <c:tx>
                <c:rich>
                  <a:bodyPr/>
                  <a:lstStyle/>
                  <a:p>
                    <a:fld id="{275EDE43-B0A1-4716-934C-13781AC2F86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D-4483-4F48-9F0E-8373DE6362A5}"/>
                </c:ext>
              </c:extLst>
            </c:dLbl>
            <c:dLbl>
              <c:idx val="4"/>
              <c:tx>
                <c:rich>
                  <a:bodyPr/>
                  <a:lstStyle/>
                  <a:p>
                    <a:fld id="{01817108-9795-4428-B844-031F4A73127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E-4483-4F48-9F0E-8373DE6362A5}"/>
                </c:ext>
              </c:extLst>
            </c:dLbl>
            <c:dLbl>
              <c:idx val="5"/>
              <c:tx>
                <c:rich>
                  <a:bodyPr/>
                  <a:lstStyle/>
                  <a:p>
                    <a:fld id="{23480A46-FDAC-48ED-BF30-488B146EBB6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F-4483-4F48-9F0E-8373DE6362A5}"/>
                </c:ext>
              </c:extLst>
            </c:dLbl>
            <c:dLbl>
              <c:idx val="6"/>
              <c:tx>
                <c:rich>
                  <a:bodyPr/>
                  <a:lstStyle/>
                  <a:p>
                    <a:fld id="{1FC7848A-A7DC-4650-AEC9-A2DA6B34BB8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0-4483-4F48-9F0E-8373DE6362A5}"/>
                </c:ext>
              </c:extLst>
            </c:dLbl>
            <c:dLbl>
              <c:idx val="7"/>
              <c:tx>
                <c:rich>
                  <a:bodyPr/>
                  <a:lstStyle/>
                  <a:p>
                    <a:fld id="{8165FA76-0451-4BAF-8AEB-A14D3EFD529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1-4483-4F48-9F0E-8373DE6362A5}"/>
                </c:ext>
              </c:extLst>
            </c:dLbl>
            <c:dLbl>
              <c:idx val="8"/>
              <c:tx>
                <c:rich>
                  <a:bodyPr/>
                  <a:lstStyle/>
                  <a:p>
                    <a:fld id="{5DA39E6E-A31E-4B1A-B51A-7A92FAE5CEE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2-4483-4F48-9F0E-8373DE6362A5}"/>
                </c:ext>
              </c:extLst>
            </c:dLbl>
            <c:dLbl>
              <c:idx val="9"/>
              <c:tx>
                <c:rich>
                  <a:bodyPr/>
                  <a:lstStyle/>
                  <a:p>
                    <a:fld id="{47B8E7D1-1F6A-478C-B506-AF5F3D921F9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3-4483-4F48-9F0E-8373DE6362A5}"/>
                </c:ext>
              </c:extLst>
            </c:dLbl>
            <c:dLbl>
              <c:idx val="10"/>
              <c:tx>
                <c:rich>
                  <a:bodyPr/>
                  <a:lstStyle/>
                  <a:p>
                    <a:fld id="{8E5D7D38-42FC-456F-B99C-5E7517A8415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4-4483-4F48-9F0E-8373DE6362A5}"/>
                </c:ext>
              </c:extLst>
            </c:dLbl>
            <c:dLbl>
              <c:idx val="11"/>
              <c:tx>
                <c:rich>
                  <a:bodyPr/>
                  <a:lstStyle/>
                  <a:p>
                    <a:fld id="{9DC22743-0B10-4CCD-8F14-4CA9E199F439}"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5-4483-4F48-9F0E-8373DE6362A5}"/>
                </c:ext>
              </c:extLst>
            </c:dLbl>
            <c:dLbl>
              <c:idx val="12"/>
              <c:tx>
                <c:rich>
                  <a:bodyPr/>
                  <a:lstStyle/>
                  <a:p>
                    <a:fld id="{274DFDDB-5B23-494E-AFAD-2810E22A30D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6-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HHIncome!$B$23:$N$23</c:f>
              <c:numCache>
                <c:formatCode>General</c:formatCode>
                <c:ptCount val="13"/>
                <c:pt idx="0">
                  <c:v>3824</c:v>
                </c:pt>
                <c:pt idx="1">
                  <c:v>3889</c:v>
                </c:pt>
                <c:pt idx="2">
                  <c:v>4149</c:v>
                </c:pt>
                <c:pt idx="3">
                  <c:v>4269</c:v>
                </c:pt>
                <c:pt idx="4">
                  <c:v>4479</c:v>
                </c:pt>
                <c:pt idx="5">
                  <c:v>4589</c:v>
                </c:pt>
                <c:pt idx="6">
                  <c:v>4511</c:v>
                </c:pt>
                <c:pt idx="7">
                  <c:v>4185</c:v>
                </c:pt>
                <c:pt idx="8">
                  <c:v>4249</c:v>
                </c:pt>
                <c:pt idx="9">
                  <c:v>4627</c:v>
                </c:pt>
                <c:pt idx="10">
                  <c:v>5297</c:v>
                </c:pt>
                <c:pt idx="11">
                  <c:v>5905</c:v>
                </c:pt>
                <c:pt idx="12">
                  <c:v>5926</c:v>
                </c:pt>
              </c:numCache>
            </c:numRef>
          </c:val>
          <c:extLst>
            <c:ext xmlns:c15="http://schemas.microsoft.com/office/drawing/2012/chart" uri="{02D57815-91ED-43cb-92C2-25804820EDAC}">
              <c15:datalabelsRange>
                <c15:f>HHIncome!$B$30:$N$30</c15:f>
                <c15:dlblRangeCache>
                  <c:ptCount val="13"/>
                  <c:pt idx="0">
                    <c:v>17%</c:v>
                  </c:pt>
                  <c:pt idx="1">
                    <c:v>18%</c:v>
                  </c:pt>
                  <c:pt idx="2">
                    <c:v>19%</c:v>
                  </c:pt>
                  <c:pt idx="3">
                    <c:v>20%</c:v>
                  </c:pt>
                  <c:pt idx="4">
                    <c:v>21%</c:v>
                  </c:pt>
                  <c:pt idx="5">
                    <c:v>21%</c:v>
                  </c:pt>
                  <c:pt idx="6">
                    <c:v>21%</c:v>
                  </c:pt>
                  <c:pt idx="7">
                    <c:v>19%</c:v>
                  </c:pt>
                  <c:pt idx="8">
                    <c:v>20%</c:v>
                  </c:pt>
                  <c:pt idx="9">
                    <c:v>21%</c:v>
                  </c:pt>
                  <c:pt idx="10">
                    <c:v>23%</c:v>
                  </c:pt>
                  <c:pt idx="11">
                    <c:v>25%</c:v>
                  </c:pt>
                  <c:pt idx="12">
                    <c:v>26%</c:v>
                  </c:pt>
                </c15:dlblRangeCache>
              </c15:datalabelsRange>
            </c:ext>
            <c:ext xmlns:c16="http://schemas.microsoft.com/office/drawing/2014/chart" uri="{C3380CC4-5D6E-409C-BE32-E72D297353CC}">
              <c16:uniqueId val="{00000037-4483-4F48-9F0E-8373DE6362A5}"/>
            </c:ext>
          </c:extLst>
        </c:ser>
        <c:ser>
          <c:idx val="4"/>
          <c:order val="4"/>
          <c:tx>
            <c:strRef>
              <c:f>HHIncome!$A$24</c:f>
              <c:strCache>
                <c:ptCount val="1"/>
                <c:pt idx="0">
                  <c:v>Over $200k</c:v>
                </c:pt>
              </c:strCache>
            </c:strRef>
          </c:tx>
          <c:spPr>
            <a:solidFill>
              <a:schemeClr val="accent5"/>
            </a:solidFill>
            <a:ln>
              <a:noFill/>
            </a:ln>
            <a:effectLst/>
          </c:spPr>
          <c:invertIfNegative val="0"/>
          <c:dLbls>
            <c:dLbl>
              <c:idx val="0"/>
              <c:tx>
                <c:rich>
                  <a:bodyPr/>
                  <a:lstStyle/>
                  <a:p>
                    <a:fld id="{71651F04-8BA9-43C5-B1E7-18D3EB8B50F2}"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8-4483-4F48-9F0E-8373DE6362A5}"/>
                </c:ext>
              </c:extLst>
            </c:dLbl>
            <c:dLbl>
              <c:idx val="1"/>
              <c:tx>
                <c:rich>
                  <a:bodyPr/>
                  <a:lstStyle/>
                  <a:p>
                    <a:fld id="{58857A4C-86CB-441B-931F-79537F91335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9-4483-4F48-9F0E-8373DE6362A5}"/>
                </c:ext>
              </c:extLst>
            </c:dLbl>
            <c:dLbl>
              <c:idx val="2"/>
              <c:tx>
                <c:rich>
                  <a:bodyPr/>
                  <a:lstStyle/>
                  <a:p>
                    <a:fld id="{789DA2A2-8796-4D53-BBBA-A251C27CF90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A-4483-4F48-9F0E-8373DE6362A5}"/>
                </c:ext>
              </c:extLst>
            </c:dLbl>
            <c:dLbl>
              <c:idx val="3"/>
              <c:tx>
                <c:rich>
                  <a:bodyPr/>
                  <a:lstStyle/>
                  <a:p>
                    <a:fld id="{9EC0EAD3-FBE3-431A-8C6C-48D1D686D08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B-4483-4F48-9F0E-8373DE6362A5}"/>
                </c:ext>
              </c:extLst>
            </c:dLbl>
            <c:dLbl>
              <c:idx val="4"/>
              <c:tx>
                <c:rich>
                  <a:bodyPr/>
                  <a:lstStyle/>
                  <a:p>
                    <a:fld id="{2E05CC5E-F5AD-450B-B8DD-55A05D1C647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C-4483-4F48-9F0E-8373DE6362A5}"/>
                </c:ext>
              </c:extLst>
            </c:dLbl>
            <c:dLbl>
              <c:idx val="5"/>
              <c:tx>
                <c:rich>
                  <a:bodyPr/>
                  <a:lstStyle/>
                  <a:p>
                    <a:fld id="{6CBF0A91-7C18-4255-B412-52FA0DE2B2D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D-4483-4F48-9F0E-8373DE6362A5}"/>
                </c:ext>
              </c:extLst>
            </c:dLbl>
            <c:dLbl>
              <c:idx val="6"/>
              <c:tx>
                <c:rich>
                  <a:bodyPr/>
                  <a:lstStyle/>
                  <a:p>
                    <a:fld id="{9122805C-0BB8-42CE-960D-A6F634D2AB6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E-4483-4F48-9F0E-8373DE6362A5}"/>
                </c:ext>
              </c:extLst>
            </c:dLbl>
            <c:dLbl>
              <c:idx val="7"/>
              <c:tx>
                <c:rich>
                  <a:bodyPr/>
                  <a:lstStyle/>
                  <a:p>
                    <a:fld id="{529ED142-7C5B-48DA-928F-DBCC2FCC9FB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F-4483-4F48-9F0E-8373DE6362A5}"/>
                </c:ext>
              </c:extLst>
            </c:dLbl>
            <c:dLbl>
              <c:idx val="8"/>
              <c:tx>
                <c:rich>
                  <a:bodyPr/>
                  <a:lstStyle/>
                  <a:p>
                    <a:fld id="{52835DE9-449C-442E-A8F6-D3AFE98F6C92}"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0-4483-4F48-9F0E-8373DE6362A5}"/>
                </c:ext>
              </c:extLst>
            </c:dLbl>
            <c:dLbl>
              <c:idx val="9"/>
              <c:tx>
                <c:rich>
                  <a:bodyPr/>
                  <a:lstStyle/>
                  <a:p>
                    <a:fld id="{0FD096ED-3D4B-451F-92F0-8C2D4D40BD4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1-4483-4F48-9F0E-8373DE6362A5}"/>
                </c:ext>
              </c:extLst>
            </c:dLbl>
            <c:dLbl>
              <c:idx val="10"/>
              <c:tx>
                <c:rich>
                  <a:bodyPr/>
                  <a:lstStyle/>
                  <a:p>
                    <a:fld id="{C0BF5FA8-BEF6-4B88-A5A1-DC7E38FB5E7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2-4483-4F48-9F0E-8373DE6362A5}"/>
                </c:ext>
              </c:extLst>
            </c:dLbl>
            <c:dLbl>
              <c:idx val="11"/>
              <c:tx>
                <c:rich>
                  <a:bodyPr/>
                  <a:lstStyle/>
                  <a:p>
                    <a:fld id="{8013AB28-8229-4483-B44A-1B8F3ABC5D9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3-4483-4F48-9F0E-8373DE6362A5}"/>
                </c:ext>
              </c:extLst>
            </c:dLbl>
            <c:dLbl>
              <c:idx val="12"/>
              <c:tx>
                <c:rich>
                  <a:bodyPr/>
                  <a:lstStyle/>
                  <a:p>
                    <a:fld id="{8D0B12B6-137B-46AF-8E30-B8A7E00A691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4-4483-4F48-9F0E-8373DE6362A5}"/>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HHIncome!$B$24:$N$24</c:f>
              <c:numCache>
                <c:formatCode>General</c:formatCode>
                <c:ptCount val="13"/>
                <c:pt idx="0">
                  <c:v>1283</c:v>
                </c:pt>
                <c:pt idx="1">
                  <c:v>1087</c:v>
                </c:pt>
                <c:pt idx="2">
                  <c:v>942</c:v>
                </c:pt>
                <c:pt idx="3">
                  <c:v>895</c:v>
                </c:pt>
                <c:pt idx="4">
                  <c:v>968</c:v>
                </c:pt>
                <c:pt idx="5">
                  <c:v>1174</c:v>
                </c:pt>
                <c:pt idx="6">
                  <c:v>1405</c:v>
                </c:pt>
                <c:pt idx="7">
                  <c:v>1800</c:v>
                </c:pt>
                <c:pt idx="8">
                  <c:v>2146</c:v>
                </c:pt>
                <c:pt idx="9">
                  <c:v>2339</c:v>
                </c:pt>
                <c:pt idx="10">
                  <c:v>3274</c:v>
                </c:pt>
                <c:pt idx="11">
                  <c:v>3800</c:v>
                </c:pt>
                <c:pt idx="12">
                  <c:v>4588</c:v>
                </c:pt>
              </c:numCache>
            </c:numRef>
          </c:val>
          <c:extLst>
            <c:ext xmlns:c15="http://schemas.microsoft.com/office/drawing/2012/chart" uri="{02D57815-91ED-43cb-92C2-25804820EDAC}">
              <c15:datalabelsRange>
                <c15:f>HHIncome!$B$31:$N$31</c15:f>
                <c15:dlblRangeCache>
                  <c:ptCount val="13"/>
                  <c:pt idx="0">
                    <c:v>6%</c:v>
                  </c:pt>
                  <c:pt idx="1">
                    <c:v>5%</c:v>
                  </c:pt>
                  <c:pt idx="2">
                    <c:v>4%</c:v>
                  </c:pt>
                  <c:pt idx="3">
                    <c:v>4%</c:v>
                  </c:pt>
                  <c:pt idx="4">
                    <c:v>4%</c:v>
                  </c:pt>
                  <c:pt idx="5">
                    <c:v>5%</c:v>
                  </c:pt>
                  <c:pt idx="6">
                    <c:v>7%</c:v>
                  </c:pt>
                  <c:pt idx="7">
                    <c:v>8%</c:v>
                  </c:pt>
                  <c:pt idx="8">
                    <c:v>10%</c:v>
                  </c:pt>
                  <c:pt idx="9">
                    <c:v>11%</c:v>
                  </c:pt>
                  <c:pt idx="10">
                    <c:v>14%</c:v>
                  </c:pt>
                  <c:pt idx="11">
                    <c:v>16%</c:v>
                  </c:pt>
                  <c:pt idx="12">
                    <c:v>20%</c:v>
                  </c:pt>
                </c15:dlblRangeCache>
              </c15:datalabelsRange>
            </c:ext>
            <c:ext xmlns:c16="http://schemas.microsoft.com/office/drawing/2014/chart" uri="{C3380CC4-5D6E-409C-BE32-E72D297353CC}">
              <c16:uniqueId val="{00000045-4483-4F48-9F0E-8373DE6362A5}"/>
            </c:ext>
          </c:extLst>
        </c:ser>
        <c:dLbls>
          <c:dLblPos val="ctr"/>
          <c:showLegendKey val="0"/>
          <c:showVal val="1"/>
          <c:showCatName val="0"/>
          <c:showSerName val="0"/>
          <c:showPercent val="0"/>
          <c:showBubbleSize val="0"/>
        </c:dLbls>
        <c:gapWidth val="50"/>
        <c:overlap val="100"/>
        <c:axId val="1152048816"/>
        <c:axId val="1152044496"/>
      </c:barChart>
      <c:catAx>
        <c:axId val="1152048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044496"/>
        <c:crosses val="autoZero"/>
        <c:auto val="1"/>
        <c:lblAlgn val="ctr"/>
        <c:lblOffset val="100"/>
        <c:noMultiLvlLbl val="0"/>
      </c:catAx>
      <c:valAx>
        <c:axId val="11520444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048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0.94228</cdr:y>
    </cdr:from>
    <cdr:to>
      <cdr:x>0.13445</cdr:x>
      <cdr:y>1</cdr:y>
    </cdr:to>
    <cdr:sp macro="" textlink="">
      <cdr:nvSpPr>
        <cdr:cNvPr id="2" name="TextBox 1">
          <a:extLst xmlns:a="http://schemas.openxmlformats.org/drawingml/2006/main">
            <a:ext uri="{FF2B5EF4-FFF2-40B4-BE49-F238E27FC236}">
              <a16:creationId xmlns:a16="http://schemas.microsoft.com/office/drawing/2014/main" id="{4E84B97B-693C-4873-A85B-ECD67963D051}"/>
            </a:ext>
          </a:extLst>
        </cdr:cNvPr>
        <cdr:cNvSpPr txBox="1"/>
      </cdr:nvSpPr>
      <cdr:spPr>
        <a:xfrm xmlns:a="http://schemas.openxmlformats.org/drawingml/2006/main">
          <a:off x="0" y="3109913"/>
          <a:ext cx="914400" cy="190499"/>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600">
              <a:solidFill>
                <a:sysClr val="windowText" lastClr="000000"/>
              </a:solidFill>
            </a:rPr>
            <a:t>Source: Reno-Tahoe Airport Authority, Reno-Tahoe Internatiional Airport: Passengers and Cargo Statistics Reports 2006-2023, https://www.renoairport.com/airport-authority/facts-figures/statistics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8bd0769-5112-46a0-ad00-7604baffafb1">
      <Terms xmlns="http://schemas.microsoft.com/office/infopath/2007/PartnerControls"/>
    </lcf76f155ced4ddcb4097134ff3c332f>
    <TaxCatchAll xmlns="eeeda6b4-2fb8-4936-93d1-a7d2278e1d6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Dou24</b:Tag>
    <b:SourceType>Misc</b:SourceType>
    <b:Guid>{F9BD4F94-2868-4D4E-B14C-B758429C40C7}</b:Guid>
    <b:Title>Chapter 20.622: Lake Tahoe Vacation Home Rentals</b:Title>
    <b:Year>2024</b:Year>
    <b:Month>March</b:Month>
    <b:Day>21</b:Day>
    <b:URL>https://www.douglascountynv.gov/common/pages/DownloadFileByUrl.aspx?key=Saa9swlNqveUYCQRdoh9q6nHI4aw3oLFXiatih5MFm5SIGRV3cTmKuWcX%2f%2bel8qQwh2ceV0q8iKNsz52mT9Oz5X8MpJMUaxgXopGsO0fimm9EiFcmvaC6Utgv9XvNa2ZYC%2buVUaaZBRBn570fSbtJmfBpgnLWZjbkuVsmolx%2bxoMv64</b:URL>
    <b:PublicationTitle>Douglas County Code</b:PublicationTitle>
    <b:City>Minden</b:City>
    <b:StateProvince>Nevada</b:StateProvince>
    <b:Publisher>Douglas County</b:Publisher>
    <b:Author>
      <b:Author>
        <b:Corporate>Douglas County Board of County Commissioners</b:Corporate>
      </b:Author>
    </b:Author>
    <b:RefOrder>4</b:RefOrder>
  </b:Source>
  <b:Source>
    <b:Tag>ElD</b:Tag>
    <b:SourceType>InternetSite</b:SourceType>
    <b:Guid>{4A74CA7B-4400-4210-8F1F-241971EBC545}</b:Guid>
    <b:Title>VHR Ordinance Information</b:Title>
    <b:Author>
      <b:Author>
        <b:Corporate>El Dorado County</b:Corporate>
      </b:Author>
    </b:Author>
    <b:InternetSiteTitle>El Dorado County</b:InternetSiteTitle>
    <b:URL>https://www.eldoradocounty.ca.gov/Services/My-Property/Vacation-Home-Rentals-Division/VHR-Ordinance-Information</b:URL>
    <b:RefOrder>5</b:RefOrder>
  </b:Source>
  <b:Source>
    <b:Tag>MT</b:Tag>
    <b:SourceType>InternetSite</b:SourceType>
    <b:Guid>{BE46A33E-2869-4DDE-B4E3-6D108D46AE20}</b:Guid>
    <b:Title>Measure T</b:Title>
    <b:InternetSiteTitle>City of South Lake Tahoe</b:InternetSiteTitle>
    <b:URL>https://cityofslt.us/2418/Measure-T</b:URL>
    <b:Author>
      <b:Author>
        <b:Corporate>City of South Lake Tahoe</b:Corporate>
      </b:Author>
    </b:Author>
    <b:RefOrder>3</b:RefOrder>
  </b:Source>
  <b:Source>
    <b:Tag>Pla24</b:Tag>
    <b:SourceType>InternetSite</b:SourceType>
    <b:Guid>{634D4C61-9187-4C2A-A65D-8961AD9D3113}</b:Guid>
    <b:Author>
      <b:Author>
        <b:Corporate>Placer County Code Enforcement Services</b:Corporate>
      </b:Author>
    </b:Author>
    <b:Title>Short-Term Vacation Rental Program</b:Title>
    <b:InternetSiteTitle>Placer County Community Development Resource Agence</b:InternetSiteTitle>
    <b:Year>2024</b:Year>
    <b:URL>https://www.placer.ca.gov/6109/Short-Term-Rental-Program</b:URL>
    <b:RefOrder>6</b:RefOrder>
  </b:Source>
  <b:Source>
    <b:Tag>Was24</b:Tag>
    <b:SourceType>InternetSite</b:SourceType>
    <b:Guid>{D55A6EC5-D8C0-4B89-9974-F83921625F57}</b:Guid>
    <b:Author>
      <b:Author>
        <b:Corporate>Washoe County Community Services Department</b:Corporate>
      </b:Author>
    </b:Author>
    <b:Title>Short Term Rentals</b:Title>
    <b:InternetSiteTitle>Washoe County, Nevada</b:InternetSiteTitle>
    <b:Year>2024</b:Year>
    <b:Month>July</b:Month>
    <b:Day>1</b:Day>
    <b:URL>https://www.washoecounty.gov/csd/planning_and_development/short_term_rentals/index.php</b:URL>
    <b:RefOrder>7</b:RefOrder>
  </b:Source>
  <b:Source>
    <b:Tag>USD23</b:Tag>
    <b:SourceType>Report</b:SourceType>
    <b:Guid>{C0AF02B1-CF5E-499C-AE65-01C1973C8681}</b:Guid>
    <b:Title>H14: Occupied Housing Units</b:Title>
    <b:Year>2023</b:Year>
    <b:Author>
      <b:Author>
        <b:Corporate>U.S. Department of Commerce</b:Corporate>
      </b:Author>
    </b:Author>
    <b:City>Washington, DC</b:City>
    <b:RefOrder>2</b:RefOrder>
  </b:Source>
  <b:Source>
    <b:Tag>USD22</b:Tag>
    <b:SourceType>Report</b:SourceType>
    <b:Guid>{2C250EF8-AD62-4964-923C-0AA113DF6AE7}</b:Guid>
    <b:Author>
      <b:Author>
        <b:Corporate>U.S. Department of Commerce</b:Corporate>
      </b:Author>
    </b:Author>
    <b:Title>American Community Survey</b:Title>
    <b:Year>2022</b:Year>
    <b:City>Washington, DC</b:City>
    <b:RefOrder>1</b:RefOrder>
  </b:Source>
  <b:Source>
    <b:Tag>Sac22</b:Tag>
    <b:SourceType>Report</b:SourceType>
    <b:Guid>{3DDEA450-26C4-4CF4-93A8-A2E14F6F2B3E}</b:Guid>
    <b:Author>
      <b:Author>
        <b:Corporate>Sacramento Area Council of Governments</b:Corporate>
      </b:Author>
    </b:Author>
    <b:Title>Sacramento Region Draft Growth Projections</b:Title>
    <b:Year>2022</b:Year>
    <b:City>Sacramento, California</b:City>
    <b:RefOrder>8</b:RefOrder>
  </b:Source>
  <b:Source>
    <b:Tag>Ass21</b:Tag>
    <b:SourceType>Report</b:SourceType>
    <b:Guid>{FF91AB4D-BFDF-4707-93C6-8D5AD1CE2A4C}</b:Guid>
    <b:Author>
      <b:Author>
        <b:Corporate>Association of Bay Area Governments</b:Corporate>
      </b:Author>
    </b:Author>
    <b:Title>Plan Bay Area 2050 Forecasting and Modeling Report</b:Title>
    <b:Year>2021</b:Year>
    <b:City>San Francisco</b:City>
    <b:RefOrder>9</b:RefOrder>
  </b:Source>
  <b:Source>
    <b:Tag>Reg24</b:Tag>
    <b:SourceType>Report</b:SourceType>
    <b:Guid>{7E74F94B-9AA6-40E1-B405-C3D59AE74709}</b:Guid>
    <b:Author>
      <b:Author>
        <b:Corporate>Regional Transportation Commission of Washoe County</b:Corporate>
      </b:Author>
    </b:Author>
    <b:Title>2050 Regional Transportation Plan</b:Title>
    <b:Year>2024</b:Year>
    <b:City>Reno, Nevada</b:City>
    <b:RefOrder>10</b:RefOrder>
  </b:Source>
  <b:Source>
    <b:Tag>Car24</b:Tag>
    <b:SourceType>Report</b:SourceType>
    <b:Guid>{1CF09FA3-E366-4497-BF84-0C4BAC6E1CFB}</b:Guid>
    <b:Author>
      <b:Author>
        <b:Corporate>Carson Area Metropolitan Planning Organization</b:Corporate>
      </b:Author>
    </b:Author>
    <b:Title>2050 Regional Transportation Plan</b:Title>
    <b:Year>2024</b:Year>
    <b:City>Carson City, Nevada</b:City>
    <b:RefOrder>11</b:RefOrder>
  </b:Source>
  <b:Source>
    <b:Tag>Ren24</b:Tag>
    <b:SourceType>InternetSite</b:SourceType>
    <b:Guid>{BDB11D47-DAF5-4DB7-81DA-12C0A6ACC0FD}</b:Guid>
    <b:Author>
      <b:Author>
        <b:Corporate>Reno-Tahoe Airport Authority</b:Corporate>
      </b:Author>
    </b:Author>
    <b:Title>About the Reno-Tahoe Airport Authority</b:Title>
    <b:Year>2024</b:Year>
    <b:InternetSiteTitle>Reno-Tahoe International Airport</b:InternetSiteTitle>
    <b:Month>October</b:Month>
    <b:URL>https://www.renoairport.com/airport-authority/about/</b:URL>
    <b:RefOrder>12</b:RefOrder>
  </b:Source>
  <b:Source>
    <b:Tag>Nev23</b:Tag>
    <b:SourceType>InternetSite</b:SourceType>
    <b:Guid>{E22665AF-3955-4E79-895D-0C0FC960523C}</b:Guid>
    <b:Author>
      <b:Author>
        <b:Corporate>Nevada Department of Education</b:Corporate>
      </b:Author>
    </b:Author>
    <b:Title>Enrollment for Nevada Public Schools</b:Title>
    <b:InternetSiteTitle>Nevada Department of Education</b:InternetSiteTitle>
    <b:Year>2023</b:Year>
    <b:URL>https://doe.nv.gov/datacenter/enrollment-data/</b:URL>
    <b:RefOrder>14</b:RefOrder>
  </b:Source>
  <b:Source>
    <b:Tag>Cal24</b:Tag>
    <b:SourceType>InternetSite</b:SourceType>
    <b:Guid>{FBA7A11C-DF9F-43F0-8F17-6E010D6832CA}</b:Guid>
    <b:Author>
      <b:Author>
        <b:Corporate>California Department of Education</b:Corporate>
      </b:Author>
    </b:Author>
    <b:Title>https://www.cde.ca.gov/ds/ad/edtop.asp</b:Title>
    <b:InternetSiteTitle>California Department of Education</b:InternetSiteTitle>
    <b:Year>2024</b:Year>
    <b:Month>May</b:Month>
    <b:Day>16</b:Day>
    <b:URL>https://www.cde.ca.gov/ds/ad/edtop.asp</b:URL>
    <b:RefOrder>13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E2CFEF5370A3374299C04CB9CF3FF462" ma:contentTypeVersion="13" ma:contentTypeDescription="Create a new document." ma:contentTypeScope="" ma:versionID="020f7350339694e7190c16deaebba268">
  <xsd:schema xmlns:xsd="http://www.w3.org/2001/XMLSchema" xmlns:xs="http://www.w3.org/2001/XMLSchema" xmlns:p="http://schemas.microsoft.com/office/2006/metadata/properties" xmlns:ns2="d8bd0769-5112-46a0-ad00-7604baffafb1" xmlns:ns3="eeeda6b4-2fb8-4936-93d1-a7d2278e1d67" targetNamespace="http://schemas.microsoft.com/office/2006/metadata/properties" ma:root="true" ma:fieldsID="1599352c3c8239503f80a4c03c5e98a0" ns2:_="" ns3:_="">
    <xsd:import namespace="d8bd0769-5112-46a0-ad00-7604baffafb1"/>
    <xsd:import namespace="eeeda6b4-2fb8-4936-93d1-a7d2278e1d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d0769-5112-46a0-ad00-7604baffa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5275bea-d2d5-48ff-9e03-e3cfe37ae2f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eda6b4-2fb8-4936-93d1-a7d2278e1d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ffc650-8c3e-4953-9d21-d25c25485823}" ma:internalName="TaxCatchAll" ma:showField="CatchAllData" ma:web="eeeda6b4-2fb8-4936-93d1-a7d2278e1d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B60E94-7A66-4B17-895C-F68D31831D5D}">
  <ds:schemaRefs>
    <ds:schemaRef ds:uri="http://schemas.microsoft.com/sharepoint/v3/contenttype/forms"/>
  </ds:schemaRefs>
</ds:datastoreItem>
</file>

<file path=customXml/itemProps2.xml><?xml version="1.0" encoding="utf-8"?>
<ds:datastoreItem xmlns:ds="http://schemas.openxmlformats.org/officeDocument/2006/customXml" ds:itemID="{85CCC231-E81D-4BBE-B86F-2A3D226961CA}">
  <ds:schemaRefs>
    <ds:schemaRef ds:uri="http://schemas.microsoft.com/office/2006/metadata/properties"/>
    <ds:schemaRef ds:uri="http://schemas.microsoft.com/office/infopath/2007/PartnerControls"/>
    <ds:schemaRef ds:uri="d8bd0769-5112-46a0-ad00-7604baffafb1"/>
    <ds:schemaRef ds:uri="eeeda6b4-2fb8-4936-93d1-a7d2278e1d67"/>
  </ds:schemaRefs>
</ds:datastoreItem>
</file>

<file path=customXml/itemProps3.xml><?xml version="1.0" encoding="utf-8"?>
<ds:datastoreItem xmlns:ds="http://schemas.openxmlformats.org/officeDocument/2006/customXml" ds:itemID="{6B04A2E1-57B9-4EED-8897-455B0A34C6B9}">
  <ds:schemaRefs>
    <ds:schemaRef ds:uri="http://schemas.openxmlformats.org/officeDocument/2006/bibliography"/>
  </ds:schemaRefs>
</ds:datastoreItem>
</file>

<file path=customXml/itemProps4.xml><?xml version="1.0" encoding="utf-8"?>
<ds:datastoreItem xmlns:ds="http://schemas.openxmlformats.org/officeDocument/2006/customXml" ds:itemID="{718797AB-090B-4E5D-9AF6-A7F57CA5B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d0769-5112-46a0-ad00-7604baffafb1"/>
    <ds:schemaRef ds:uri="eeeda6b4-2fb8-4936-93d1-a7d2278e1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21</Pages>
  <Words>6299</Words>
  <Characters>35908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42123</CharactersWithSpaces>
  <SharedDoc>false</SharedDoc>
  <HLinks>
    <vt:vector size="30" baseType="variant">
      <vt:variant>
        <vt:i4>3014717</vt:i4>
      </vt:variant>
      <vt:variant>
        <vt:i4>3</vt:i4>
      </vt:variant>
      <vt:variant>
        <vt:i4>0</vt:i4>
      </vt:variant>
      <vt:variant>
        <vt:i4>5</vt:i4>
      </vt:variant>
      <vt:variant>
        <vt:lpwstr>https://www.placer.ca.gov/3396/Housing</vt:lpwstr>
      </vt:variant>
      <vt:variant>
        <vt:lpwstr/>
      </vt:variant>
      <vt:variant>
        <vt:i4>262162</vt:i4>
      </vt:variant>
      <vt:variant>
        <vt:i4>0</vt:i4>
      </vt:variant>
      <vt:variant>
        <vt:i4>0</vt:i4>
      </vt:variant>
      <vt:variant>
        <vt:i4>5</vt:i4>
      </vt:variant>
      <vt:variant>
        <vt:lpwstr>https://tahoe.ca.gov/programs/tahoe-livable-communities/asset-land-sales/</vt:lpwstr>
      </vt:variant>
      <vt:variant>
        <vt:lpwstr/>
      </vt:variant>
      <vt:variant>
        <vt:i4>4849772</vt:i4>
      </vt:variant>
      <vt:variant>
        <vt:i4>6</vt:i4>
      </vt:variant>
      <vt:variant>
        <vt:i4>0</vt:i4>
      </vt:variant>
      <vt:variant>
        <vt:i4>5</vt:i4>
      </vt:variant>
      <vt:variant>
        <vt:lpwstr>mailto:rshaw@trpa.gov</vt:lpwstr>
      </vt:variant>
      <vt:variant>
        <vt:lpwstr/>
      </vt:variant>
      <vt:variant>
        <vt:i4>2555916</vt:i4>
      </vt:variant>
      <vt:variant>
        <vt:i4>3</vt:i4>
      </vt:variant>
      <vt:variant>
        <vt:i4>0</vt:i4>
      </vt:variant>
      <vt:variant>
        <vt:i4>5</vt:i4>
      </vt:variant>
      <vt:variant>
        <vt:lpwstr>mailto:jschmid@trpa.gov</vt:lpwstr>
      </vt:variant>
      <vt:variant>
        <vt:lpwstr/>
      </vt:variant>
      <vt:variant>
        <vt:i4>3342351</vt:i4>
      </vt:variant>
      <vt:variant>
        <vt:i4>0</vt:i4>
      </vt:variant>
      <vt:variant>
        <vt:i4>0</vt:i4>
      </vt:variant>
      <vt:variant>
        <vt:i4>5</vt:i4>
      </vt:variant>
      <vt:variant>
        <vt:lpwstr>mailto:kkasman@trpa.org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Schmid</dc:creator>
  <cp:keywords/>
  <dc:description/>
  <cp:lastModifiedBy>Andrew McClary</cp:lastModifiedBy>
  <cp:revision>3</cp:revision>
  <cp:lastPrinted>2025-06-20T17:01:00Z</cp:lastPrinted>
  <dcterms:created xsi:type="dcterms:W3CDTF">2026-06-02T19:20:00Z</dcterms:created>
  <dcterms:modified xsi:type="dcterms:W3CDTF">2026-06-02T19:21:00Z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id="iws5FfrV"/&gt;&lt;style id="http://www.zotero.org/styles/conservation-biology"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y fmtid="{D5CDD505-2E9C-101B-9397-08002B2CF9AE}" pid="4" name="ContentTypeId">
    <vt:lpwstr>0x010100E2CFEF5370A3374299C04CB9CF3FF462</vt:lpwstr>
  </property>
  <property fmtid="{D5CDD505-2E9C-101B-9397-08002B2CF9AE}" pid="5" name="MediaServiceImageTags">
    <vt:lpwstr/>
  </property>
  <property fmtid="{D5CDD505-2E9C-101B-9397-08002B2CF9AE}" pid="6" name="GrammarlyDocumentId">
    <vt:lpwstr>a82324ab-7766-45ab-b2dd-116007c34c8b</vt:lpwstr>
  </property>
</Properties>
</file>