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TK–8 Special Education teacher with 26+ years of experience across Special Day Class (SDC) and Resource Specialist Program (RSP)/Inclusion settings. Known for aligning instruction with real-time classroom demands, IEP implementation, and measurable student progress. Serves as a Chapman University Field Supervisor, evaluating credential candidates using California Teaching Performance Assessment (CalTPA) and Teaching Performance Expectations (TPEs), including formal completion recommendations.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Olive caseload across Special Day Class (SDC) and Resource Specialist Program (RSP) inclusion in whole group, small group, and pull-aside blocks.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Tracks Multi-Tiered System of Supports (MTSS) and Response to Intervention (RTI) data to tighten or loosen scaffolds based on student response.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entry points stay clear when progress quickens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it. Recommendations match what teams observed in the field.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Volunteered in fifth grade during a career pivot, reinforcing lessons and routines beside the classroom teacher.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 with stations, materials, and rotations, keeping each class on schedule.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weekly fifth-grade and special education reading probes so teams could adjust interventions from current data.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