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200" w:lineRule="auto" w:line="276"/>
        <w:jc w:val="center"/>
      </w:pPr>
      <w:r>
        <w:rPr>
          <w:rFonts w:ascii="Calibri" w:hAnsi="Calibri"/>
          <w:sz w:val="21"/>
        </w:rPr>
        <w:t>Mission Viejo, CA 92692 | 949.556.5378 | [NEEDS CONFIRMATION: email]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SUMMARY</w:t>
      </w:r>
    </w:p>
    <w:p>
      <w:pPr>
        <w:spacing w:after="100" w:lineRule="auto" w:line="276"/>
      </w:pPr>
      <w:r>
        <w:rPr>
          <w:rFonts w:ascii="Calibri" w:hAnsi="Calibri"/>
          <w:sz w:val="21"/>
        </w:rPr>
        <w:t>TK–8 Education Specialist (SDC + RSP/Inclusion), 26+ years across public and private schools; Clear Mild/Moderate credential and M.A. Special Education (Chapman, 2018).</w:t>
      </w:r>
    </w:p>
    <w:p>
      <w:pPr>
        <w:spacing w:after="100" w:lineRule="auto" w:line="276"/>
      </w:pPr>
      <w:r>
        <w:rPr>
          <w:rFonts w:ascii="Calibri" w:hAnsi="Calibri"/>
          <w:sz w:val="21"/>
        </w:rPr>
        <w:t>Chapman Field Supervisor: formal evaluator for Special Education and Multiple Subject candidates (CalTPA + California’s 13 TPEs) with program completion recommendation authority, including documented approval and non-approval decisions.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evaluator: CalTPA + 13 TPEs evidence; recommends completion via approval or non-approval.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OUSD Olive: concurrent SDC + RSP/Inclusion ties IEP goals and co-teaching to bell-to-bell reality.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English: two-year move from avoidance to engagement; later novel electives—student-cited turning point (privacy-safe).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Chino Anna Borba: two high-risk-profile students—trust rebuilt; families back at school; formative student reflections (privacy-safe).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CUSD Riley Elementary volunteer: Revolutionary War walk-through at scale; reading data drove fifth-grade and SPED intervention cycles.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Chino grades 1–6: Master Teacher, RTI, SELPA behavior team, science fair, SSC, textbook adoption—cross-site scope.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100" w:lineRule="auto" w:line="276"/>
      </w:pPr>
      <w:r>
        <w:rPr>
          <w:rFonts w:ascii="Calibri" w:hAnsi="Calibri"/>
          <w:sz w:val="21"/>
        </w:rPr>
        <w:t>SDC &amp; RSP/Inclusion | IEP development &amp; compliance | MTSS/RTI teaming | UDL-informed instruction | Progress monitoring &amp; assessment | Family partnership | Paraprofessional leadership | Formal observation &amp; written evaluation (13 TPEs) | CalTPA-aligned coaching | Site &amp; district committees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Mild/Moderate — June 2019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Multiple Subject Teaching Credential — Renewal January 1, 2021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IB PYP — March 2007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CLAD — November 2006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80" w:lineRule="auto" w:line="276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Olive Elementary: SDC + RSP/Inclusion programming keeps models, minutes, and measurable goals aligned across formats.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MTSS/RTI + UDL: progress data drives timely scaffold shifts; preserves grade-level access when evidence supports it.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Gen-ed co-planning lands inclusion in live lessons—tightens IEP-to-classroom execution.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Family communication rhythms on goals, behaviors, and IEP windows surface momentum before meetings.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Transition routines and para coverage stabilize participation and protect core instructional minutes.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Represents caseload students when site or district decisions reset services, placements, or trajectories.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candidates, holding formal evaluation authority alongside structured coaching across clinical practice and student teaching.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Anchors written and conference feedback to California’s 13 TPEs and CalTPA milestones—lesson design, differentiation, classroom management, assessment, and portfolio requirements.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post-conferences; records formative and summative judgments with evidence and specific next steps candidates can implement immediately.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Coordinates with mentor teachers and program leadership on concerns, documentation quality, and placement fitness while upholding confidentiality and ethical practice.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Participates in program evaluation meetings where readiness for added responsibility and milestone completion are decided.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program-level readiness recommendations for credential advancement and completion, including approval and non-approval outcomes tied to documented performance.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Delivered small-group and one-to-one support for students with disabilities under the education specialist’s direction, keeping students on IEP-aligned tasks and classroom routines.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Handled materials, transitions, and assigned supervision during structured non-instructional periods so instruction could stay focused.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Volunteer — Fifth-Grade Classroom &amp; Special Education Support | Capistrano Unified School District, Riley Elementary | Capistrano Valley, CA | June 2013 – March 2016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Volunteered in a fifth-grade classroom during a career transition, reinforcing instruction and daily routines alongside the classroom teacher.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Planned and led a schoolwide fifth-grade Revolutionary War walk-through, coordinating stations, materials, and rotations for the full grade level.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weekly fifth-grade reading assessments and supported Special Education department reading assessments so teams could adjust interventions and maintain clear records.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junior high English with schoolwide curriculum responsibilities and individualized academic plans for students with elevated learning needs.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individualized programming spanning elementary and junior high levels.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Sponsored regional speech, spelling, and creative writing participation through ACSI-related programs.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Reluctant reader outcome (privacy-safe): supported a multi-year shift from reading avoidance to engagement; the student later chose high school novel-study electives and credited the earlier confidence foundation.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multiple grade levels—including a 1/2 combination and extended assignments in fifth and sixth grades—while serving as fifth-grade Master Teacher and Grade Level Coordinator and partnering with the resource specialist on inclusion-style instruction.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Specialized Academic &amp; Behavior Intervention Team (West End SELPA trained); supported schoolwide Conflict Managers training (West End SELPA program).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schoolwide science fair programming; participated in School Site Council, district textbook adoption, PQR team training, and collaborative DARE instruction with the Chino Police Department; completed IB Early Primary Years training and certification.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Two-student outcome (privacy-safe): supported two students often labeled as behavior concerns through relationship-first check-ins, barrier reduction, and interest-based engagement; strengthened family partnership and long-horizon trajectories without sharing identifying details.</w:t>
      </w:r>
    </w:p>
    <w:p>
      <w:pPr>
        <w:spacing w:before="160" w:after="80" w:lineRule="auto" w:line="276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Delivered daily sixth-grade instruction with curriculum development responsibilities and academic intervention supports.</w:t>
      </w:r>
    </w:p>
    <w:p>
      <w:pPr>
        <w:spacing w:after="80" w:lineRule="auto" w:line="276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schoolwide science fair programming and collaborative DARE instruction with the Chino Police Department.</w:t>
      </w:r>
    </w:p>
    <w:p>
      <w:pPr>
        <w:spacing w:before="200" w:after="80" w:lineRule="auto" w:line="276"/>
      </w:pPr>
      <w:r>
        <w:rPr>
          <w:rFonts w:ascii="Calibri" w:hAnsi="Calibri"/>
          <w:b/>
          <w:sz w:val="22"/>
        </w:rPr>
        <w:t>EDUCATION</w:t>
      </w:r>
    </w:p>
    <w:p>
      <w:pPr>
        <w:spacing w:after="40" w:lineRule="auto" w:line="276"/>
      </w:pPr>
      <w:r>
        <w:rPr>
          <w:rFonts w:ascii="Calibri" w:hAnsi="Calibri"/>
          <w:b/>
          <w:sz w:val="21"/>
        </w:rPr>
        <w:t>M.A. Special Education</w:t>
      </w:r>
    </w:p>
    <w:p>
      <w:pPr>
        <w:spacing w:after="40" w:lineRule="auto" w:line="276"/>
      </w:pPr>
      <w:r>
        <w:rPr>
          <w:rFonts w:ascii="Calibri" w:hAnsi="Calibri"/>
          <w:sz w:val="21"/>
        </w:rPr>
        <w:t>Chapman University, Orange, CA</w:t>
      </w:r>
    </w:p>
    <w:p>
      <w:pPr>
        <w:spacing w:after="240" w:lineRule="auto" w:line="276"/>
      </w:pPr>
      <w:r>
        <w:rPr>
          <w:rFonts w:ascii="Calibri" w:hAnsi="Calibri"/>
          <w:sz w:val="21"/>
        </w:rPr>
        <w:t>December 2018</w:t>
      </w:r>
    </w:p>
    <w:p>
      <w:pPr>
        <w:spacing w:after="40" w:lineRule="auto" w:line="276"/>
      </w:pPr>
      <w:r>
        <w:rPr>
          <w:rFonts w:ascii="Calibri" w:hAnsi="Calibri"/>
          <w:b/>
          <w:sz w:val="21"/>
        </w:rPr>
        <w:t>Multiple Subject Teaching Credential</w:t>
      </w:r>
    </w:p>
    <w:p>
      <w:pPr>
        <w:spacing w:after="40" w:lineRule="auto" w:line="276"/>
      </w:pPr>
      <w:r>
        <w:rPr>
          <w:rFonts w:ascii="Calibri" w:hAnsi="Calibri"/>
          <w:sz w:val="21"/>
        </w:rPr>
        <w:t>Chapman University, Orange, CA</w:t>
      </w:r>
    </w:p>
    <w:p>
      <w:pPr>
        <w:spacing w:after="240" w:lineRule="auto" w:line="276"/>
      </w:pPr>
      <w:r>
        <w:rPr>
          <w:rFonts w:ascii="Calibri" w:hAnsi="Calibri"/>
          <w:sz w:val="21"/>
        </w:rPr>
        <w:t>January 1991</w:t>
      </w:r>
    </w:p>
    <w:p>
      <w:pPr>
        <w:spacing w:after="40" w:lineRule="auto" w:line="276"/>
      </w:pPr>
      <w:r>
        <w:rPr>
          <w:rFonts w:ascii="Calibri" w:hAnsi="Calibri"/>
          <w:b/>
          <w:sz w:val="21"/>
        </w:rPr>
        <w:t>B.S. Child Development</w:t>
      </w:r>
    </w:p>
    <w:p>
      <w:pPr>
        <w:spacing w:after="40" w:lineRule="auto" w:line="276"/>
      </w:pPr>
      <w:r>
        <w:rPr>
          <w:rFonts w:ascii="Calibri" w:hAnsi="Calibri"/>
          <w:sz w:val="21"/>
        </w:rPr>
        <w:t>CSU Fullerton, Fullerton, CA</w:t>
      </w:r>
    </w:p>
    <w:p>
      <w:pPr>
        <w:spacing w:after="120" w:lineRule="auto" w:line="276"/>
      </w:pP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76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