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comece a trabalhar no primeiro dia com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spacing w:after="120"/>
      </w:pPr>
      <w:r>
        <w:t xml:space="preserve">Funcionários dos </w:t>
      </w:r>
      <w:r>
        <w:rPr>
          <w:b/>
          <w:bCs/>
        </w:rPr>
        <w:t xml:space="preserve">postos</w:t>
      </w:r>
      <w:r>
        <w:t xml:space="preserve"> (frentista, caixa, chefe de pista, lubrificador) </w:t>
      </w:r>
      <w:r>
        <w:rPr>
          <w:b/>
          <w:bCs/>
        </w:rPr>
        <w:t xml:space="preserve">não fazem parte</w:t>
      </w:r>
      <w:r>
        <w:t xml:space="preserve"> deste POP.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041"/>
        <w:gridCol w:w="7597"/>
      </w:tblGrid>
      <w:tr>
        <w:trPr>
          <w:tblHeader/>
        </w:trPr>
        <w:tc>
          <w:tcPr>
            <w:tcW w:type="dxa" w:w="20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O que é o GLPI:</w:t>
      </w:r>
      <w:r>
        <w:t xml:space="preserve"> é o sistema da TI onde ficam os </w:t>
      </w:r>
      <w:r>
        <w:rPr>
          <w:b/>
          <w:bCs/>
        </w:rPr>
        <w:t xml:space="preserve">chamados</w:t>
      </w:r>
      <w:r>
        <w:t xml:space="preserve"> (todo pedido para a TI), o </w:t>
      </w:r>
      <w:r>
        <w:rPr>
          <w:b/>
          <w:bCs/>
        </w:rPr>
        <w:t xml:space="preserve">inventário</w:t>
      </w:r>
      <w:r>
        <w:t xml:space="preserve"> de computadores e celulares (com quem está cada aparelho) e a </w:t>
      </w:r>
      <w:r>
        <w:rPr>
          <w:b/>
          <w:bCs/>
        </w:rPr>
        <w:t xml:space="preserve">ficha de acessos</w:t>
      </w:r>
      <w:r>
        <w:t xml:space="preserve"> de cada funcionário (Formulário B). Funciona pelo navegador, com usuário e senha próprios, só na rede da empresa (de fora, pela VPN). O RH e o gestor abrem e aprovam o chamado ali, e acompanham pelo próprio chamado o que a TI já fez. É gratuito e roda no servidor da empresa (POP-TI §2).</w:t>
      </w:r>
    </w:p>
    <w:p>
      <w:pPr>
        <w:pStyle w:val="Heading2"/>
      </w:pPr>
      <w:r>
        <w:t xml:space="preserve">3. Perfis de entrada e prazos</w:t>
      </w:r>
    </w:p>
    <w:p>
      <w:pPr>
        <w:spacing w:after="120"/>
      </w:pPr>
      <w:r>
        <w:t xml:space="preserve">O </w:t>
      </w:r>
      <w:r>
        <w:rPr>
          <w:b/>
          <w:bCs/>
        </w:rPr>
        <w:t xml:space="preserve">cargo</w:t>
      </w:r>
      <w:r>
        <w:t xml:space="preserve"> define o perfil. O perfil define o pacote padrão e com quanta antecedência o RH abre o chamado.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spacing w:after="120"/>
      </w:pPr>
      <w:r>
        <w:t xml:space="preserve">Regras: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Todo funcionário tem chamado, inclusive o perfil A.</w:t>
      </w:r>
      <w:r>
        <w:t xml:space="preserve"> Sem ele a pessoa não fica registrada no GLPI, e a saída (POP-02) e as mudanças (POP-11) não têm de onde partir.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 gestor pode pedir mais que o pacote</w:t>
      </w:r>
      <w:r>
        <w:t xml:space="preserve"> do perfil (ex.: celular para um motorista). Vale o prazo do perfil que tem aquele item.</w:t>
      </w:r>
    </w:p>
    <w:p>
      <w:pPr>
        <w:pStyle w:val="ListParagraph"/>
        <w:numPr>
          <w:ilvl w:val="0"/>
          <w:numId w:val="2"/>
        </w:numPr>
      </w:pPr>
      <w:r>
        <w:t xml:space="preserve">Perfis B, C e D: tudo pronto </w:t>
      </w:r>
      <w:r>
        <w:rPr>
          <w:b/>
          <w:bCs/>
        </w:rPr>
        <w:t xml:space="preserve">até o dia anterior</w:t>
      </w:r>
      <w:r>
        <w:t xml:space="preserve"> ao início. Se for preciso </w:t>
      </w:r>
      <w:r>
        <w:rPr>
          <w:b/>
          <w:bCs/>
        </w:rPr>
        <w:t xml:space="preserve">comprar</w:t>
      </w:r>
      <w:r>
        <w:t xml:space="preserve"> computador ou celular, o prazo da compra não está incluído: a TI informa no chamado a data em que o equipamento fica pronto.</w:t>
      </w:r>
    </w:p>
    <w:p>
      <w:pPr>
        <w:pStyle w:val="ListParagraph"/>
        <w:numPr>
          <w:ilvl w:val="0"/>
          <w:numId w:val="2"/>
        </w:numPr>
      </w:pPr>
      <w:r>
        <w:t xml:space="preserve">Se a pessoa começar antes dos acessos ficarem prontos, ela </w:t>
      </w:r>
      <w:r>
        <w:rPr>
          <w:b/>
          <w:bCs/>
        </w:rPr>
        <w:t xml:space="preserve">espera o acesso: nunca usa o login de um colega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Cargo que não está na tabela: o gestor indica o perfil mais próximo no chamado e a TI confirma.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 e </w:t>
      </w:r>
      <w:r>
        <w:rPr>
          <w:b/>
          <w:bCs/>
        </w:rPr>
        <w:t xml:space="preserve">perfil de entrada</w:t>
      </w:r>
      <w:r>
        <w:t xml:space="preserve"> (seção 3), respeitando o prazo do perfil.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Conferir o perfil e marcar no chamado os acessos e equipamentos necessários (lista na seção 5). O pacote do perfil é o padrão; o que for além dele precisa de justificativa no chamado.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Perfil A:</w:t>
      </w:r>
      <w:r>
        <w:t xml:space="preserve"> a TI só cadastra a pessoa no GLPI, com o Formulário B sem acessos, e fecha o chamado. Os passos 6 a 16 não se aplicam.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Vaultwarden.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(ERP) / Sigest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Headwind MDM</w:t>
      </w:r>
      <w:r>
        <w:t xml:space="preserve"> (Android Enterprise).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Vaultwarden).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Vaultwarden</w:t>
      </w:r>
      <w:r>
        <w:t xml:space="preserve">, na pasta do funcionário.</w:t>
      </w:r>
    </w:p>
    <w:p>
      <w:pPr>
        <w:pStyle w:val="Heading3"/>
      </w:pPr>
      <w:r>
        <w:t xml:space="preserve">4.4 Primeiro dia (TI + funcionário)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Vaultwarden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416"/>
        <w:gridCol w:w="6222"/>
      </w:tblGrid>
      <w:tr>
        <w:trPr>
          <w:tblHeader/>
        </w:trPr>
        <w:tc>
          <w:tcPr>
            <w:tcW w:type="dxa" w:w="34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2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Sigest / Infinitum / Orion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Headwind MDM + políticas decididas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Perfis B, C e D: tudo criado até o dia anterior ao início (seção 3).</w:t>
      </w:r>
    </w:p>
    <w:p>
      <w:pPr>
        <w:pStyle w:val="ListParagraph"/>
        <w:numPr>
          <w:ilvl w:val="0"/>
          <w:numId w:val="2"/>
        </w:numPr>
      </w:pPr>
      <w:r>
        <w:t xml:space="preserve">Perfil A: chamado aberto e fechado até o dia do início.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9"/>
        <w:gridCol w:w="8539"/>
      </w:tblGrid>
      <w:tr>
        <w:trPr>
          <w:tblHeader/>
        </w:trPr>
        <w:tc>
          <w:tcPr>
            <w:tcW w:type="dxa" w:w="109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3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celular e os arquivos da pessoa</w:t>
            </w:r>
          </w:p>
        </w:tc>
      </w:tr>
      <w:tr>
        <w:tc>
          <w:tcPr>
            <w:tcW w:type="dxa" w:w="10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celular corporativo (e o WhatsApp dele),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UrBackup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Vaultwarden.</w:t>
      </w:r>
    </w:p>
    <w:p>
      <w:pPr>
        <w:pStyle w:val="ListParagraph"/>
        <w:numPr>
          <w:ilvl w:val="1"/>
          <w:numId w:val="2"/>
        </w:numPr>
      </w:pPr>
      <w:r>
        <w:t xml:space="preserve">Desconectar as sessões abertas e remover o e-mail de celulares/Outlook, se o painel permitir.</w:t>
      </w:r>
    </w:p>
    <w:p>
      <w:pPr>
        <w:pStyle w:val="ListParagraph"/>
        <w:numPr>
          <w:ilvl w:val="1"/>
          <w:numId w:val="2"/>
        </w:numPr>
      </w:pPr>
      <w:r>
        <w:t xml:space="preserve">Ativar resposta automática: "Fulano não faz mais parte da equipe. Para assuntos de </w:t>
      </w:r>
      <w:r>
        <w:t xml:space="preserve">, escreva para </w:t>
      </w:r>
      <w:r>
        <w:t xml:space="preserve">".</w:t>
      </w:r>
    </w:p>
    <w:p>
      <w:pPr>
        <w:pStyle w:val="ListParagraph"/>
        <w:numPr>
          <w:ilvl w:val="1"/>
          <w:numId w:val="2"/>
        </w:numPr>
      </w:pPr>
      <w:r>
        <w:t xml:space="preserve">Encaminhar para o gestor (ou para quem ele indicou) por </w:t>
      </w:r>
      <w:r>
        <w:rPr>
          <w:b/>
          <w:bCs/>
        </w:rPr>
        <w:t xml:space="preserve">90 dias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Petroshow (ERP) / Sigest / Infinitum / Orion: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Celular e WhatsApp:</w:t>
      </w:r>
      <w:r>
        <w:t xml:space="preserve"> o número é da empresa. Conferir que o backup do dia foi feito (POP-TI §4.3), recolher o aparelho, entregar a quem assume o atendimento e trocar o nome do perfil do WhatsApp.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Senhas compartilhadas</w:t>
      </w:r>
      <w:r>
        <w:t xml:space="preserve"> que a pessoa conhecia (Wi-Fi, contas de setor, sistemas com login único): trocar. Atualizar as senhas novas no Vaultwarden.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Acesso remoto:</w:t>
      </w:r>
      <w:r>
        <w:t xml:space="preserve"> remover a pessoa do </w:t>
      </w:r>
      <w:r>
        <w:rPr>
          <w:b/>
          <w:bCs/>
        </w:rPr>
        <w:t xml:space="preserve">MeshCentral</w:t>
      </w:r>
      <w:r>
        <w:t xml:space="preserve"> e da </w:t>
      </w:r>
      <w:r>
        <w:rPr>
          <w:b/>
          <w:bCs/>
        </w:rPr>
        <w:t xml:space="preserve">VPN WireGuard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Headwind MDM. Depois do wipe, desbloquear com o Gmail da empresa do aparelho (FRP) e trocar a senha dessa conta no Vaultwarden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Vaultwarden.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(Restic).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desligar o encaminhamento e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§4) procura contas que escaparam deste POP.</w:t>
      </w:r>
    </w:p>
    <w:p>
      <w:pPr>
        <w:pStyle w:val="Heading2"/>
      </w:pPr>
      <w:r>
        <w:t xml:space="preserve">Perfis de acesso por cargo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Mesma tabela em todos os POPs. As regras completas estão no </w:t>
      </w:r>
      <w:r>
        <w:t xml:space="preserve">POP-01 §3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quatro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96"/>
        <w:gridCol w:w="5633"/>
        <w:gridCol w:w="2609"/>
      </w:tblGrid>
      <w:tr>
        <w:trPr>
          <w:tblHeader/>
        </w:trPr>
        <w:tc>
          <w:tcPr>
            <w:tcW w:type="dxa" w:w="13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563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260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 de função ou de posto/unidade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Afastamento ou férias longas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</w:tbl>
    <w:p/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Mudança de função ou de posto/unidade</w:t>
      </w:r>
    </w:p>
    <w:p>
      <w:pPr>
        <w:spacing w:after="120"/>
      </w:pPr>
      <w:r>
        <w:rPr>
          <w:b/>
          <w:bCs/>
        </w:rPr>
        <w:t xml:space="preserve">Regra principal:</w:t>
      </w:r>
      <w:r>
        <w:t xml:space="preserve"> primeiro </w:t>
      </w:r>
      <w:r>
        <w:rPr>
          <w:b/>
          <w:bCs/>
        </w:rPr>
        <w:t xml:space="preserve">remove</w:t>
      </w:r>
      <w:r>
        <w:t xml:space="preserve"> o que a função antiga tinha e não é mais necessário, depois </w:t>
      </w:r>
      <w:r>
        <w:rPr>
          <w:b/>
          <w:bCs/>
        </w:rPr>
        <w:t xml:space="preserve">libera</w:t>
      </w:r>
      <w:r>
        <w:t xml:space="preserve"> o que a função nova precisa. Ex.: gerente que vai do Posto A para o Posto B não pode continuar vendo o Posto A no Sistema VS.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 com tipo </w:t>
      </w:r>
      <w:r>
        <w:rPr>
          <w:b/>
          <w:bCs/>
        </w:rPr>
        <w:t xml:space="preserve">Mudança</w:t>
      </w:r>
      <w:r>
        <w:t xml:space="preserve">: função/posto antigo, função/posto novo, data da mudança, gestor novo.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 novo</w:t>
      </w:r>
      <w:r>
        <w:t xml:space="preserve"> marca os acessos da função nova. </w:t>
      </w:r>
      <w:r>
        <w:rPr>
          <w:b/>
          <w:bCs/>
        </w:rPr>
        <w:t xml:space="preserve">Gestor antigo</w:t>
      </w:r>
      <w:r>
        <w:t xml:space="preserve"> confirma o que deixa de ser necessário.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, na data da mudança: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Sistema VS:</w:t>
      </w:r>
      <w:r>
        <w:t xml:space="preserve"> trocar perfil e postos. Conferir logando com o usuário que o posto antigo </w:t>
      </w:r>
      <w:r>
        <w:rPr>
          <w:b/>
          <w:bCs/>
        </w:rPr>
        <w:t xml:space="preserve">sumiu</w:t>
      </w:r>
      <w:r>
        <w:t xml:space="preserve">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Petroshow (ERP) / Sigest / Infinitum / Orion:</w:t>
      </w:r>
      <w:r>
        <w:t xml:space="preserve"> ajustar perfil; remover acesso à unidade antiga.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E-mail:</w:t>
      </w:r>
      <w:r>
        <w:t xml:space="preserve"> a conta continua a mesma. O </w:t>
      </w:r>
      <w:r>
        <w:rPr>
          <w:b/>
          <w:bCs/>
        </w:rPr>
        <w:t xml:space="preserve">RH refaz a imagem de rodapé</w:t>
      </w:r>
      <w:r>
        <w:t xml:space="preserve"> com o cargo novo (e empresa, se mudou de empresa do grupo) e a TI troca a assinatura no mesmo dia.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Mudou de empresa do grupo:</w:t>
      </w:r>
      <w:r>
        <w:t xml:space="preserve"> criar conta no domínio novo e tratar a antiga como saída (POP-02, seção de e-mail).</w:t>
      </w:r>
    </w:p>
    <w:p>
      <w:pPr>
        <w:tabs>
          <w:tab w:val="left" w:pos="1440"/>
        </w:tabs>
        <w:ind w:left="1440" w:hanging="400"/>
      </w:pPr>
      <w:r>
        <w:t xml:space="preserve">5.	</w:t>
      </w:r>
      <w:r>
        <w:rPr>
          <w:b/>
          <w:bCs/>
        </w:rPr>
        <w:t xml:space="preserve">WhatsApp:</w:t>
      </w:r>
      <w:r>
        <w:t xml:space="preserve"> sair dos grupos da função antiga; entrar nos da nova.</w:t>
      </w:r>
    </w:p>
    <w:p>
      <w:pPr>
        <w:tabs>
          <w:tab w:val="left" w:pos="1440"/>
        </w:tabs>
        <w:ind w:left="1440" w:hanging="400"/>
      </w:pPr>
      <w:r>
        <w:t xml:space="preserve">6.	</w:t>
      </w:r>
      <w:r>
        <w:rPr>
          <w:b/>
          <w:bCs/>
        </w:rPr>
        <w:t xml:space="preserve">Equipamentos:</w:t>
      </w:r>
      <w:r>
        <w:t xml:space="preserve"> se mudou de unidade e o equipamento fica no local, seguir a seção 5 (troca).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Atualizar no GLPI o Formulário B (checklist de acessos): o que saiu e o que entrou, com data.</w:t>
      </w:r>
    </w:p>
    <w:p>
      <w:pPr>
        <w:pStyle w:val="Heading2"/>
      </w:pPr>
      <w:r>
        <w:t xml:space="preserve">4.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5.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Headwind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UrBackup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Headwind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6. Afastamento ou férias longas</w:t>
      </w:r>
    </w:p>
    <w:p>
      <w:pPr>
        <w:spacing w:after="120"/>
      </w:pPr>
      <w:r>
        <w:rPr>
          <w:b/>
          <w:bCs/>
        </w:rPr>
        <w:t xml:space="preserve">Quando aplicar:</w:t>
      </w:r>
      <w:r>
        <w:t xml:space="preserve"> férias ou afastamento de </w:t>
      </w:r>
      <w:r>
        <w:rPr>
          <w:b/>
          <w:bCs/>
        </w:rPr>
        <w:t xml:space="preserve">15 dias ou mais</w:t>
      </w:r>
      <w:r>
        <w:t xml:space="preserve"> (licença, afastamento médico, suspensão).</w:t>
      </w:r>
    </w:p>
    <w:p>
      <w:pPr>
        <w:spacing w:after="120"/>
      </w:pPr>
      <w:r>
        <w:rPr>
          <w:b/>
          <w:bCs/>
        </w:rPr>
        <w:t xml:space="preserve">Regra:</w:t>
      </w:r>
      <w:r>
        <w:t xml:space="preserve"> </w:t>
      </w:r>
      <w:r>
        <w:rPr>
          <w:b/>
          <w:bCs/>
        </w:rPr>
        <w:t xml:space="preserve">suspender</w:t>
      </w:r>
      <w:r>
        <w:t xml:space="preserve">, nunca apagar. Na volta, reativa como estava.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Afastamento</w:t>
      </w:r>
      <w:r>
        <w:t xml:space="preserve">: data de saída e de volta prevista.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, no último dia antes do afastamento: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E-mail:</w:t>
      </w:r>
      <w:r>
        <w:t xml:space="preserve"> resposta automática ("ausente até dd/mm, falar com &lt;gestor/setor&gt;"). Se o gestor pedir, encaminhar cópia para o setor.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Sistema VS / Petroshow (ERP) / Sigest / Infinitum / Orion:</w:t>
      </w:r>
      <w:r>
        <w:t xml:space="preserve"> desativar o usuário (sem excluir).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Celular corporativo:</w:t>
      </w:r>
      <w:r>
        <w:t xml:space="preserve"> fica com a pessoa ou volta para a empresa, conforme o gestor decidir. Se ficar, continua sob as políticas do Headwind MDM. Se outra pessoa assumir o atendimento pelo WhatsApp do aparelho, o celular fica com ela durante o afastamento.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Na volta</w:t>
      </w:r>
      <w:r>
        <w:t xml:space="preserve">, com aviso do RH: reativar os usuários, tirar a resposta automática e conferir que as senhas do Vaultwarden ainda funcionam.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Se a volta virar desligamento, seguir o POP-02.</w:t>
      </w:r>
    </w:p>
    <w:p>
      <w:pPr>
        <w:pStyle w:val="Heading2"/>
      </w:pPr>
      <w:r>
        <w:t xml:space="preserve">7.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Perfis de acesso por cargo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Mesma tabela em todos os POPs. As regras completas estão no </w:t>
      </w:r>
      <w:r>
        <w:t xml:space="preserve">POP-01 §3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745"/>
        <w:gridCol w:w="4516"/>
        <w:gridCol w:w="1377"/>
      </w:tblGrid>
      <w:tr>
        <w:trPr>
          <w:tblHeader/>
        </w:trPr>
        <w:tc>
          <w:tcPr>
            <w:tcW w:type="dxa" w:w="374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45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  <w:tc>
          <w:tcPr>
            <w:tcW w:type="dxa" w:w="137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Hospedagem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</w:t>
      </w:r>
      <w:r>
        <w:t xml:space="preserve"> do celular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(POP-11 §3).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do e-mail.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antes do primeiro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e-mail e da assinatura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Mudança de função/posto ☐ Troca de equipamento ☐ Afastamento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830"/>
        <w:gridCol w:w="1808"/>
      </w:tblGrid>
      <w:tr>
        <w:trPr>
          <w:tblHeader/>
        </w:trPr>
        <w:tc>
          <w:tcPr>
            <w:tcW w:type="dxa" w:w="783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8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de entrada (POP-01 §3, só para entrada)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 A: Sem acesso de TI ☐ B: Estoquista ☐ C: Escritório ☐ D: Gestão</w:t>
            </w:r>
          </w:p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(início, mudança, saída ou afastamento)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Volta prevista (só para afastamento)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Mudança: função/posto </w:t>
            </w:r>
            <w:r>
              <w:rPr>
                <w:b/>
                <w:bCs/>
              </w:rPr>
              <w:t xml:space="preserve">antigo</w:t>
            </w:r>
            <w:r>
              <w:t xml:space="preserve"> → </w:t>
            </w:r>
            <w:r>
              <w:rPr>
                <w:b/>
                <w:bCs/>
              </w:rPr>
              <w:t xml:space="preserve">novo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celular e arquivos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18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 e mudança):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384"/>
        <w:gridCol w:w="2604"/>
        <w:gridCol w:w="2650"/>
      </w:tblGrid>
      <w:tr>
        <w:trPr>
          <w:tblHeader/>
        </w:trPr>
        <w:tc>
          <w:tcPr>
            <w:tcW w:type="dxa" w:w="438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60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65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48"/>
        <w:gridCol w:w="1597"/>
        <w:gridCol w:w="1597"/>
        <w:gridCol w:w="1597"/>
        <w:gridCol w:w="1599"/>
      </w:tblGrid>
      <w:tr>
        <w:trPr>
          <w:tblHeader/>
        </w:trPr>
        <w:tc>
          <w:tcPr>
            <w:tcW w:type="dxa" w:w="324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59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Senhas compartilhadas que conhece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Afastamento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Headwind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2026-10-16T18:32:32.427Z</dcterms:created>
  <dcterms:modified xsi:type="dcterms:W3CDTF">2026-10-16T18:32:32.429Z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