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C0621C"/>
          <w:sz w:val="26"/>
        </w:rPr>
        <w:t>SPÉCIFICATION FONCTIONNELLE</w:t>
      </w:r>
    </w:p>
    <w:p>
      <w:pPr>
        <w:pStyle w:val="Title"/>
        <w:jc w:val="center"/>
      </w:pPr>
      <w:r>
        <w:t>Module Finance et Comptabilité</w:t>
        <w:br/>
        <w:t>d’un établissement scolaire</w:t>
      </w:r>
    </w:p>
    <w:p>
      <w:pPr>
        <w:spacing w:before="240"/>
        <w:jc w:val="center"/>
      </w:pPr>
      <w:r>
        <w:rPr>
          <w:color w:val="46505A"/>
          <w:sz w:val="26"/>
        </w:rPr>
        <w:t>Gestion des engagements, du chiffre d’affaires, des encaissements,</w:t>
        <w:br/>
        <w:t>des créances à échoir et du recouvrement</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1F5E4A"/>
          </w:tcPr>
          <w:p>
            <w:pPr>
              <w:spacing w:after="0"/>
            </w:pPr>
            <w:r/>
            <w:r>
              <w:rPr>
                <w:b/>
                <w:color w:val="FFFFFF"/>
                <w:sz w:val="18"/>
              </w:rPr>
              <w:t>Type de document</w:t>
            </w:r>
          </w:p>
        </w:tc>
        <w:tc>
          <w:tcPr>
            <w:tcW w:type="dxa" w:w="4986"/>
            <w:vAlign w:val="center"/>
            <w:shd w:fill="F4F7F6"/>
          </w:tcPr>
          <w:p>
            <w:pPr>
              <w:spacing w:after="0"/>
            </w:pPr>
            <w:r/>
            <w:r>
              <w:rPr>
                <w:b w:val="0"/>
                <w:sz w:val="18"/>
              </w:rPr>
              <w:t>Cahier fonctionnel destiné à l’équipe de développement</w:t>
            </w:r>
          </w:p>
        </w:tc>
      </w:tr>
      <w:tr>
        <w:tc>
          <w:tcPr>
            <w:tcW w:type="dxa" w:w="4986"/>
            <w:vAlign w:val="center"/>
            <w:shd w:fill="1F5E4A"/>
          </w:tcPr>
          <w:p>
            <w:pPr>
              <w:spacing w:after="0"/>
            </w:pPr>
            <w:r/>
            <w:r>
              <w:rPr>
                <w:b/>
                <w:color w:val="FFFFFF"/>
                <w:sz w:val="18"/>
              </w:rPr>
              <w:t>Périmètre</w:t>
            </w:r>
          </w:p>
        </w:tc>
        <w:tc>
          <w:tcPr>
            <w:tcW w:type="dxa" w:w="4986"/>
            <w:vAlign w:val="center"/>
            <w:shd w:fill="F4F7F6"/>
          </w:tcPr>
          <w:p>
            <w:pPr>
              <w:spacing w:after="0"/>
            </w:pPr>
            <w:r/>
            <w:r>
              <w:rPr>
                <w:b w:val="0"/>
                <w:sz w:val="18"/>
              </w:rPr>
              <w:t>Inscriptions, scolarité, recettes diverses, caisse et suivi des impayés</w:t>
            </w:r>
          </w:p>
        </w:tc>
      </w:tr>
      <w:tr>
        <w:tc>
          <w:tcPr>
            <w:tcW w:type="dxa" w:w="4986"/>
            <w:vAlign w:val="center"/>
            <w:shd w:fill="1F5E4A"/>
          </w:tcPr>
          <w:p>
            <w:pPr>
              <w:spacing w:after="0"/>
            </w:pPr>
            <w:r/>
            <w:r>
              <w:rPr>
                <w:b/>
                <w:color w:val="FFFFFF"/>
                <w:sz w:val="18"/>
              </w:rPr>
              <w:t>Version</w:t>
            </w:r>
          </w:p>
        </w:tc>
        <w:tc>
          <w:tcPr>
            <w:tcW w:type="dxa" w:w="4986"/>
            <w:vAlign w:val="center"/>
            <w:shd w:fill="F4F7F6"/>
          </w:tcPr>
          <w:p>
            <w:pPr>
              <w:spacing w:after="0"/>
            </w:pPr>
            <w:r/>
            <w:r>
              <w:rPr>
                <w:b w:val="0"/>
                <w:sz w:val="18"/>
              </w:rPr>
              <w:t>1.0</w:t>
            </w:r>
          </w:p>
        </w:tc>
      </w:tr>
      <w:tr>
        <w:tc>
          <w:tcPr>
            <w:tcW w:type="dxa" w:w="4986"/>
            <w:vAlign w:val="center"/>
            <w:shd w:fill="1F5E4A"/>
          </w:tcPr>
          <w:p>
            <w:pPr>
              <w:spacing w:after="0"/>
            </w:pPr>
            <w:r/>
            <w:r>
              <w:rPr>
                <w:b/>
                <w:color w:val="FFFFFF"/>
                <w:sz w:val="18"/>
              </w:rPr>
              <w:t>Date</w:t>
            </w:r>
          </w:p>
        </w:tc>
        <w:tc>
          <w:tcPr>
            <w:tcW w:type="dxa" w:w="4986"/>
            <w:vAlign w:val="center"/>
            <w:shd w:fill="F4F7F6"/>
          </w:tcPr>
          <w:p>
            <w:pPr>
              <w:spacing w:after="0"/>
            </w:pPr>
            <w:r/>
            <w:r>
              <w:rPr>
                <w:b w:val="0"/>
                <w:sz w:val="18"/>
              </w:rPr>
              <w:t>Août 2026</w:t>
            </w:r>
          </w:p>
        </w:tc>
      </w:tr>
    </w:tbl>
    <w:p/>
    <w:tbl>
      <w:tblPr>
        <w:tblStyle w:val="TableGrid"/>
        <w:tblW w:type="auto" w:w="0"/>
        <w:jc w:val="center"/>
        <w:tblLook w:firstColumn="1" w:firstRow="1" w:lastColumn="0" w:lastRow="0" w:noHBand="0" w:noVBand="1" w:val="04A0"/>
      </w:tblPr>
      <w:tblGrid>
        <w:gridCol w:w="9972"/>
      </w:tblGrid>
      <w:tr>
        <w:tc>
          <w:tcPr>
            <w:tcW w:type="dxa" w:w="9972"/>
            <w:shd w:fill="EAF4F0"/>
          </w:tcPr>
          <w:p>
            <w:pPr>
              <w:spacing w:after="0"/>
            </w:pPr>
            <w:r/>
            <w:r>
              <w:rPr>
                <w:b/>
                <w:color w:val="1F5E4A"/>
              </w:rPr>
              <w:t xml:space="preserve">Objectif : </w:t>
            </w:r>
            <w:r>
              <w:t>Donner au développeur une définition non ambiguë des indicateurs, des règles de calcul et des traitements nécessaires pour produire une situation financière quotidienne, expliquer l’écart entre année scolaire et année civile, et conserver une traçabilité complète des opérations.</w:t>
            </w:r>
          </w:p>
        </w:tc>
      </w:tr>
    </w:tbl>
    <w:p>
      <w:pPr>
        <w:spacing w:after="0"/>
      </w:pPr>
    </w:p>
    <w:p>
      <w:r>
        <w:br w:type="page"/>
      </w:r>
    </w:p>
    <w:p>
      <w:pPr>
        <w:pStyle w:val="Heading1"/>
      </w:pPr>
      <w:r>
        <w:t>Sommaire fonctionnel</w:t>
      </w:r>
    </w:p>
    <w:p>
      <w:pPr>
        <w:pStyle w:val="ListBullet"/>
        <w:spacing w:after="40"/>
      </w:pPr>
      <w:r>
        <w:t>1. Objectifs et périmètre</w:t>
      </w:r>
    </w:p>
    <w:p>
      <w:pPr>
        <w:pStyle w:val="ListBullet"/>
        <w:spacing w:after="40"/>
      </w:pPr>
      <w:r>
        <w:t>2. Vocabulaire métier et principes structurants</w:t>
      </w:r>
    </w:p>
    <w:p>
      <w:pPr>
        <w:pStyle w:val="ListBullet"/>
        <w:spacing w:after="40"/>
      </w:pPr>
      <w:r>
        <w:t>3. Référentiels et données nécessaires</w:t>
      </w:r>
    </w:p>
    <w:p>
      <w:pPr>
        <w:pStyle w:val="ListBullet"/>
        <w:spacing w:after="40"/>
      </w:pPr>
      <w:r>
        <w:t>4. Règles de génération des engagements</w:t>
      </w:r>
    </w:p>
    <w:p>
      <w:pPr>
        <w:pStyle w:val="ListBullet"/>
        <w:spacing w:after="40"/>
      </w:pPr>
      <w:r>
        <w:t>5. Chiffre d’affaires d’engagement</w:t>
      </w:r>
    </w:p>
    <w:p>
      <w:pPr>
        <w:pStyle w:val="ListBullet"/>
        <w:spacing w:after="40"/>
      </w:pPr>
      <w:r>
        <w:t>6. Chiffre d’affaires comptable</w:t>
      </w:r>
    </w:p>
    <w:p>
      <w:pPr>
        <w:pStyle w:val="ListBullet"/>
        <w:spacing w:after="40"/>
      </w:pPr>
      <w:r>
        <w:t>7. Encaissements et comptabilité journalière</w:t>
      </w:r>
    </w:p>
    <w:p>
      <w:pPr>
        <w:pStyle w:val="ListBullet"/>
        <w:spacing w:after="40"/>
      </w:pPr>
      <w:r>
        <w:t>8. Créances à échoir et recouvrement</w:t>
      </w:r>
    </w:p>
    <w:p>
      <w:pPr>
        <w:pStyle w:val="ListBullet"/>
        <w:spacing w:after="40"/>
      </w:pPr>
      <w:r>
        <w:t>9. Recettes diverses</w:t>
      </w:r>
    </w:p>
    <w:p>
      <w:pPr>
        <w:pStyle w:val="ListBullet"/>
        <w:spacing w:after="40"/>
      </w:pPr>
      <w:r>
        <w:t>10. Écrans et tableaux de bord</w:t>
      </w:r>
    </w:p>
    <w:p>
      <w:pPr>
        <w:pStyle w:val="ListBullet"/>
        <w:spacing w:after="40"/>
      </w:pPr>
      <w:r>
        <w:t>11. Modèle de données recommandé</w:t>
      </w:r>
    </w:p>
    <w:p>
      <w:pPr>
        <w:pStyle w:val="ListBullet"/>
        <w:spacing w:after="40"/>
      </w:pPr>
      <w:r>
        <w:t>12. Cas de gestion et règles d’exception</w:t>
      </w:r>
    </w:p>
    <w:p>
      <w:pPr>
        <w:pStyle w:val="ListBullet"/>
        <w:spacing w:after="40"/>
      </w:pPr>
      <w:r>
        <w:t>13. Droits, audit et clôture</w:t>
      </w:r>
    </w:p>
    <w:p>
      <w:pPr>
        <w:pStyle w:val="ListBullet"/>
        <w:spacing w:after="40"/>
      </w:pPr>
      <w:r>
        <w:t>14. API et traitements planifiés</w:t>
      </w:r>
    </w:p>
    <w:p>
      <w:pPr>
        <w:pStyle w:val="ListBullet"/>
        <w:spacing w:after="40"/>
      </w:pPr>
      <w:r>
        <w:t>15. Critères de recette</w:t>
      </w:r>
    </w:p>
    <w:p>
      <w:pPr>
        <w:pStyle w:val="ListBullet"/>
        <w:spacing w:after="40"/>
      </w:pPr>
      <w:r>
        <w:t>16. Exemple chiffré complet</w:t>
      </w:r>
    </w:p>
    <w:p>
      <w:pPr>
        <w:pStyle w:val="Heading1"/>
      </w:pPr>
      <w:r>
        <w:t>1. Objectifs et périmètre</w:t>
      </w:r>
    </w:p>
    <w:p>
      <w:r>
        <w:t>Le module doit permettre à l’école de suivre simultanément trois réalités différentes : l’engagement financier pris par les familles sur une année scolaire, le chiffre d’affaires rattaché à chaque année civile, et les flux de trésorerie réellement encaissés. Ces trois vues ne doivent jamais être confondues.</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701"/>
            <w:vAlign w:val="center"/>
            <w:shd w:fill="1F5E4A"/>
          </w:tcPr>
          <w:p>
            <w:pPr>
              <w:spacing w:after="0"/>
            </w:pPr>
            <w:r/>
            <w:r>
              <w:rPr>
                <w:b/>
                <w:color w:val="FFFFFF"/>
                <w:sz w:val="18"/>
              </w:rPr>
              <w:t>Vue</w:t>
            </w:r>
          </w:p>
        </w:tc>
        <w:tc>
          <w:tcPr>
            <w:tcW w:type="dxa" w:w="2835"/>
            <w:vAlign w:val="center"/>
            <w:shd w:fill="1F5E4A"/>
          </w:tcPr>
          <w:p>
            <w:pPr>
              <w:spacing w:after="0"/>
            </w:pPr>
            <w:r/>
            <w:r>
              <w:rPr>
                <w:b/>
                <w:color w:val="FFFFFF"/>
                <w:sz w:val="18"/>
              </w:rPr>
              <w:t>Question métier</w:t>
            </w:r>
          </w:p>
        </w:tc>
        <w:tc>
          <w:tcPr>
            <w:tcW w:type="dxa" w:w="1871"/>
            <w:vAlign w:val="center"/>
            <w:shd w:fill="1F5E4A"/>
          </w:tcPr>
          <w:p>
            <w:pPr>
              <w:spacing w:after="0"/>
            </w:pPr>
            <w:r/>
            <w:r>
              <w:rPr>
                <w:b/>
                <w:color w:val="FFFFFF"/>
                <w:sz w:val="18"/>
              </w:rPr>
              <w:t>Date de référence</w:t>
            </w:r>
          </w:p>
        </w:tc>
        <w:tc>
          <w:tcPr>
            <w:tcW w:type="dxa" w:w="2948"/>
            <w:vAlign w:val="center"/>
            <w:shd w:fill="1F5E4A"/>
          </w:tcPr>
          <w:p>
            <w:pPr>
              <w:spacing w:after="0"/>
            </w:pPr>
            <w:r/>
            <w:r>
              <w:rPr>
                <w:b/>
                <w:color w:val="FFFFFF"/>
                <w:sz w:val="18"/>
              </w:rPr>
              <w:t>Montants inclus</w:t>
            </w:r>
          </w:p>
        </w:tc>
      </w:tr>
      <w:tr>
        <w:tc>
          <w:tcPr>
            <w:tcW w:type="dxa" w:w="1701"/>
            <w:vAlign w:val="center"/>
          </w:tcPr>
          <w:p>
            <w:pPr>
              <w:spacing w:after="0"/>
            </w:pPr>
            <w:r/>
            <w:r>
              <w:rPr>
                <w:b w:val="0"/>
                <w:sz w:val="16"/>
              </w:rPr>
              <w:t>CA d’engagement</w:t>
            </w:r>
          </w:p>
        </w:tc>
        <w:tc>
          <w:tcPr>
            <w:tcW w:type="dxa" w:w="2835"/>
            <w:vAlign w:val="center"/>
          </w:tcPr>
          <w:p>
            <w:pPr>
              <w:spacing w:after="0"/>
            </w:pPr>
            <w:r/>
            <w:r>
              <w:rPr>
                <w:b w:val="0"/>
                <w:sz w:val="16"/>
              </w:rPr>
              <w:t>Combien l’école a-t-elle facturé ou contractualisé pour l’année scolaire ?</w:t>
            </w:r>
          </w:p>
        </w:tc>
        <w:tc>
          <w:tcPr>
            <w:tcW w:type="dxa" w:w="1871"/>
            <w:vAlign w:val="center"/>
          </w:tcPr>
          <w:p>
            <w:pPr>
              <w:spacing w:after="0"/>
            </w:pPr>
            <w:r/>
            <w:r>
              <w:rPr>
                <w:b w:val="0"/>
                <w:sz w:val="16"/>
              </w:rPr>
              <w:t>Année scolaire et date d’engagement</w:t>
            </w:r>
          </w:p>
        </w:tc>
        <w:tc>
          <w:tcPr>
            <w:tcW w:type="dxa" w:w="2948"/>
            <w:vAlign w:val="center"/>
          </w:tcPr>
          <w:p>
            <w:pPr>
              <w:spacing w:after="0"/>
            </w:pPr>
            <w:r/>
            <w:r>
              <w:rPr>
                <w:b w:val="0"/>
                <w:sz w:val="16"/>
              </w:rPr>
              <w:t>Frais d’inscription + échéances de scolarité de toute l’année scolaire</w:t>
            </w:r>
          </w:p>
        </w:tc>
      </w:tr>
      <w:tr>
        <w:tc>
          <w:tcPr>
            <w:tcW w:type="dxa" w:w="1701"/>
            <w:vAlign w:val="center"/>
            <w:shd w:fill="F2F6F4"/>
          </w:tcPr>
          <w:p>
            <w:pPr>
              <w:spacing w:after="0"/>
            </w:pPr>
            <w:r/>
            <w:r>
              <w:rPr>
                <w:b w:val="0"/>
                <w:sz w:val="16"/>
              </w:rPr>
              <w:t>CA comptable</w:t>
            </w:r>
          </w:p>
        </w:tc>
        <w:tc>
          <w:tcPr>
            <w:tcW w:type="dxa" w:w="2835"/>
            <w:vAlign w:val="center"/>
            <w:shd w:fill="F2F6F4"/>
          </w:tcPr>
          <w:p>
            <w:pPr>
              <w:spacing w:after="0"/>
            </w:pPr>
            <w:r/>
            <w:r>
              <w:rPr>
                <w:b w:val="0"/>
                <w:sz w:val="16"/>
              </w:rPr>
              <w:t>Quelle part du service scolaire appartient à l’année civile sélectionnée ?</w:t>
            </w:r>
          </w:p>
        </w:tc>
        <w:tc>
          <w:tcPr>
            <w:tcW w:type="dxa" w:w="1871"/>
            <w:vAlign w:val="center"/>
            <w:shd w:fill="F2F6F4"/>
          </w:tcPr>
          <w:p>
            <w:pPr>
              <w:spacing w:after="0"/>
            </w:pPr>
            <w:r/>
            <w:r>
              <w:rPr>
                <w:b w:val="0"/>
                <w:sz w:val="16"/>
              </w:rPr>
              <w:t>Période de rattachement du produit</w:t>
            </w:r>
          </w:p>
        </w:tc>
        <w:tc>
          <w:tcPr>
            <w:tcW w:type="dxa" w:w="2948"/>
            <w:vAlign w:val="center"/>
            <w:shd w:fill="F2F6F4"/>
          </w:tcPr>
          <w:p>
            <w:pPr>
              <w:spacing w:after="0"/>
            </w:pPr>
            <w:r/>
            <w:r>
              <w:rPr>
                <w:b w:val="0"/>
                <w:sz w:val="16"/>
              </w:rPr>
              <w:t>Frais d’inscription reconnus dans l’année + mois de scolarité rattachés à l’année civile</w:t>
            </w:r>
          </w:p>
        </w:tc>
      </w:tr>
      <w:tr>
        <w:tc>
          <w:tcPr>
            <w:tcW w:type="dxa" w:w="1701"/>
            <w:vAlign w:val="center"/>
          </w:tcPr>
          <w:p>
            <w:pPr>
              <w:spacing w:after="0"/>
            </w:pPr>
            <w:r/>
            <w:r>
              <w:rPr>
                <w:b w:val="0"/>
                <w:sz w:val="16"/>
              </w:rPr>
              <w:t>Encaissements</w:t>
            </w:r>
          </w:p>
        </w:tc>
        <w:tc>
          <w:tcPr>
            <w:tcW w:type="dxa" w:w="2835"/>
            <w:vAlign w:val="center"/>
          </w:tcPr>
          <w:p>
            <w:pPr>
              <w:spacing w:after="0"/>
            </w:pPr>
            <w:r/>
            <w:r>
              <w:rPr>
                <w:b w:val="0"/>
                <w:sz w:val="16"/>
              </w:rPr>
              <w:t>Combien d’argent est effectivement entré, quand, où et par quel moyen ?</w:t>
            </w:r>
          </w:p>
        </w:tc>
        <w:tc>
          <w:tcPr>
            <w:tcW w:type="dxa" w:w="1871"/>
            <w:vAlign w:val="center"/>
          </w:tcPr>
          <w:p>
            <w:pPr>
              <w:spacing w:after="0"/>
            </w:pPr>
            <w:r/>
            <w:r>
              <w:rPr>
                <w:b w:val="0"/>
                <w:sz w:val="16"/>
              </w:rPr>
              <w:t>Date et heure du paiement</w:t>
            </w:r>
          </w:p>
        </w:tc>
        <w:tc>
          <w:tcPr>
            <w:tcW w:type="dxa" w:w="2948"/>
            <w:vAlign w:val="center"/>
          </w:tcPr>
          <w:p>
            <w:pPr>
              <w:spacing w:after="0"/>
            </w:pPr>
            <w:r/>
            <w:r>
              <w:rPr>
                <w:b w:val="0"/>
                <w:sz w:val="16"/>
              </w:rPr>
              <w:t>Tous paiements validés, séparés par nature</w:t>
            </w:r>
          </w:p>
        </w:tc>
      </w:tr>
      <w:tr>
        <w:tc>
          <w:tcPr>
            <w:tcW w:type="dxa" w:w="1701"/>
            <w:vAlign w:val="center"/>
            <w:shd w:fill="F2F6F4"/>
          </w:tcPr>
          <w:p>
            <w:pPr>
              <w:spacing w:after="0"/>
            </w:pPr>
            <w:r/>
            <w:r>
              <w:rPr>
                <w:b w:val="0"/>
                <w:sz w:val="16"/>
              </w:rPr>
              <w:t>Recettes diverses</w:t>
            </w:r>
          </w:p>
        </w:tc>
        <w:tc>
          <w:tcPr>
            <w:tcW w:type="dxa" w:w="2835"/>
            <w:vAlign w:val="center"/>
            <w:shd w:fill="F2F6F4"/>
          </w:tcPr>
          <w:p>
            <w:pPr>
              <w:spacing w:after="0"/>
            </w:pPr>
            <w:r/>
            <w:r>
              <w:rPr>
                <w:b w:val="0"/>
                <w:sz w:val="16"/>
              </w:rPr>
              <w:t>Quelles autres entrées d’argent ont été perçues hors inscription et scolarité ?</w:t>
            </w:r>
          </w:p>
        </w:tc>
        <w:tc>
          <w:tcPr>
            <w:tcW w:type="dxa" w:w="1871"/>
            <w:vAlign w:val="center"/>
            <w:shd w:fill="F2F6F4"/>
          </w:tcPr>
          <w:p>
            <w:pPr>
              <w:spacing w:after="0"/>
            </w:pPr>
            <w:r/>
            <w:r>
              <w:rPr>
                <w:b w:val="0"/>
                <w:sz w:val="16"/>
              </w:rPr>
              <w:t>Date d’encaissement</w:t>
            </w:r>
          </w:p>
        </w:tc>
        <w:tc>
          <w:tcPr>
            <w:tcW w:type="dxa" w:w="2948"/>
            <w:vAlign w:val="center"/>
            <w:shd w:fill="F2F6F4"/>
          </w:tcPr>
          <w:p>
            <w:pPr>
              <w:spacing w:after="0"/>
            </w:pPr>
            <w:r/>
            <w:r>
              <w:rPr>
                <w:b w:val="0"/>
                <w:sz w:val="16"/>
              </w:rPr>
              <w:t>Transport, cantine, tenue, duplicata, location, dons, autres produits configurés</w:t>
            </w:r>
          </w:p>
        </w:tc>
      </w:tr>
      <w:tr>
        <w:tc>
          <w:tcPr>
            <w:tcW w:type="dxa" w:w="1701"/>
            <w:vAlign w:val="center"/>
          </w:tcPr>
          <w:p>
            <w:pPr>
              <w:spacing w:after="0"/>
            </w:pPr>
            <w:r/>
            <w:r>
              <w:rPr>
                <w:b w:val="0"/>
                <w:sz w:val="16"/>
              </w:rPr>
              <w:t>Créances à échoir</w:t>
            </w:r>
          </w:p>
        </w:tc>
        <w:tc>
          <w:tcPr>
            <w:tcW w:type="dxa" w:w="2835"/>
            <w:vAlign w:val="center"/>
          </w:tcPr>
          <w:p>
            <w:pPr>
              <w:spacing w:after="0"/>
            </w:pPr>
            <w:r/>
            <w:r>
              <w:rPr>
                <w:b w:val="0"/>
                <w:sz w:val="16"/>
              </w:rPr>
              <w:t>Quelles sommes seront dues dans les mois à venir ?</w:t>
            </w:r>
          </w:p>
        </w:tc>
        <w:tc>
          <w:tcPr>
            <w:tcW w:type="dxa" w:w="1871"/>
            <w:vAlign w:val="center"/>
          </w:tcPr>
          <w:p>
            <w:pPr>
              <w:spacing w:after="0"/>
            </w:pPr>
            <w:r/>
            <w:r>
              <w:rPr>
                <w:b w:val="0"/>
                <w:sz w:val="16"/>
              </w:rPr>
              <w:t>Date d’échéance future</w:t>
            </w:r>
          </w:p>
        </w:tc>
        <w:tc>
          <w:tcPr>
            <w:tcW w:type="dxa" w:w="2948"/>
            <w:vAlign w:val="center"/>
          </w:tcPr>
          <w:p>
            <w:pPr>
              <w:spacing w:after="0"/>
            </w:pPr>
            <w:r/>
            <w:r>
              <w:rPr>
                <w:b w:val="0"/>
                <w:sz w:val="16"/>
              </w:rPr>
              <w:t>Échéances non encore arrivées à maturité</w:t>
            </w:r>
          </w:p>
        </w:tc>
      </w:tr>
      <w:tr>
        <w:tc>
          <w:tcPr>
            <w:tcW w:type="dxa" w:w="1701"/>
            <w:vAlign w:val="center"/>
            <w:shd w:fill="F2F6F4"/>
          </w:tcPr>
          <w:p>
            <w:pPr>
              <w:spacing w:after="0"/>
            </w:pPr>
            <w:r/>
            <w:r>
              <w:rPr>
                <w:b w:val="0"/>
                <w:sz w:val="16"/>
              </w:rPr>
              <w:t>Recouvrement</w:t>
            </w:r>
          </w:p>
        </w:tc>
        <w:tc>
          <w:tcPr>
            <w:tcW w:type="dxa" w:w="2835"/>
            <w:vAlign w:val="center"/>
            <w:shd w:fill="F2F6F4"/>
          </w:tcPr>
          <w:p>
            <w:pPr>
              <w:spacing w:after="0"/>
            </w:pPr>
            <w:r/>
            <w:r>
              <w:rPr>
                <w:b w:val="0"/>
                <w:sz w:val="16"/>
              </w:rPr>
              <w:t>Quelles sommes sont déjà exigibles mais non soldées ?</w:t>
            </w:r>
          </w:p>
        </w:tc>
        <w:tc>
          <w:tcPr>
            <w:tcW w:type="dxa" w:w="1871"/>
            <w:vAlign w:val="center"/>
            <w:shd w:fill="F2F6F4"/>
          </w:tcPr>
          <w:p>
            <w:pPr>
              <w:spacing w:after="0"/>
            </w:pPr>
            <w:r/>
            <w:r>
              <w:rPr>
                <w:b w:val="0"/>
                <w:sz w:val="16"/>
              </w:rPr>
              <w:t>Date d’échéance dépassée</w:t>
            </w:r>
          </w:p>
        </w:tc>
        <w:tc>
          <w:tcPr>
            <w:tcW w:type="dxa" w:w="2948"/>
            <w:vAlign w:val="center"/>
            <w:shd w:fill="F2F6F4"/>
          </w:tcPr>
          <w:p>
            <w:pPr>
              <w:spacing w:after="0"/>
            </w:pPr>
            <w:r/>
            <w:r>
              <w:rPr>
                <w:b w:val="0"/>
                <w:sz w:val="16"/>
              </w:rPr>
              <w:t>Échéances en retard, y compris reliquats des années précédentes</w:t>
            </w:r>
          </w:p>
        </w:tc>
      </w:tr>
    </w:tbl>
    <w:p>
      <w:pPr>
        <w:spacing w:after="0"/>
      </w:pPr>
    </w:p>
    <w:tbl>
      <w:tblPr>
        <w:tblStyle w:val="TableGrid"/>
        <w:tblW w:type="auto" w:w="0"/>
        <w:jc w:val="center"/>
        <w:tblLook w:firstColumn="1" w:firstRow="1" w:lastColumn="0" w:lastRow="0" w:noHBand="0" w:noVBand="1" w:val="04A0"/>
      </w:tblPr>
      <w:tblGrid>
        <w:gridCol w:w="9972"/>
      </w:tblGrid>
      <w:tr>
        <w:tc>
          <w:tcPr>
            <w:tcW w:type="dxa" w:w="9972"/>
            <w:shd w:fill="EAF4F0"/>
          </w:tcPr>
          <w:p>
            <w:pPr>
              <w:spacing w:after="0"/>
            </w:pPr>
            <w:r/>
            <w:r>
              <w:rPr>
                <w:b/>
                <w:color w:val="1F5E4A"/>
              </w:rPr>
              <w:t xml:space="preserve">Périmètre du CA principal : </w:t>
            </w:r>
            <w:r>
              <w:t>Le chiffre d’affaires principal ne comprend que les frais d’inscription et de scolarité. Les autres recettes sont présentées dans une vue distincte, mais restent intégrées au journal des encaissements et à la trésorerie totale.</w:t>
            </w:r>
          </w:p>
        </w:tc>
      </w:tr>
    </w:tbl>
    <w:p>
      <w:pPr>
        <w:spacing w:after="0"/>
      </w:pPr>
    </w:p>
    <w:p>
      <w:r>
        <w:drawing>
          <wp:inline xmlns:a="http://schemas.openxmlformats.org/drawingml/2006/main" xmlns:pic="http://schemas.openxmlformats.org/drawingml/2006/picture">
            <wp:extent cx="5940000" cy="4452826"/>
            <wp:docPr id="1" name="Picture 1"/>
            <wp:cNvGraphicFramePr>
              <a:graphicFrameLocks noChangeAspect="1"/>
            </wp:cNvGraphicFramePr>
            <a:graphic>
              <a:graphicData uri="http://schemas.openxmlformats.org/drawingml/2006/picture">
                <pic:pic>
                  <pic:nvPicPr>
                    <pic:cNvPr id="0" name="1A13F532-652B-4C84-8127-FDC9AA975125.png"/>
                    <pic:cNvPicPr/>
                  </pic:nvPicPr>
                  <pic:blipFill>
                    <a:blip r:embed="rId9"/>
                    <a:stretch>
                      <a:fillRect/>
                    </a:stretch>
                  </pic:blipFill>
                  <pic:spPr>
                    <a:xfrm>
                      <a:off x="0" y="0"/>
                      <a:ext cx="5940000" cy="4452826"/>
                    </a:xfrm>
                    <a:prstGeom prst="rect"/>
                  </pic:spPr>
                </pic:pic>
              </a:graphicData>
            </a:graphic>
          </wp:inline>
        </w:drawing>
      </w:r>
    </w:p>
    <w:p>
      <w:pPr>
        <w:pStyle w:val="FigureCaption"/>
      </w:pPr>
      <w:r>
        <w:t>Figure 1 — Interface de réflexion fournie : indicateurs d’engagement, CA comptable, créances, recouvrement et encaissements.</w:t>
      </w:r>
    </w:p>
    <w:p>
      <w:pPr>
        <w:pStyle w:val="Heading1"/>
      </w:pPr>
      <w:r>
        <w:t>2. Vocabulaire métier et principes structurants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vAlign w:val="center"/>
            <w:shd w:fill="1F5E4A"/>
          </w:tcPr>
          <w:p>
            <w:pPr>
              <w:spacing w:after="0"/>
            </w:pPr>
            <w:r/>
            <w:r>
              <w:rPr>
                <w:b/>
                <w:color w:val="FFFFFF"/>
                <w:sz w:val="18"/>
              </w:rPr>
              <w:t>Terme</w:t>
            </w:r>
          </w:p>
        </w:tc>
        <w:tc>
          <w:tcPr>
            <w:tcW w:type="dxa" w:w="6803"/>
            <w:vAlign w:val="center"/>
            <w:shd w:fill="1F5E4A"/>
          </w:tcPr>
          <w:p>
            <w:pPr>
              <w:spacing w:after="0"/>
            </w:pPr>
            <w:r/>
            <w:r>
              <w:rPr>
                <w:b/>
                <w:color w:val="FFFFFF"/>
                <w:sz w:val="18"/>
              </w:rPr>
              <w:t>Définition à utiliser dans l’application</w:t>
            </w:r>
          </w:p>
        </w:tc>
      </w:tr>
      <w:tr>
        <w:tc>
          <w:tcPr>
            <w:tcW w:type="dxa" w:w="2268"/>
            <w:vAlign w:val="center"/>
          </w:tcPr>
          <w:p>
            <w:pPr>
              <w:spacing w:after="0"/>
            </w:pPr>
            <w:r/>
            <w:r>
              <w:rPr>
                <w:b w:val="0"/>
                <w:sz w:val="17"/>
              </w:rPr>
              <w:t>Année scolaire</w:t>
            </w:r>
          </w:p>
        </w:tc>
        <w:tc>
          <w:tcPr>
            <w:tcW w:type="dxa" w:w="6803"/>
            <w:vAlign w:val="center"/>
          </w:tcPr>
          <w:p>
            <w:pPr>
              <w:spacing w:after="0"/>
            </w:pPr>
            <w:r/>
            <w:r>
              <w:rPr>
                <w:b w:val="0"/>
                <w:sz w:val="17"/>
              </w:rPr>
              <w:t>Période pédagogique, par exemple 2026-2027. Elle peut couvrir septembre 2026 à juin 2027 ou tout autre calendrier paramétré.</w:t>
            </w:r>
          </w:p>
        </w:tc>
      </w:tr>
      <w:tr>
        <w:tc>
          <w:tcPr>
            <w:tcW w:type="dxa" w:w="2268"/>
            <w:vAlign w:val="center"/>
            <w:shd w:fill="F2F6F4"/>
          </w:tcPr>
          <w:p>
            <w:pPr>
              <w:spacing w:after="0"/>
            </w:pPr>
            <w:r/>
            <w:r>
              <w:rPr>
                <w:b w:val="0"/>
                <w:sz w:val="17"/>
              </w:rPr>
              <w:t>Année civile</w:t>
            </w:r>
          </w:p>
        </w:tc>
        <w:tc>
          <w:tcPr>
            <w:tcW w:type="dxa" w:w="6803"/>
            <w:vAlign w:val="center"/>
            <w:shd w:fill="F2F6F4"/>
          </w:tcPr>
          <w:p>
            <w:pPr>
              <w:spacing w:after="0"/>
            </w:pPr>
            <w:r/>
            <w:r>
              <w:rPr>
                <w:b w:val="0"/>
                <w:sz w:val="17"/>
              </w:rPr>
              <w:t>Période du 1er janvier au 31 décembre. Elle sert à la lecture comptable annuelle.</w:t>
            </w:r>
          </w:p>
        </w:tc>
      </w:tr>
      <w:tr>
        <w:tc>
          <w:tcPr>
            <w:tcW w:type="dxa" w:w="2268"/>
            <w:vAlign w:val="center"/>
          </w:tcPr>
          <w:p>
            <w:pPr>
              <w:spacing w:after="0"/>
            </w:pPr>
            <w:r/>
            <w:r>
              <w:rPr>
                <w:b w:val="0"/>
                <w:sz w:val="17"/>
              </w:rPr>
              <w:t>Engagement</w:t>
            </w:r>
          </w:p>
        </w:tc>
        <w:tc>
          <w:tcPr>
            <w:tcW w:type="dxa" w:w="6803"/>
            <w:vAlign w:val="center"/>
          </w:tcPr>
          <w:p>
            <w:pPr>
              <w:spacing w:after="0"/>
            </w:pPr>
            <w:r/>
            <w:r>
              <w:rPr>
                <w:b w:val="0"/>
                <w:sz w:val="17"/>
              </w:rPr>
              <w:t>Obligation de paiement créée par une inscription ou un contrat scolaire. Il s’agit d’un montant dû, qu’il soit déjà payé ou non.</w:t>
            </w:r>
          </w:p>
        </w:tc>
      </w:tr>
      <w:tr>
        <w:tc>
          <w:tcPr>
            <w:tcW w:type="dxa" w:w="2268"/>
            <w:vAlign w:val="center"/>
            <w:shd w:fill="F2F6F4"/>
          </w:tcPr>
          <w:p>
            <w:pPr>
              <w:spacing w:after="0"/>
            </w:pPr>
            <w:r/>
            <w:r>
              <w:rPr>
                <w:b w:val="0"/>
                <w:sz w:val="17"/>
              </w:rPr>
              <w:t>Échéance</w:t>
            </w:r>
          </w:p>
        </w:tc>
        <w:tc>
          <w:tcPr>
            <w:tcW w:type="dxa" w:w="6803"/>
            <w:vAlign w:val="center"/>
            <w:shd w:fill="F2F6F4"/>
          </w:tcPr>
          <w:p>
            <w:pPr>
              <w:spacing w:after="0"/>
            </w:pPr>
            <w:r/>
            <w:r>
              <w:rPr>
                <w:b w:val="0"/>
                <w:sz w:val="17"/>
              </w:rPr>
              <w:t>Fraction d’un engagement assortie d’une date d’exigibilité et, pour la scolarité, d’une période de service.</w:t>
            </w:r>
          </w:p>
        </w:tc>
      </w:tr>
      <w:tr>
        <w:tc>
          <w:tcPr>
            <w:tcW w:type="dxa" w:w="2268"/>
            <w:vAlign w:val="center"/>
          </w:tcPr>
          <w:p>
            <w:pPr>
              <w:spacing w:after="0"/>
            </w:pPr>
            <w:r/>
            <w:r>
              <w:rPr>
                <w:b w:val="0"/>
                <w:sz w:val="17"/>
              </w:rPr>
              <w:t>Produit rattaché</w:t>
            </w:r>
          </w:p>
        </w:tc>
        <w:tc>
          <w:tcPr>
            <w:tcW w:type="dxa" w:w="6803"/>
            <w:vAlign w:val="center"/>
          </w:tcPr>
          <w:p>
            <w:pPr>
              <w:spacing w:after="0"/>
            </w:pPr>
            <w:r/>
            <w:r>
              <w:rPr>
                <w:b w:val="0"/>
                <w:sz w:val="17"/>
              </w:rPr>
              <w:t>Montant reconnu dans le CA comptable de la période où le service est rendu, indépendamment de la date de paiement.</w:t>
            </w:r>
          </w:p>
        </w:tc>
      </w:tr>
      <w:tr>
        <w:tc>
          <w:tcPr>
            <w:tcW w:type="dxa" w:w="2268"/>
            <w:vAlign w:val="center"/>
            <w:shd w:fill="F2F6F4"/>
          </w:tcPr>
          <w:p>
            <w:pPr>
              <w:spacing w:after="0"/>
            </w:pPr>
            <w:r/>
            <w:r>
              <w:rPr>
                <w:b w:val="0"/>
                <w:sz w:val="17"/>
              </w:rPr>
              <w:t>Encaissement</w:t>
            </w:r>
          </w:p>
        </w:tc>
        <w:tc>
          <w:tcPr>
            <w:tcW w:type="dxa" w:w="6803"/>
            <w:vAlign w:val="center"/>
            <w:shd w:fill="F2F6F4"/>
          </w:tcPr>
          <w:p>
            <w:pPr>
              <w:spacing w:after="0"/>
            </w:pPr>
            <w:r/>
            <w:r>
              <w:rPr>
                <w:b w:val="0"/>
                <w:sz w:val="17"/>
              </w:rPr>
              <w:t>Entrée d’argent validée. Un encaissement peut solder une ou plusieurs échéances, totalement ou partiellement.</w:t>
            </w:r>
          </w:p>
        </w:tc>
      </w:tr>
      <w:tr>
        <w:tc>
          <w:tcPr>
            <w:tcW w:type="dxa" w:w="2268"/>
            <w:vAlign w:val="center"/>
          </w:tcPr>
          <w:p>
            <w:pPr>
              <w:spacing w:after="0"/>
            </w:pPr>
            <w:r/>
            <w:r>
              <w:rPr>
                <w:b w:val="0"/>
                <w:sz w:val="17"/>
              </w:rPr>
              <w:t>Créance à échoir</w:t>
            </w:r>
          </w:p>
        </w:tc>
        <w:tc>
          <w:tcPr>
            <w:tcW w:type="dxa" w:w="6803"/>
            <w:vAlign w:val="center"/>
          </w:tcPr>
          <w:p>
            <w:pPr>
              <w:spacing w:after="0"/>
            </w:pPr>
            <w:r/>
            <w:r>
              <w:rPr>
                <w:b w:val="0"/>
                <w:sz w:val="17"/>
              </w:rPr>
              <w:t>Somme engagée dont la date d’échéance est future.</w:t>
            </w:r>
          </w:p>
        </w:tc>
      </w:tr>
      <w:tr>
        <w:tc>
          <w:tcPr>
            <w:tcW w:type="dxa" w:w="2268"/>
            <w:vAlign w:val="center"/>
            <w:shd w:fill="F2F6F4"/>
          </w:tcPr>
          <w:p>
            <w:pPr>
              <w:spacing w:after="0"/>
            </w:pPr>
            <w:r/>
            <w:r>
              <w:rPr>
                <w:b w:val="0"/>
                <w:sz w:val="17"/>
              </w:rPr>
              <w:t>Impayé / recouvrement</w:t>
            </w:r>
          </w:p>
        </w:tc>
        <w:tc>
          <w:tcPr>
            <w:tcW w:type="dxa" w:w="6803"/>
            <w:vAlign w:val="center"/>
            <w:shd w:fill="F2F6F4"/>
          </w:tcPr>
          <w:p>
            <w:pPr>
              <w:spacing w:after="0"/>
            </w:pPr>
            <w:r/>
            <w:r>
              <w:rPr>
                <w:b w:val="0"/>
                <w:sz w:val="17"/>
              </w:rPr>
              <w:t>Somme exigible dont le solde reste positif après la date d’échéance et le délai de grâce éventuel.</w:t>
            </w:r>
          </w:p>
        </w:tc>
      </w:tr>
      <w:tr>
        <w:tc>
          <w:tcPr>
            <w:tcW w:type="dxa" w:w="2268"/>
            <w:vAlign w:val="center"/>
          </w:tcPr>
          <w:p>
            <w:pPr>
              <w:spacing w:after="0"/>
            </w:pPr>
            <w:r/>
            <w:r>
              <w:rPr>
                <w:b w:val="0"/>
                <w:sz w:val="17"/>
              </w:rPr>
              <w:t>Solde</w:t>
            </w:r>
          </w:p>
        </w:tc>
        <w:tc>
          <w:tcPr>
            <w:tcW w:type="dxa" w:w="6803"/>
            <w:vAlign w:val="center"/>
          </w:tcPr>
          <w:p>
            <w:pPr>
              <w:spacing w:after="0"/>
            </w:pPr>
            <w:r/>
            <w:r>
              <w:rPr>
                <w:b w:val="0"/>
                <w:sz w:val="17"/>
              </w:rPr>
              <w:t>Montant dû moins montant affecté par des paiements, avoirs ou remises.</w:t>
            </w:r>
          </w:p>
        </w:tc>
      </w:tr>
      <w:tr>
        <w:tc>
          <w:tcPr>
            <w:tcW w:type="dxa" w:w="2268"/>
            <w:vAlign w:val="center"/>
            <w:shd w:fill="F2F6F4"/>
          </w:tcPr>
          <w:p>
            <w:pPr>
              <w:spacing w:after="0"/>
            </w:pPr>
            <w:r/>
            <w:r>
              <w:rPr>
                <w:b w:val="0"/>
                <w:sz w:val="17"/>
              </w:rPr>
              <w:t>Recette diverse</w:t>
            </w:r>
          </w:p>
        </w:tc>
        <w:tc>
          <w:tcPr>
            <w:tcW w:type="dxa" w:w="6803"/>
            <w:vAlign w:val="center"/>
            <w:shd w:fill="F2F6F4"/>
          </w:tcPr>
          <w:p>
            <w:pPr>
              <w:spacing w:after="0"/>
            </w:pPr>
            <w:r/>
            <w:r>
              <w:rPr>
                <w:b w:val="0"/>
                <w:sz w:val="17"/>
              </w:rPr>
              <w:t>Entrée d’argent qui ne correspond ni aux frais d’inscription ni aux frais de scolarité.</w:t>
            </w:r>
          </w:p>
        </w:tc>
      </w:tr>
    </w:tbl>
    <w:p>
      <w:pPr>
        <w:spacing w:after="0"/>
      </w:pPr>
    </w:p>
    <w:tbl>
      <w:tblPr>
        <w:tblStyle w:val="TableGrid"/>
        <w:tblW w:type="auto" w:w="0"/>
        <w:jc w:val="center"/>
        <w:tblLook w:firstColumn="1" w:firstRow="1" w:lastColumn="0" w:lastRow="0" w:noHBand="0" w:noVBand="1" w:val="04A0"/>
      </w:tblPr>
      <w:tblGrid>
        <w:gridCol w:w="9972"/>
      </w:tblGrid>
      <w:tr>
        <w:tc>
          <w:tcPr>
            <w:tcW w:type="dxa" w:w="9972"/>
            <w:shd w:fill="FFF4E6"/>
          </w:tcPr>
          <w:p>
            <w:pPr>
              <w:spacing w:after="0"/>
            </w:pPr>
            <w:r/>
            <w:r>
              <w:rPr>
                <w:b/>
                <w:color w:val="1F5E4A"/>
              </w:rPr>
              <w:t xml:space="preserve">Terminologie recommandée : </w:t>
            </w:r>
            <w:r>
              <w:t>Dans l’interface, renommer « Suivi des créances » en « Créances à échoir » ou « Montants futurs attendus ». En comptabilité, le mot créance peut aussi désigner les impayés ; cette précision évite une confusion avec le recouvrement.</w:t>
            </w:r>
          </w:p>
        </w:tc>
      </w:tr>
    </w:tbl>
    <w:p>
      <w:pPr>
        <w:spacing w:after="0"/>
      </w:pPr>
    </w:p>
    <w:p>
      <w:pPr>
        <w:pStyle w:val="Heading1"/>
      </w:pPr>
      <w:r>
        <w:t>3. Référentiels et données nécessaires</w:t>
      </w:r>
    </w:p>
    <w:p>
      <w:pPr>
        <w:pStyle w:val="Heading2"/>
      </w:pPr>
      <w:r>
        <w:t>3.1 Paramétrage de l’année scolaire</w:t>
      </w:r>
    </w:p>
    <w:p>
      <w:pPr>
        <w:pStyle w:val="ListBullet"/>
        <w:spacing w:after="40"/>
      </w:pPr>
      <w:r>
        <w:t>Code et libellé de l’année scolaire : 2026-2027.</w:t>
      </w:r>
    </w:p>
    <w:p>
      <w:pPr>
        <w:pStyle w:val="ListBullet"/>
        <w:spacing w:after="40"/>
      </w:pPr>
      <w:r>
        <w:t>Date de début et date de fin.</w:t>
      </w:r>
    </w:p>
    <w:p>
      <w:pPr>
        <w:pStyle w:val="ListBullet"/>
        <w:spacing w:after="40"/>
      </w:pPr>
      <w:r>
        <w:t>Liste des mois ou périodes facturables et ordre de facturation.</w:t>
      </w:r>
    </w:p>
    <w:p>
      <w:pPr>
        <w:pStyle w:val="ListBullet"/>
        <w:spacing w:after="40"/>
      </w:pPr>
      <w:r>
        <w:t>Date d’échéance par période : jour fixe, date précise ou règle par classe.</w:t>
      </w:r>
    </w:p>
    <w:p>
      <w:pPr>
        <w:pStyle w:val="ListBullet"/>
        <w:spacing w:after="40"/>
      </w:pPr>
      <w:r>
        <w:t>Délai de grâce éventuel avant passage en recouvrement.</w:t>
      </w:r>
    </w:p>
    <w:p>
      <w:pPr>
        <w:pStyle w:val="ListBullet"/>
        <w:spacing w:after="40"/>
      </w:pPr>
      <w:r>
        <w:t>Statut : préparation, ouverte, clôturée.</w:t>
      </w:r>
    </w:p>
    <w:p>
      <w:pPr>
        <w:pStyle w:val="Heading2"/>
      </w:pPr>
      <w:r>
        <w:t>3.2 Grille tarifaire</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268"/>
            <w:vAlign w:val="center"/>
            <w:shd w:fill="1F5E4A"/>
          </w:tcPr>
          <w:p>
            <w:pPr>
              <w:spacing w:after="0"/>
            </w:pPr>
            <w:r/>
            <w:r>
              <w:rPr>
                <w:b/>
                <w:color w:val="FFFFFF"/>
                <w:sz w:val="18"/>
              </w:rPr>
              <w:t>Champ</w:t>
            </w:r>
          </w:p>
        </w:tc>
        <w:tc>
          <w:tcPr>
            <w:tcW w:type="dxa" w:w="2268"/>
            <w:vAlign w:val="center"/>
            <w:shd w:fill="1F5E4A"/>
          </w:tcPr>
          <w:p>
            <w:pPr>
              <w:spacing w:after="0"/>
            </w:pPr>
            <w:r/>
            <w:r>
              <w:rPr>
                <w:b/>
                <w:color w:val="FFFFFF"/>
                <w:sz w:val="18"/>
              </w:rPr>
              <w:t>Exemple</w:t>
            </w:r>
          </w:p>
        </w:tc>
        <w:tc>
          <w:tcPr>
            <w:tcW w:type="dxa" w:w="4535"/>
            <w:vAlign w:val="center"/>
            <w:shd w:fill="1F5E4A"/>
          </w:tcPr>
          <w:p>
            <w:pPr>
              <w:spacing w:after="0"/>
            </w:pPr>
            <w:r/>
            <w:r>
              <w:rPr>
                <w:b/>
                <w:color w:val="FFFFFF"/>
                <w:sz w:val="18"/>
              </w:rPr>
              <w:t>Règle</w:t>
            </w:r>
          </w:p>
        </w:tc>
      </w:tr>
      <w:tr>
        <w:tc>
          <w:tcPr>
            <w:tcW w:type="dxa" w:w="2268"/>
            <w:vAlign w:val="center"/>
          </w:tcPr>
          <w:p>
            <w:pPr>
              <w:spacing w:after="0"/>
            </w:pPr>
            <w:r/>
            <w:r>
              <w:rPr>
                <w:b w:val="0"/>
                <w:sz w:val="17"/>
              </w:rPr>
              <w:t>Niveau / classe</w:t>
            </w:r>
          </w:p>
        </w:tc>
        <w:tc>
          <w:tcPr>
            <w:tcW w:type="dxa" w:w="2268"/>
            <w:vAlign w:val="center"/>
          </w:tcPr>
          <w:p>
            <w:pPr>
              <w:spacing w:after="0"/>
            </w:pPr>
            <w:r/>
            <w:r>
              <w:rPr>
                <w:b w:val="0"/>
                <w:sz w:val="17"/>
              </w:rPr>
              <w:t>Licence 1, Master 2, CI, Terminale</w:t>
            </w:r>
          </w:p>
        </w:tc>
        <w:tc>
          <w:tcPr>
            <w:tcW w:type="dxa" w:w="4535"/>
            <w:vAlign w:val="center"/>
          </w:tcPr>
          <w:p>
            <w:pPr>
              <w:spacing w:after="0"/>
            </w:pPr>
            <w:r/>
            <w:r>
              <w:rPr>
                <w:b w:val="0"/>
                <w:sz w:val="17"/>
              </w:rPr>
              <w:t>La tarification peut varier selon le programme ou la classe.</w:t>
            </w:r>
          </w:p>
        </w:tc>
      </w:tr>
      <w:tr>
        <w:tc>
          <w:tcPr>
            <w:tcW w:type="dxa" w:w="2268"/>
            <w:vAlign w:val="center"/>
            <w:shd w:fill="F2F6F4"/>
          </w:tcPr>
          <w:p>
            <w:pPr>
              <w:spacing w:after="0"/>
            </w:pPr>
            <w:r/>
            <w:r>
              <w:rPr>
                <w:b w:val="0"/>
                <w:sz w:val="17"/>
              </w:rPr>
              <w:t>Frais d’inscription</w:t>
            </w:r>
          </w:p>
        </w:tc>
        <w:tc>
          <w:tcPr>
            <w:tcW w:type="dxa" w:w="2268"/>
            <w:vAlign w:val="center"/>
            <w:shd w:fill="F2F6F4"/>
          </w:tcPr>
          <w:p>
            <w:pPr>
              <w:spacing w:after="0"/>
            </w:pPr>
            <w:r/>
            <w:r>
              <w:rPr>
                <w:b w:val="0"/>
                <w:sz w:val="17"/>
              </w:rPr>
              <w:t>100 000 FCFA</w:t>
            </w:r>
          </w:p>
        </w:tc>
        <w:tc>
          <w:tcPr>
            <w:tcW w:type="dxa" w:w="4535"/>
            <w:vAlign w:val="center"/>
            <w:shd w:fill="F2F6F4"/>
          </w:tcPr>
          <w:p>
            <w:pPr>
              <w:spacing w:after="0"/>
            </w:pPr>
            <w:r/>
            <w:r>
              <w:rPr>
                <w:b w:val="0"/>
                <w:sz w:val="17"/>
              </w:rPr>
              <w:t>Échéance unique ; inclus dans le CA principal.</w:t>
            </w:r>
          </w:p>
        </w:tc>
      </w:tr>
      <w:tr>
        <w:tc>
          <w:tcPr>
            <w:tcW w:type="dxa" w:w="2268"/>
            <w:vAlign w:val="center"/>
          </w:tcPr>
          <w:p>
            <w:pPr>
              <w:spacing w:after="0"/>
            </w:pPr>
            <w:r/>
            <w:r>
              <w:rPr>
                <w:b w:val="0"/>
                <w:sz w:val="17"/>
              </w:rPr>
              <w:t>Scolarité totale</w:t>
            </w:r>
          </w:p>
        </w:tc>
        <w:tc>
          <w:tcPr>
            <w:tcW w:type="dxa" w:w="2268"/>
            <w:vAlign w:val="center"/>
          </w:tcPr>
          <w:p>
            <w:pPr>
              <w:spacing w:after="0"/>
            </w:pPr>
            <w:r/>
            <w:r>
              <w:rPr>
                <w:b w:val="0"/>
                <w:sz w:val="17"/>
              </w:rPr>
              <w:t>1 000 000 FCFA</w:t>
            </w:r>
          </w:p>
        </w:tc>
        <w:tc>
          <w:tcPr>
            <w:tcW w:type="dxa" w:w="4535"/>
            <w:vAlign w:val="center"/>
          </w:tcPr>
          <w:p>
            <w:pPr>
              <w:spacing w:after="0"/>
            </w:pPr>
            <w:r/>
            <w:r>
              <w:rPr>
                <w:b w:val="0"/>
                <w:sz w:val="17"/>
              </w:rPr>
              <w:t>Répartie selon un échéancier paramétrable.</w:t>
            </w:r>
          </w:p>
        </w:tc>
      </w:tr>
      <w:tr>
        <w:tc>
          <w:tcPr>
            <w:tcW w:type="dxa" w:w="2268"/>
            <w:vAlign w:val="center"/>
            <w:shd w:fill="F2F6F4"/>
          </w:tcPr>
          <w:p>
            <w:pPr>
              <w:spacing w:after="0"/>
            </w:pPr>
            <w:r/>
            <w:r>
              <w:rPr>
                <w:b w:val="0"/>
                <w:sz w:val="17"/>
              </w:rPr>
              <w:t>Nombre d’échéances</w:t>
            </w:r>
          </w:p>
        </w:tc>
        <w:tc>
          <w:tcPr>
            <w:tcW w:type="dxa" w:w="2268"/>
            <w:vAlign w:val="center"/>
            <w:shd w:fill="F2F6F4"/>
          </w:tcPr>
          <w:p>
            <w:pPr>
              <w:spacing w:after="0"/>
            </w:pPr>
            <w:r/>
            <w:r>
              <w:rPr>
                <w:b w:val="0"/>
                <w:sz w:val="17"/>
              </w:rPr>
              <w:t>10 mois</w:t>
            </w:r>
          </w:p>
        </w:tc>
        <w:tc>
          <w:tcPr>
            <w:tcW w:type="dxa" w:w="4535"/>
            <w:vAlign w:val="center"/>
            <w:shd w:fill="F2F6F4"/>
          </w:tcPr>
          <w:p>
            <w:pPr>
              <w:spacing w:after="0"/>
            </w:pPr>
            <w:r/>
            <w:r>
              <w:rPr>
                <w:b w:val="0"/>
                <w:sz w:val="17"/>
              </w:rPr>
              <w:t>Ne pas supposer systématiquement 10 : valeur configurable.</w:t>
            </w:r>
          </w:p>
        </w:tc>
      </w:tr>
      <w:tr>
        <w:tc>
          <w:tcPr>
            <w:tcW w:type="dxa" w:w="2268"/>
            <w:vAlign w:val="center"/>
          </w:tcPr>
          <w:p>
            <w:pPr>
              <w:spacing w:after="0"/>
            </w:pPr>
            <w:r/>
            <w:r>
              <w:rPr>
                <w:b w:val="0"/>
                <w:sz w:val="17"/>
              </w:rPr>
              <w:t>Montant par échéance</w:t>
            </w:r>
          </w:p>
        </w:tc>
        <w:tc>
          <w:tcPr>
            <w:tcW w:type="dxa" w:w="2268"/>
            <w:vAlign w:val="center"/>
          </w:tcPr>
          <w:p>
            <w:pPr>
              <w:spacing w:after="0"/>
            </w:pPr>
            <w:r/>
            <w:r>
              <w:rPr>
                <w:b w:val="0"/>
                <w:sz w:val="17"/>
              </w:rPr>
              <w:t>100 000 FCFA</w:t>
            </w:r>
          </w:p>
        </w:tc>
        <w:tc>
          <w:tcPr>
            <w:tcW w:type="dxa" w:w="4535"/>
            <w:vAlign w:val="center"/>
          </w:tcPr>
          <w:p>
            <w:pPr>
              <w:spacing w:after="0"/>
            </w:pPr>
            <w:r/>
            <w:r>
              <w:rPr>
                <w:b w:val="0"/>
                <w:sz w:val="17"/>
              </w:rPr>
              <w:t>Peut être régulier ou différent selon les mois.</w:t>
            </w:r>
          </w:p>
        </w:tc>
      </w:tr>
      <w:tr>
        <w:tc>
          <w:tcPr>
            <w:tcW w:type="dxa" w:w="2268"/>
            <w:vAlign w:val="center"/>
            <w:shd w:fill="F2F6F4"/>
          </w:tcPr>
          <w:p>
            <w:pPr>
              <w:spacing w:after="0"/>
            </w:pPr>
            <w:r/>
            <w:r>
              <w:rPr>
                <w:b w:val="0"/>
                <w:sz w:val="17"/>
              </w:rPr>
              <w:t>Période de rattachement</w:t>
            </w:r>
          </w:p>
        </w:tc>
        <w:tc>
          <w:tcPr>
            <w:tcW w:type="dxa" w:w="2268"/>
            <w:vAlign w:val="center"/>
            <w:shd w:fill="F2F6F4"/>
          </w:tcPr>
          <w:p>
            <w:pPr>
              <w:spacing w:after="0"/>
            </w:pPr>
            <w:r/>
            <w:r>
              <w:rPr>
                <w:b w:val="0"/>
                <w:sz w:val="17"/>
              </w:rPr>
              <w:t>Septembre 2026</w:t>
            </w:r>
          </w:p>
        </w:tc>
        <w:tc>
          <w:tcPr>
            <w:tcW w:type="dxa" w:w="4535"/>
            <w:vAlign w:val="center"/>
            <w:shd w:fill="F2F6F4"/>
          </w:tcPr>
          <w:p>
            <w:pPr>
              <w:spacing w:after="0"/>
            </w:pPr>
            <w:r/>
            <w:r>
              <w:rPr>
                <w:b w:val="0"/>
                <w:sz w:val="17"/>
              </w:rPr>
              <w:t>Obligatoire pour le CA comptable.</w:t>
            </w:r>
          </w:p>
        </w:tc>
      </w:tr>
      <w:tr>
        <w:tc>
          <w:tcPr>
            <w:tcW w:type="dxa" w:w="2268"/>
            <w:vAlign w:val="center"/>
          </w:tcPr>
          <w:p>
            <w:pPr>
              <w:spacing w:after="0"/>
            </w:pPr>
            <w:r/>
            <w:r>
              <w:rPr>
                <w:b w:val="0"/>
                <w:sz w:val="17"/>
              </w:rPr>
              <w:t>Remises / bourses</w:t>
            </w:r>
          </w:p>
        </w:tc>
        <w:tc>
          <w:tcPr>
            <w:tcW w:type="dxa" w:w="2268"/>
            <w:vAlign w:val="center"/>
          </w:tcPr>
          <w:p>
            <w:pPr>
              <w:spacing w:after="0"/>
            </w:pPr>
            <w:r/>
            <w:r>
              <w:rPr>
                <w:b w:val="0"/>
                <w:sz w:val="17"/>
              </w:rPr>
              <w:t>20 % ou 200 000 FCFA</w:t>
            </w:r>
          </w:p>
        </w:tc>
        <w:tc>
          <w:tcPr>
            <w:tcW w:type="dxa" w:w="4535"/>
            <w:vAlign w:val="center"/>
          </w:tcPr>
          <w:p>
            <w:pPr>
              <w:spacing w:after="0"/>
            </w:pPr>
            <w:r/>
            <w:r>
              <w:rPr>
                <w:b w:val="0"/>
                <w:sz w:val="17"/>
              </w:rPr>
              <w:t>Doivent réduire l’engagement selon une règle explicite.</w:t>
            </w:r>
          </w:p>
        </w:tc>
      </w:tr>
      <w:tr>
        <w:tc>
          <w:tcPr>
            <w:tcW w:type="dxa" w:w="2268"/>
            <w:vAlign w:val="center"/>
            <w:shd w:fill="F2F6F4"/>
          </w:tcPr>
          <w:p>
            <w:pPr>
              <w:spacing w:after="0"/>
            </w:pPr>
            <w:r/>
            <w:r>
              <w:rPr>
                <w:b w:val="0"/>
                <w:sz w:val="17"/>
              </w:rPr>
              <w:t>Devise</w:t>
            </w:r>
          </w:p>
        </w:tc>
        <w:tc>
          <w:tcPr>
            <w:tcW w:type="dxa" w:w="2268"/>
            <w:vAlign w:val="center"/>
            <w:shd w:fill="F2F6F4"/>
          </w:tcPr>
          <w:p>
            <w:pPr>
              <w:spacing w:after="0"/>
            </w:pPr>
            <w:r/>
            <w:r>
              <w:rPr>
                <w:b w:val="0"/>
                <w:sz w:val="17"/>
              </w:rPr>
              <w:t>FCFA</w:t>
            </w:r>
          </w:p>
        </w:tc>
        <w:tc>
          <w:tcPr>
            <w:tcW w:type="dxa" w:w="4535"/>
            <w:vAlign w:val="center"/>
            <w:shd w:fill="F2F6F4"/>
          </w:tcPr>
          <w:p>
            <w:pPr>
              <w:spacing w:after="0"/>
            </w:pPr>
            <w:r/>
            <w:r>
              <w:rPr>
                <w:b w:val="0"/>
                <w:sz w:val="17"/>
              </w:rPr>
              <w:t>Une devise principale ; multi-devise seulement si nécessaire.</w:t>
            </w:r>
          </w:p>
        </w:tc>
      </w:tr>
    </w:tbl>
    <w:p>
      <w:pPr>
        <w:spacing w:after="0"/>
      </w:pPr>
    </w:p>
    <w:p>
      <w:pPr>
        <w:pStyle w:val="Heading2"/>
      </w:pPr>
      <w:r>
        <w:t>3.3 Nature des produits et des paiements</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701"/>
            <w:vAlign w:val="center"/>
            <w:shd w:fill="1F5E4A"/>
          </w:tcPr>
          <w:p>
            <w:pPr>
              <w:spacing w:after="0"/>
            </w:pPr>
            <w:r/>
            <w:r>
              <w:rPr>
                <w:b/>
                <w:color w:val="FFFFFF"/>
                <w:sz w:val="18"/>
              </w:rPr>
              <w:t>Catégorie</w:t>
            </w:r>
          </w:p>
        </w:tc>
        <w:tc>
          <w:tcPr>
            <w:tcW w:type="dxa" w:w="2835"/>
            <w:vAlign w:val="center"/>
            <w:shd w:fill="1F5E4A"/>
          </w:tcPr>
          <w:p>
            <w:pPr>
              <w:spacing w:after="0"/>
            </w:pPr>
            <w:r/>
            <w:r>
              <w:rPr>
                <w:b/>
                <w:color w:val="FFFFFF"/>
                <w:sz w:val="18"/>
              </w:rPr>
              <w:t>Nature</w:t>
            </w:r>
          </w:p>
        </w:tc>
        <w:tc>
          <w:tcPr>
            <w:tcW w:type="dxa" w:w="2268"/>
            <w:vAlign w:val="center"/>
            <w:shd w:fill="1F5E4A"/>
          </w:tcPr>
          <w:p>
            <w:pPr>
              <w:spacing w:after="0"/>
            </w:pPr>
            <w:r/>
            <w:r>
              <w:rPr>
                <w:b/>
                <w:color w:val="FFFFFF"/>
                <w:sz w:val="18"/>
              </w:rPr>
              <w:t>Inclus dans CA principal ?</w:t>
            </w:r>
          </w:p>
        </w:tc>
        <w:tc>
          <w:tcPr>
            <w:tcW w:type="dxa" w:w="2268"/>
            <w:vAlign w:val="center"/>
            <w:shd w:fill="1F5E4A"/>
          </w:tcPr>
          <w:p>
            <w:pPr>
              <w:spacing w:after="0"/>
            </w:pPr>
            <w:r/>
            <w:r>
              <w:rPr>
                <w:b/>
                <w:color w:val="FFFFFF"/>
                <w:sz w:val="18"/>
              </w:rPr>
              <w:t>Inclus dans trésorerie ?</w:t>
            </w:r>
          </w:p>
        </w:tc>
      </w:tr>
      <w:tr>
        <w:tc>
          <w:tcPr>
            <w:tcW w:type="dxa" w:w="1701"/>
            <w:vAlign w:val="center"/>
          </w:tcPr>
          <w:p>
            <w:pPr>
              <w:spacing w:after="0"/>
            </w:pPr>
            <w:r/>
            <w:r>
              <w:rPr>
                <w:b w:val="0"/>
                <w:sz w:val="16"/>
              </w:rPr>
              <w:t>Scolarité</w:t>
            </w:r>
          </w:p>
        </w:tc>
        <w:tc>
          <w:tcPr>
            <w:tcW w:type="dxa" w:w="2835"/>
            <w:vAlign w:val="center"/>
          </w:tcPr>
          <w:p>
            <w:pPr>
              <w:spacing w:after="0"/>
            </w:pPr>
            <w:r/>
            <w:r>
              <w:rPr>
                <w:b w:val="0"/>
                <w:sz w:val="16"/>
              </w:rPr>
              <w:t>Inscription</w:t>
            </w:r>
          </w:p>
        </w:tc>
        <w:tc>
          <w:tcPr>
            <w:tcW w:type="dxa" w:w="2268"/>
            <w:vAlign w:val="center"/>
          </w:tcPr>
          <w:p>
            <w:pPr>
              <w:spacing w:after="0"/>
            </w:pPr>
            <w:r/>
            <w:r>
              <w:rPr>
                <w:b w:val="0"/>
                <w:sz w:val="16"/>
              </w:rPr>
              <w:t>Oui</w:t>
            </w:r>
          </w:p>
        </w:tc>
        <w:tc>
          <w:tcPr>
            <w:tcW w:type="dxa" w:w="2268"/>
            <w:vAlign w:val="center"/>
          </w:tcPr>
          <w:p>
            <w:pPr>
              <w:spacing w:after="0"/>
            </w:pPr>
            <w:r/>
            <w:r>
              <w:rPr>
                <w:b w:val="0"/>
                <w:sz w:val="16"/>
              </w:rPr>
              <w:t>Oui si encaissé</w:t>
            </w:r>
          </w:p>
        </w:tc>
      </w:tr>
      <w:tr>
        <w:tc>
          <w:tcPr>
            <w:tcW w:type="dxa" w:w="1701"/>
            <w:vAlign w:val="center"/>
            <w:shd w:fill="F2F6F4"/>
          </w:tcPr>
          <w:p>
            <w:pPr>
              <w:spacing w:after="0"/>
            </w:pPr>
            <w:r/>
            <w:r>
              <w:rPr>
                <w:b w:val="0"/>
                <w:sz w:val="16"/>
              </w:rPr>
              <w:t>Scolarité</w:t>
            </w:r>
          </w:p>
        </w:tc>
        <w:tc>
          <w:tcPr>
            <w:tcW w:type="dxa" w:w="2835"/>
            <w:vAlign w:val="center"/>
            <w:shd w:fill="F2F6F4"/>
          </w:tcPr>
          <w:p>
            <w:pPr>
              <w:spacing w:after="0"/>
            </w:pPr>
            <w:r/>
            <w:r>
              <w:rPr>
                <w:b w:val="0"/>
                <w:sz w:val="16"/>
              </w:rPr>
              <w:t>Mensualité / échéance de scolarité</w:t>
            </w:r>
          </w:p>
        </w:tc>
        <w:tc>
          <w:tcPr>
            <w:tcW w:type="dxa" w:w="2268"/>
            <w:vAlign w:val="center"/>
            <w:shd w:fill="F2F6F4"/>
          </w:tcPr>
          <w:p>
            <w:pPr>
              <w:spacing w:after="0"/>
            </w:pPr>
            <w:r/>
            <w:r>
              <w:rPr>
                <w:b w:val="0"/>
                <w:sz w:val="16"/>
              </w:rPr>
              <w:t>Oui</w:t>
            </w:r>
          </w:p>
        </w:tc>
        <w:tc>
          <w:tcPr>
            <w:tcW w:type="dxa" w:w="2268"/>
            <w:vAlign w:val="center"/>
            <w:shd w:fill="F2F6F4"/>
          </w:tcPr>
          <w:p>
            <w:pPr>
              <w:spacing w:after="0"/>
            </w:pPr>
            <w:r/>
            <w:r>
              <w:rPr>
                <w:b w:val="0"/>
                <w:sz w:val="16"/>
              </w:rPr>
              <w:t>Oui si encaissé</w:t>
            </w:r>
          </w:p>
        </w:tc>
      </w:tr>
      <w:tr>
        <w:tc>
          <w:tcPr>
            <w:tcW w:type="dxa" w:w="1701"/>
            <w:vAlign w:val="center"/>
          </w:tcPr>
          <w:p>
            <w:pPr>
              <w:spacing w:after="0"/>
            </w:pPr>
            <w:r/>
            <w:r>
              <w:rPr>
                <w:b w:val="0"/>
                <w:sz w:val="16"/>
              </w:rPr>
              <w:t>Divers</w:t>
            </w:r>
          </w:p>
        </w:tc>
        <w:tc>
          <w:tcPr>
            <w:tcW w:type="dxa" w:w="2835"/>
            <w:vAlign w:val="center"/>
          </w:tcPr>
          <w:p>
            <w:pPr>
              <w:spacing w:after="0"/>
            </w:pPr>
            <w:r/>
            <w:r>
              <w:rPr>
                <w:b w:val="0"/>
                <w:sz w:val="16"/>
              </w:rPr>
              <w:t>Cantine, transport, uniforme, dossier, duplicata, location, autres</w:t>
            </w:r>
          </w:p>
        </w:tc>
        <w:tc>
          <w:tcPr>
            <w:tcW w:type="dxa" w:w="2268"/>
            <w:vAlign w:val="center"/>
          </w:tcPr>
          <w:p>
            <w:pPr>
              <w:spacing w:after="0"/>
            </w:pPr>
            <w:r/>
            <w:r>
              <w:rPr>
                <w:b w:val="0"/>
                <w:sz w:val="16"/>
              </w:rPr>
              <w:t>Non</w:t>
            </w:r>
          </w:p>
        </w:tc>
        <w:tc>
          <w:tcPr>
            <w:tcW w:type="dxa" w:w="2268"/>
            <w:vAlign w:val="center"/>
          </w:tcPr>
          <w:p>
            <w:pPr>
              <w:spacing w:after="0"/>
            </w:pPr>
            <w:r/>
            <w:r>
              <w:rPr>
                <w:b w:val="0"/>
                <w:sz w:val="16"/>
              </w:rPr>
              <w:t>Oui si encaissé</w:t>
            </w:r>
          </w:p>
        </w:tc>
      </w:tr>
      <w:tr>
        <w:tc>
          <w:tcPr>
            <w:tcW w:type="dxa" w:w="1701"/>
            <w:vAlign w:val="center"/>
            <w:shd w:fill="F2F6F4"/>
          </w:tcPr>
          <w:p>
            <w:pPr>
              <w:spacing w:after="0"/>
            </w:pPr>
            <w:r/>
            <w:r>
              <w:rPr>
                <w:b w:val="0"/>
                <w:sz w:val="16"/>
              </w:rPr>
              <w:t>Ajustement</w:t>
            </w:r>
          </w:p>
        </w:tc>
        <w:tc>
          <w:tcPr>
            <w:tcW w:type="dxa" w:w="2835"/>
            <w:vAlign w:val="center"/>
            <w:shd w:fill="F2F6F4"/>
          </w:tcPr>
          <w:p>
            <w:pPr>
              <w:spacing w:after="0"/>
            </w:pPr>
            <w:r/>
            <w:r>
              <w:rPr>
                <w:b w:val="0"/>
                <w:sz w:val="16"/>
              </w:rPr>
              <w:t>Remise, bourse, avoir, annulation</w:t>
            </w:r>
          </w:p>
        </w:tc>
        <w:tc>
          <w:tcPr>
            <w:tcW w:type="dxa" w:w="2268"/>
            <w:vAlign w:val="center"/>
            <w:shd w:fill="F2F6F4"/>
          </w:tcPr>
          <w:p>
            <w:pPr>
              <w:spacing w:after="0"/>
            </w:pPr>
            <w:r/>
            <w:r>
              <w:rPr>
                <w:b w:val="0"/>
                <w:sz w:val="16"/>
              </w:rPr>
              <w:t>Réduit ou corrige le CA selon le cas</w:t>
            </w:r>
          </w:p>
        </w:tc>
        <w:tc>
          <w:tcPr>
            <w:tcW w:type="dxa" w:w="2268"/>
            <w:vAlign w:val="center"/>
            <w:shd w:fill="F2F6F4"/>
          </w:tcPr>
          <w:p>
            <w:pPr>
              <w:spacing w:after="0"/>
            </w:pPr>
            <w:r/>
            <w:r>
              <w:rPr>
                <w:b w:val="0"/>
                <w:sz w:val="16"/>
              </w:rPr>
              <w:t>Pas une entrée d’argent</w:t>
            </w:r>
          </w:p>
        </w:tc>
      </w:tr>
      <w:tr>
        <w:tc>
          <w:tcPr>
            <w:tcW w:type="dxa" w:w="1701"/>
            <w:vAlign w:val="center"/>
          </w:tcPr>
          <w:p>
            <w:pPr>
              <w:spacing w:after="0"/>
            </w:pPr>
            <w:r/>
            <w:r>
              <w:rPr>
                <w:b w:val="0"/>
                <w:sz w:val="16"/>
              </w:rPr>
              <w:t>Sortie</w:t>
            </w:r>
          </w:p>
        </w:tc>
        <w:tc>
          <w:tcPr>
            <w:tcW w:type="dxa" w:w="2835"/>
            <w:vAlign w:val="center"/>
          </w:tcPr>
          <w:p>
            <w:pPr>
              <w:spacing w:after="0"/>
            </w:pPr>
            <w:r/>
            <w:r>
              <w:rPr>
                <w:b w:val="0"/>
                <w:sz w:val="16"/>
              </w:rPr>
              <w:t>Remboursement</w:t>
            </w:r>
          </w:p>
        </w:tc>
        <w:tc>
          <w:tcPr>
            <w:tcW w:type="dxa" w:w="2268"/>
            <w:vAlign w:val="center"/>
          </w:tcPr>
          <w:p>
            <w:pPr>
              <w:spacing w:after="0"/>
            </w:pPr>
            <w:r/>
            <w:r>
              <w:rPr>
                <w:b w:val="0"/>
                <w:sz w:val="16"/>
              </w:rPr>
              <w:t>Peut corriger le CA ou seulement la trésorerie selon le motif</w:t>
            </w:r>
          </w:p>
        </w:tc>
        <w:tc>
          <w:tcPr>
            <w:tcW w:type="dxa" w:w="2268"/>
            <w:vAlign w:val="center"/>
          </w:tcPr>
          <w:p>
            <w:pPr>
              <w:spacing w:after="0"/>
            </w:pPr>
            <w:r/>
            <w:r>
              <w:rPr>
                <w:b w:val="0"/>
                <w:sz w:val="16"/>
              </w:rPr>
              <w:t>Oui, en négatif</w:t>
            </w:r>
          </w:p>
        </w:tc>
      </w:tr>
    </w:tbl>
    <w:p>
      <w:pPr>
        <w:spacing w:after="0"/>
      </w:pPr>
    </w:p>
    <w:p>
      <w:pPr>
        <w:pStyle w:val="Heading1"/>
      </w:pPr>
      <w:r>
        <w:t>4. Règles de génération des engagements</w:t>
      </w:r>
    </w:p>
    <w:p>
      <w:r>
        <w:t>Lorsqu’une inscription est validée, le système doit créer un engagement financier et ses échéances. L’engagement ne doit pas être calculé dynamiquement à partir de la grille tarifaire à chaque consultation : une copie historisée du tarif appliqué doit être conservée afin que les montants du passé ne changent pas lorsque la grille est modifiée.</w:t>
      </w:r>
    </w:p>
    <w:p>
      <w:pPr>
        <w:pStyle w:val="ListNumber"/>
        <w:spacing w:after="40"/>
      </w:pPr>
      <w:r>
        <w:t>Créer l’engagement d’inscription avec son montant, sa date d’exigibilité et sa date de rattachement comptable.</w:t>
      </w:r>
    </w:p>
    <w:p>
      <w:pPr>
        <w:pStyle w:val="ListNumber"/>
        <w:spacing w:after="40"/>
      </w:pPr>
      <w:r>
        <w:t>Créer les échéances de scolarité selon le calendrier de l’année scolaire.</w:t>
      </w:r>
    </w:p>
    <w:p>
      <w:pPr>
        <w:pStyle w:val="ListNumber"/>
        <w:spacing w:after="40"/>
      </w:pPr>
      <w:r>
        <w:t>Appliquer les remises, bourses ou exonérations autorisées, avec justificatif et auteur de la décision.</w:t>
      </w:r>
    </w:p>
    <w:p>
      <w:pPr>
        <w:pStyle w:val="ListNumber"/>
        <w:spacing w:after="40"/>
      </w:pPr>
      <w:r>
        <w:t>Calculer le montant net engagé : montant brut - remises - bourses - exonérations + ajustements.</w:t>
      </w:r>
    </w:p>
    <w:p>
      <w:pPr>
        <w:pStyle w:val="ListNumber"/>
        <w:spacing w:after="40"/>
      </w:pPr>
      <w:r>
        <w:t>Conserver un identifiant unique pour chaque échéance et empêcher les doublons en cas de relance technique.</w:t>
      </w:r>
    </w:p>
    <w:p>
      <w:pPr>
        <w:pStyle w:val="ListNumber"/>
        <w:spacing w:after="40"/>
      </w:pPr>
      <w:r>
        <w:t>Passer l’engagement au statut actif uniquement après validation de l’inscription.</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vAlign w:val="center"/>
            <w:shd w:fill="1F5E4A"/>
          </w:tcPr>
          <w:p>
            <w:pPr>
              <w:spacing w:after="0"/>
            </w:pPr>
            <w:r/>
            <w:r>
              <w:rPr>
                <w:b/>
                <w:color w:val="FFFFFF"/>
                <w:sz w:val="18"/>
              </w:rPr>
              <w:t>Statut engagement</w:t>
            </w:r>
          </w:p>
        </w:tc>
        <w:tc>
          <w:tcPr>
            <w:tcW w:type="dxa" w:w="6803"/>
            <w:vAlign w:val="center"/>
            <w:shd w:fill="1F5E4A"/>
          </w:tcPr>
          <w:p>
            <w:pPr>
              <w:spacing w:after="0"/>
            </w:pPr>
            <w:r/>
            <w:r>
              <w:rPr>
                <w:b/>
                <w:color w:val="FFFFFF"/>
                <w:sz w:val="18"/>
              </w:rPr>
              <w:t>Signification</w:t>
            </w:r>
          </w:p>
        </w:tc>
      </w:tr>
      <w:tr>
        <w:tc>
          <w:tcPr>
            <w:tcW w:type="dxa" w:w="2268"/>
            <w:vAlign w:val="center"/>
          </w:tcPr>
          <w:p>
            <w:pPr>
              <w:spacing w:after="0"/>
            </w:pPr>
            <w:r/>
            <w:r>
              <w:rPr>
                <w:b w:val="0"/>
                <w:sz w:val="17"/>
              </w:rPr>
              <w:t>BROUILLON</w:t>
            </w:r>
          </w:p>
        </w:tc>
        <w:tc>
          <w:tcPr>
            <w:tcW w:type="dxa" w:w="6803"/>
            <w:vAlign w:val="center"/>
          </w:tcPr>
          <w:p>
            <w:pPr>
              <w:spacing w:after="0"/>
            </w:pPr>
            <w:r/>
            <w:r>
              <w:rPr>
                <w:b w:val="0"/>
                <w:sz w:val="17"/>
              </w:rPr>
              <w:t>Simulation non comptabilisée.</w:t>
            </w:r>
          </w:p>
        </w:tc>
      </w:tr>
      <w:tr>
        <w:tc>
          <w:tcPr>
            <w:tcW w:type="dxa" w:w="2268"/>
            <w:vAlign w:val="center"/>
            <w:shd w:fill="F2F6F4"/>
          </w:tcPr>
          <w:p>
            <w:pPr>
              <w:spacing w:after="0"/>
            </w:pPr>
            <w:r/>
            <w:r>
              <w:rPr>
                <w:b w:val="0"/>
                <w:sz w:val="17"/>
              </w:rPr>
              <w:t>ACTIF</w:t>
            </w:r>
          </w:p>
        </w:tc>
        <w:tc>
          <w:tcPr>
            <w:tcW w:type="dxa" w:w="6803"/>
            <w:vAlign w:val="center"/>
            <w:shd w:fill="F2F6F4"/>
          </w:tcPr>
          <w:p>
            <w:pPr>
              <w:spacing w:after="0"/>
            </w:pPr>
            <w:r/>
            <w:r>
              <w:rPr>
                <w:b w:val="0"/>
                <w:sz w:val="17"/>
              </w:rPr>
              <w:t>Engagement valide, intégré aux indicateurs.</w:t>
            </w:r>
          </w:p>
        </w:tc>
      </w:tr>
      <w:tr>
        <w:tc>
          <w:tcPr>
            <w:tcW w:type="dxa" w:w="2268"/>
            <w:vAlign w:val="center"/>
          </w:tcPr>
          <w:p>
            <w:pPr>
              <w:spacing w:after="0"/>
            </w:pPr>
            <w:r/>
            <w:r>
              <w:rPr>
                <w:b w:val="0"/>
                <w:sz w:val="17"/>
              </w:rPr>
              <w:t>SUSPENDU</w:t>
            </w:r>
          </w:p>
        </w:tc>
        <w:tc>
          <w:tcPr>
            <w:tcW w:type="dxa" w:w="6803"/>
            <w:vAlign w:val="center"/>
          </w:tcPr>
          <w:p>
            <w:pPr>
              <w:spacing w:after="0"/>
            </w:pPr>
            <w:r/>
            <w:r>
              <w:rPr>
                <w:b w:val="0"/>
                <w:sz w:val="17"/>
              </w:rPr>
              <w:t>Engagement temporairement gelé ; aucune nouvelle action automatique sans décision métier.</w:t>
            </w:r>
          </w:p>
        </w:tc>
      </w:tr>
      <w:tr>
        <w:tc>
          <w:tcPr>
            <w:tcW w:type="dxa" w:w="2268"/>
            <w:vAlign w:val="center"/>
            <w:shd w:fill="F2F6F4"/>
          </w:tcPr>
          <w:p>
            <w:pPr>
              <w:spacing w:after="0"/>
            </w:pPr>
            <w:r/>
            <w:r>
              <w:rPr>
                <w:b w:val="0"/>
                <w:sz w:val="17"/>
              </w:rPr>
              <w:t>RÉSILIÉ</w:t>
            </w:r>
          </w:p>
        </w:tc>
        <w:tc>
          <w:tcPr>
            <w:tcW w:type="dxa" w:w="6803"/>
            <w:vAlign w:val="center"/>
            <w:shd w:fill="F2F6F4"/>
          </w:tcPr>
          <w:p>
            <w:pPr>
              <w:spacing w:after="0"/>
            </w:pPr>
            <w:r/>
            <w:r>
              <w:rPr>
                <w:b w:val="0"/>
                <w:sz w:val="17"/>
              </w:rPr>
              <w:t>Contrat interrompu ; les échéances futures sont annulées selon la date d’effet.</w:t>
            </w:r>
          </w:p>
        </w:tc>
      </w:tr>
      <w:tr>
        <w:tc>
          <w:tcPr>
            <w:tcW w:type="dxa" w:w="2268"/>
            <w:vAlign w:val="center"/>
          </w:tcPr>
          <w:p>
            <w:pPr>
              <w:spacing w:after="0"/>
            </w:pPr>
            <w:r/>
            <w:r>
              <w:rPr>
                <w:b w:val="0"/>
                <w:sz w:val="17"/>
              </w:rPr>
              <w:t>ANNULÉ</w:t>
            </w:r>
          </w:p>
        </w:tc>
        <w:tc>
          <w:tcPr>
            <w:tcW w:type="dxa" w:w="6803"/>
            <w:vAlign w:val="center"/>
          </w:tcPr>
          <w:p>
            <w:pPr>
              <w:spacing w:after="0"/>
            </w:pPr>
            <w:r/>
            <w:r>
              <w:rPr>
                <w:b w:val="0"/>
                <w:sz w:val="17"/>
              </w:rPr>
              <w:t>Erreur ou inscription annulée ; traçabilité obligatoire.</w:t>
            </w:r>
          </w:p>
        </w:tc>
      </w:tr>
      <w:tr>
        <w:tc>
          <w:tcPr>
            <w:tcW w:type="dxa" w:w="2268"/>
            <w:vAlign w:val="center"/>
            <w:shd w:fill="F2F6F4"/>
          </w:tcPr>
          <w:p>
            <w:pPr>
              <w:spacing w:after="0"/>
            </w:pPr>
            <w:r/>
            <w:r>
              <w:rPr>
                <w:b w:val="0"/>
                <w:sz w:val="17"/>
              </w:rPr>
              <w:t>CLOTURÉ</w:t>
            </w:r>
          </w:p>
        </w:tc>
        <w:tc>
          <w:tcPr>
            <w:tcW w:type="dxa" w:w="6803"/>
            <w:vAlign w:val="center"/>
            <w:shd w:fill="F2F6F4"/>
          </w:tcPr>
          <w:p>
            <w:pPr>
              <w:spacing w:after="0"/>
            </w:pPr>
            <w:r/>
            <w:r>
              <w:rPr>
                <w:b w:val="0"/>
                <w:sz w:val="17"/>
              </w:rPr>
              <w:t>Toutes les échéances sont soldées ou définitivement régularisées.</w:t>
            </w:r>
          </w:p>
        </w:tc>
      </w:tr>
    </w:tbl>
    <w:p>
      <w:pPr>
        <w:spacing w:after="0"/>
      </w:pPr>
    </w:p>
    <w:p>
      <w:pPr>
        <w:pStyle w:val="Heading1"/>
      </w:pPr>
      <w:r>
        <w:t>5. Chiffre d’affaires d’engagement</w:t>
      </w:r>
    </w:p>
    <w:p>
      <w:r>
        <w:t>Le CA d’engagement donne la valeur totale des obligations de paiement rattachées à une année scolaire. Il répond à une logique contractuelle et commerciale, non à la date d’encaissement.</w:t>
      </w:r>
    </w:p>
    <w:tbl>
      <w:tblPr>
        <w:tblStyle w:val="TableGrid"/>
        <w:tblW w:type="auto" w:w="0"/>
        <w:jc w:val="center"/>
        <w:tblLook w:firstColumn="1" w:firstRow="1" w:lastColumn="0" w:lastRow="0" w:noHBand="0" w:noVBand="1" w:val="04A0"/>
      </w:tblPr>
      <w:tblGrid>
        <w:gridCol w:w="9972"/>
      </w:tblGrid>
      <w:tr>
        <w:tc>
          <w:tcPr>
            <w:tcW w:type="dxa" w:w="9972"/>
            <w:shd w:fill="EAF4F0"/>
          </w:tcPr>
          <w:p>
            <w:pPr>
              <w:spacing w:after="0"/>
            </w:pPr>
            <w:r/>
            <w:r>
              <w:rPr>
                <w:b/>
                <w:color w:val="1F5E4A"/>
              </w:rPr>
              <w:t xml:space="preserve">Formule : </w:t>
            </w:r>
            <w:r>
              <w:t>CA d’engagement net d’une année scolaire = somme des frais d’inscription nets + somme de toutes les échéances de scolarité nettes de cette année scolaire, qu’elles soient passées, présentes ou futures.</w:t>
            </w:r>
          </w:p>
        </w:tc>
      </w:tr>
    </w:tbl>
    <w:p>
      <w:pPr>
        <w:spacing w:after="0"/>
      </w:pP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35"/>
            <w:vAlign w:val="center"/>
            <w:shd w:fill="1F5E4A"/>
          </w:tcPr>
          <w:p>
            <w:pPr>
              <w:spacing w:after="0"/>
            </w:pPr>
            <w:r/>
            <w:r>
              <w:rPr>
                <w:b/>
                <w:color w:val="FFFFFF"/>
                <w:sz w:val="18"/>
              </w:rPr>
              <w:t>Indicateur</w:t>
            </w:r>
          </w:p>
        </w:tc>
        <w:tc>
          <w:tcPr>
            <w:tcW w:type="dxa" w:w="6236"/>
            <w:vAlign w:val="center"/>
            <w:shd w:fill="1F5E4A"/>
          </w:tcPr>
          <w:p>
            <w:pPr>
              <w:spacing w:after="0"/>
            </w:pPr>
            <w:r/>
            <w:r>
              <w:rPr>
                <w:b/>
                <w:color w:val="FFFFFF"/>
                <w:sz w:val="18"/>
              </w:rPr>
              <w:t>Calcul</w:t>
            </w:r>
          </w:p>
        </w:tc>
      </w:tr>
      <w:tr>
        <w:tc>
          <w:tcPr>
            <w:tcW w:type="dxa" w:w="2835"/>
            <w:vAlign w:val="center"/>
          </w:tcPr>
          <w:p>
            <w:pPr>
              <w:spacing w:after="0"/>
            </w:pPr>
            <w:r/>
            <w:r>
              <w:rPr>
                <w:b w:val="0"/>
                <w:sz w:val="17"/>
              </w:rPr>
              <w:t>CA d’engagement brut</w:t>
            </w:r>
          </w:p>
        </w:tc>
        <w:tc>
          <w:tcPr>
            <w:tcW w:type="dxa" w:w="6236"/>
            <w:vAlign w:val="center"/>
          </w:tcPr>
          <w:p>
            <w:pPr>
              <w:spacing w:after="0"/>
            </w:pPr>
            <w:r/>
            <w:r>
              <w:rPr>
                <w:b w:val="0"/>
                <w:sz w:val="17"/>
              </w:rPr>
              <w:t>Somme des montants tarifaires avant remises.</w:t>
            </w:r>
          </w:p>
        </w:tc>
      </w:tr>
      <w:tr>
        <w:tc>
          <w:tcPr>
            <w:tcW w:type="dxa" w:w="2835"/>
            <w:vAlign w:val="center"/>
            <w:shd w:fill="F2F6F4"/>
          </w:tcPr>
          <w:p>
            <w:pPr>
              <w:spacing w:after="0"/>
            </w:pPr>
            <w:r/>
            <w:r>
              <w:rPr>
                <w:b w:val="0"/>
                <w:sz w:val="17"/>
              </w:rPr>
              <w:t>Remises et bourses</w:t>
            </w:r>
          </w:p>
        </w:tc>
        <w:tc>
          <w:tcPr>
            <w:tcW w:type="dxa" w:w="6236"/>
            <w:vAlign w:val="center"/>
            <w:shd w:fill="F2F6F4"/>
          </w:tcPr>
          <w:p>
            <w:pPr>
              <w:spacing w:after="0"/>
            </w:pPr>
            <w:r/>
            <w:r>
              <w:rPr>
                <w:b w:val="0"/>
                <w:sz w:val="17"/>
              </w:rPr>
              <w:t>Somme des réductions accordées.</w:t>
            </w:r>
          </w:p>
        </w:tc>
      </w:tr>
      <w:tr>
        <w:tc>
          <w:tcPr>
            <w:tcW w:type="dxa" w:w="2835"/>
            <w:vAlign w:val="center"/>
          </w:tcPr>
          <w:p>
            <w:pPr>
              <w:spacing w:after="0"/>
            </w:pPr>
            <w:r/>
            <w:r>
              <w:rPr>
                <w:b w:val="0"/>
                <w:sz w:val="17"/>
              </w:rPr>
              <w:t>CA d’engagement net</w:t>
            </w:r>
          </w:p>
        </w:tc>
        <w:tc>
          <w:tcPr>
            <w:tcW w:type="dxa" w:w="6236"/>
            <w:vAlign w:val="center"/>
          </w:tcPr>
          <w:p>
            <w:pPr>
              <w:spacing w:after="0"/>
            </w:pPr>
            <w:r/>
            <w:r>
              <w:rPr>
                <w:b w:val="0"/>
                <w:sz w:val="17"/>
              </w:rPr>
              <w:t>CA brut - remises - bourses - exonérations + ajustements.</w:t>
            </w:r>
          </w:p>
        </w:tc>
      </w:tr>
      <w:tr>
        <w:tc>
          <w:tcPr>
            <w:tcW w:type="dxa" w:w="2835"/>
            <w:vAlign w:val="center"/>
            <w:shd w:fill="F2F6F4"/>
          </w:tcPr>
          <w:p>
            <w:pPr>
              <w:spacing w:after="0"/>
            </w:pPr>
            <w:r/>
            <w:r>
              <w:rPr>
                <w:b w:val="0"/>
                <w:sz w:val="17"/>
              </w:rPr>
              <w:t>Montant encaissé sur engagements</w:t>
            </w:r>
          </w:p>
        </w:tc>
        <w:tc>
          <w:tcPr>
            <w:tcW w:type="dxa" w:w="6236"/>
            <w:vAlign w:val="center"/>
            <w:shd w:fill="F2F6F4"/>
          </w:tcPr>
          <w:p>
            <w:pPr>
              <w:spacing w:after="0"/>
            </w:pPr>
            <w:r/>
            <w:r>
              <w:rPr>
                <w:b w:val="0"/>
                <w:sz w:val="17"/>
              </w:rPr>
              <w:t>Somme des paiements affectés aux échéances de l’année scolaire.</w:t>
            </w:r>
          </w:p>
        </w:tc>
      </w:tr>
      <w:tr>
        <w:tc>
          <w:tcPr>
            <w:tcW w:type="dxa" w:w="2835"/>
            <w:vAlign w:val="center"/>
          </w:tcPr>
          <w:p>
            <w:pPr>
              <w:spacing w:after="0"/>
            </w:pPr>
            <w:r/>
            <w:r>
              <w:rPr>
                <w:b w:val="0"/>
                <w:sz w:val="17"/>
              </w:rPr>
              <w:t>Reste à encaisser</w:t>
            </w:r>
          </w:p>
        </w:tc>
        <w:tc>
          <w:tcPr>
            <w:tcW w:type="dxa" w:w="6236"/>
            <w:vAlign w:val="center"/>
          </w:tcPr>
          <w:p>
            <w:pPr>
              <w:spacing w:after="0"/>
            </w:pPr>
            <w:r/>
            <w:r>
              <w:rPr>
                <w:b w:val="0"/>
                <w:sz w:val="17"/>
              </w:rPr>
              <w:t>CA d’engagement net - paiements affectés - avoirs.</w:t>
            </w:r>
          </w:p>
        </w:tc>
      </w:tr>
      <w:tr>
        <w:tc>
          <w:tcPr>
            <w:tcW w:type="dxa" w:w="2835"/>
            <w:vAlign w:val="center"/>
            <w:shd w:fill="F2F6F4"/>
          </w:tcPr>
          <w:p>
            <w:pPr>
              <w:spacing w:after="0"/>
            </w:pPr>
            <w:r/>
            <w:r>
              <w:rPr>
                <w:b w:val="0"/>
                <w:sz w:val="17"/>
              </w:rPr>
              <w:t>Taux d’encaissement</w:t>
            </w:r>
          </w:p>
        </w:tc>
        <w:tc>
          <w:tcPr>
            <w:tcW w:type="dxa" w:w="6236"/>
            <w:vAlign w:val="center"/>
            <w:shd w:fill="F2F6F4"/>
          </w:tcPr>
          <w:p>
            <w:pPr>
              <w:spacing w:after="0"/>
            </w:pPr>
            <w:r/>
            <w:r>
              <w:rPr>
                <w:b w:val="0"/>
                <w:sz w:val="17"/>
              </w:rPr>
              <w:t>Montant encaissé / CA d’engagement net × 100.</w:t>
            </w:r>
          </w:p>
        </w:tc>
      </w:tr>
      <w:tr>
        <w:tc>
          <w:tcPr>
            <w:tcW w:type="dxa" w:w="2835"/>
            <w:vAlign w:val="center"/>
          </w:tcPr>
          <w:p>
            <w:pPr>
              <w:spacing w:after="0"/>
            </w:pPr>
            <w:r/>
            <w:r>
              <w:rPr>
                <w:b w:val="0"/>
                <w:sz w:val="17"/>
              </w:rPr>
              <w:t>Nombre d’inscrits</w:t>
            </w:r>
          </w:p>
        </w:tc>
        <w:tc>
          <w:tcPr>
            <w:tcW w:type="dxa" w:w="6236"/>
            <w:vAlign w:val="center"/>
          </w:tcPr>
          <w:p>
            <w:pPr>
              <w:spacing w:after="0"/>
            </w:pPr>
            <w:r/>
            <w:r>
              <w:rPr>
                <w:b w:val="0"/>
                <w:sz w:val="17"/>
              </w:rPr>
              <w:t>Nombre d’élèves avec engagement actif, dédoublonné par élève et année scolaire.</w:t>
            </w:r>
          </w:p>
        </w:tc>
      </w:tr>
    </w:tbl>
    <w:p>
      <w:pPr>
        <w:spacing w:after="0"/>
      </w:pPr>
    </w:p>
    <w:tbl>
      <w:tblPr>
        <w:tblStyle w:val="TableGrid"/>
        <w:tblW w:type="auto" w:w="0"/>
        <w:jc w:val="center"/>
        <w:tblLook w:firstColumn="1" w:firstRow="1" w:lastColumn="0" w:lastRow="0" w:noHBand="0" w:noVBand="1" w:val="04A0"/>
      </w:tblPr>
      <w:tblGrid>
        <w:gridCol w:w="9972"/>
      </w:tblGrid>
      <w:tr>
        <w:tc>
          <w:tcPr>
            <w:tcW w:type="dxa" w:w="9972"/>
            <w:shd w:fill="EAF4F0"/>
          </w:tcPr>
          <w:p>
            <w:pPr>
              <w:spacing w:after="0"/>
            </w:pPr>
            <w:r/>
            <w:r>
              <w:rPr>
                <w:b/>
                <w:color w:val="1F5E4A"/>
              </w:rPr>
              <w:t xml:space="preserve">Filtre essentiel : </w:t>
            </w:r>
            <w:r>
              <w:t>Le CA d’engagement doit être filtré par année scolaire, établissement, campus, programme, classe, niveau, régime de paiement et statut de l’étudiant.</w:t>
            </w:r>
          </w:p>
        </w:tc>
      </w:tr>
    </w:tbl>
    <w:p>
      <w:pPr>
        <w:spacing w:after="0"/>
      </w:pPr>
    </w:p>
    <w:p>
      <w:pPr>
        <w:pStyle w:val="Heading1"/>
      </w:pPr>
      <w:r>
        <w:t>6. Chiffre d’affaires comptable</w:t>
      </w:r>
    </w:p>
    <w:p>
      <w:r>
        <w:t>Le CA comptable est rattaché à une année civile. Pour la scolarité mensuelle, chaque échéance appartient à l’année civile de sa période de service, même si le paiement intervient avant ou après cette période.</w:t>
      </w:r>
    </w:p>
    <w:tbl>
      <w:tblPr>
        <w:tblStyle w:val="TableGrid"/>
        <w:tblW w:type="auto" w:w="0"/>
        <w:jc w:val="center"/>
        <w:tblLook w:firstColumn="1" w:firstRow="1" w:lastColumn="0" w:lastRow="0" w:noHBand="0" w:noVBand="1" w:val="04A0"/>
      </w:tblPr>
      <w:tblGrid>
        <w:gridCol w:w="9972"/>
      </w:tblGrid>
      <w:tr>
        <w:tc>
          <w:tcPr>
            <w:tcW w:type="dxa" w:w="9972"/>
            <w:shd w:fill="EAF4F0"/>
          </w:tcPr>
          <w:p>
            <w:pPr>
              <w:spacing w:after="0"/>
            </w:pPr>
            <w:r/>
            <w:r>
              <w:rPr>
                <w:b/>
                <w:color w:val="1F5E4A"/>
              </w:rPr>
              <w:t xml:space="preserve">Formule : </w:t>
            </w:r>
            <w:r>
              <w:t>CA comptable de l’année N = frais d’inscription dont la règle de reconnaissance les rattache à N + échéances de scolarité dont la période de service est comprise entre le 1er janvier et le 31 décembre N + ajustements comptables rattachés à N.</w:t>
            </w:r>
          </w:p>
        </w:tc>
      </w:tr>
    </w:tbl>
    <w:p>
      <w:pPr>
        <w:spacing w:after="0"/>
      </w:pPr>
    </w:p>
    <w:p>
      <w:pPr>
        <w:pStyle w:val="Heading2"/>
      </w:pPr>
      <w:r>
        <w:t>6.1 Exemple 2026-2027</w:t>
      </w:r>
    </w:p>
    <w:p>
      <w:r>
        <w:t>Un élève s’inscrit en septembre 2026 pour une scolarité de dix mois, de septembre 2026 à juin 2027. Les mensualités de septembre, octobre, novembre et décembre sont intégrées au CA comptable 2026. Les mensualités de janvier à juin sont intégrées au CA comptable 2027. Les dix mensualités restent toutes incluses dans le CA d’engagement 2026-2027.</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835"/>
            <w:vAlign w:val="center"/>
            <w:shd w:fill="1F5E4A"/>
          </w:tcPr>
          <w:p>
            <w:pPr>
              <w:spacing w:after="0"/>
            </w:pPr>
            <w:r/>
            <w:r>
              <w:rPr>
                <w:b/>
                <w:color w:val="FFFFFF"/>
                <w:sz w:val="18"/>
              </w:rPr>
              <w:t>Période</w:t>
            </w:r>
          </w:p>
        </w:tc>
        <w:tc>
          <w:tcPr>
            <w:tcW w:type="dxa" w:w="2268"/>
            <w:vAlign w:val="center"/>
            <w:shd w:fill="1F5E4A"/>
          </w:tcPr>
          <w:p>
            <w:pPr>
              <w:spacing w:after="0"/>
            </w:pPr>
            <w:r/>
            <w:r>
              <w:rPr>
                <w:b/>
                <w:color w:val="FFFFFF"/>
                <w:sz w:val="18"/>
              </w:rPr>
              <w:t>CA engagement 2026-2027</w:t>
            </w:r>
          </w:p>
        </w:tc>
        <w:tc>
          <w:tcPr>
            <w:tcW w:type="dxa" w:w="1984"/>
            <w:vAlign w:val="center"/>
            <w:shd w:fill="1F5E4A"/>
          </w:tcPr>
          <w:p>
            <w:pPr>
              <w:spacing w:after="0"/>
            </w:pPr>
            <w:r/>
            <w:r>
              <w:rPr>
                <w:b/>
                <w:color w:val="FFFFFF"/>
                <w:sz w:val="18"/>
              </w:rPr>
              <w:t>CA comptable 2026</w:t>
            </w:r>
          </w:p>
        </w:tc>
        <w:tc>
          <w:tcPr>
            <w:tcW w:type="dxa" w:w="1984"/>
            <w:vAlign w:val="center"/>
            <w:shd w:fill="1F5E4A"/>
          </w:tcPr>
          <w:p>
            <w:pPr>
              <w:spacing w:after="0"/>
            </w:pPr>
            <w:r/>
            <w:r>
              <w:rPr>
                <w:b/>
                <w:color w:val="FFFFFF"/>
                <w:sz w:val="18"/>
              </w:rPr>
              <w:t>CA comptable 2027</w:t>
            </w:r>
          </w:p>
        </w:tc>
      </w:tr>
      <w:tr>
        <w:tc>
          <w:tcPr>
            <w:tcW w:type="dxa" w:w="2835"/>
            <w:vAlign w:val="center"/>
          </w:tcPr>
          <w:p>
            <w:pPr>
              <w:spacing w:after="0"/>
            </w:pPr>
            <w:r/>
            <w:r>
              <w:rPr>
                <w:b w:val="0"/>
                <w:sz w:val="17"/>
              </w:rPr>
              <w:t>Frais d’inscription, septembre 2026</w:t>
            </w:r>
          </w:p>
        </w:tc>
        <w:tc>
          <w:tcPr>
            <w:tcW w:type="dxa" w:w="2268"/>
            <w:vAlign w:val="center"/>
          </w:tcPr>
          <w:p>
            <w:pPr>
              <w:spacing w:after="0"/>
            </w:pPr>
            <w:r/>
            <w:r>
              <w:rPr>
                <w:b w:val="0"/>
                <w:sz w:val="17"/>
              </w:rPr>
              <w:t>Inclus</w:t>
            </w:r>
          </w:p>
        </w:tc>
        <w:tc>
          <w:tcPr>
            <w:tcW w:type="dxa" w:w="1984"/>
            <w:vAlign w:val="center"/>
          </w:tcPr>
          <w:p>
            <w:pPr>
              <w:spacing w:after="0"/>
            </w:pPr>
            <w:r/>
            <w:r>
              <w:rPr>
                <w:b w:val="0"/>
                <w:sz w:val="17"/>
              </w:rPr>
              <w:t>Inclus, selon règle proposée</w:t>
            </w:r>
          </w:p>
        </w:tc>
        <w:tc>
          <w:tcPr>
            <w:tcW w:type="dxa" w:w="1984"/>
            <w:vAlign w:val="center"/>
          </w:tcPr>
          <w:p>
            <w:pPr>
              <w:spacing w:after="0"/>
            </w:pPr>
            <w:r/>
            <w:r>
              <w:rPr>
                <w:b w:val="0"/>
                <w:sz w:val="17"/>
              </w:rPr>
              <w:t>Non</w:t>
            </w:r>
          </w:p>
        </w:tc>
      </w:tr>
      <w:tr>
        <w:tc>
          <w:tcPr>
            <w:tcW w:type="dxa" w:w="2835"/>
            <w:vAlign w:val="center"/>
            <w:shd w:fill="F2F6F4"/>
          </w:tcPr>
          <w:p>
            <w:pPr>
              <w:spacing w:after="0"/>
            </w:pPr>
            <w:r/>
            <w:r>
              <w:rPr>
                <w:b w:val="0"/>
                <w:sz w:val="17"/>
              </w:rPr>
              <w:t>Septembre à décembre 2026</w:t>
            </w:r>
          </w:p>
        </w:tc>
        <w:tc>
          <w:tcPr>
            <w:tcW w:type="dxa" w:w="2268"/>
            <w:vAlign w:val="center"/>
            <w:shd w:fill="F2F6F4"/>
          </w:tcPr>
          <w:p>
            <w:pPr>
              <w:spacing w:after="0"/>
            </w:pPr>
            <w:r/>
            <w:r>
              <w:rPr>
                <w:b w:val="0"/>
                <w:sz w:val="17"/>
              </w:rPr>
              <w:t>4 mensualités incluses</w:t>
            </w:r>
          </w:p>
        </w:tc>
        <w:tc>
          <w:tcPr>
            <w:tcW w:type="dxa" w:w="1984"/>
            <w:vAlign w:val="center"/>
            <w:shd w:fill="F2F6F4"/>
          </w:tcPr>
          <w:p>
            <w:pPr>
              <w:spacing w:after="0"/>
            </w:pPr>
            <w:r/>
            <w:r>
              <w:rPr>
                <w:b w:val="0"/>
                <w:sz w:val="17"/>
              </w:rPr>
              <w:t>4 mensualités incluses</w:t>
            </w:r>
          </w:p>
        </w:tc>
        <w:tc>
          <w:tcPr>
            <w:tcW w:type="dxa" w:w="1984"/>
            <w:vAlign w:val="center"/>
            <w:shd w:fill="F2F6F4"/>
          </w:tcPr>
          <w:p>
            <w:pPr>
              <w:spacing w:after="0"/>
            </w:pPr>
            <w:r/>
            <w:r>
              <w:rPr>
                <w:b w:val="0"/>
                <w:sz w:val="17"/>
              </w:rPr>
              <w:t>Non</w:t>
            </w:r>
          </w:p>
        </w:tc>
      </w:tr>
      <w:tr>
        <w:tc>
          <w:tcPr>
            <w:tcW w:type="dxa" w:w="2835"/>
            <w:vAlign w:val="center"/>
          </w:tcPr>
          <w:p>
            <w:pPr>
              <w:spacing w:after="0"/>
            </w:pPr>
            <w:r/>
            <w:r>
              <w:rPr>
                <w:b w:val="0"/>
                <w:sz w:val="17"/>
              </w:rPr>
              <w:t>Janvier à juin 2027</w:t>
            </w:r>
          </w:p>
        </w:tc>
        <w:tc>
          <w:tcPr>
            <w:tcW w:type="dxa" w:w="2268"/>
            <w:vAlign w:val="center"/>
          </w:tcPr>
          <w:p>
            <w:pPr>
              <w:spacing w:after="0"/>
            </w:pPr>
            <w:r/>
            <w:r>
              <w:rPr>
                <w:b w:val="0"/>
                <w:sz w:val="17"/>
              </w:rPr>
              <w:t>6 mensualités incluses</w:t>
            </w:r>
          </w:p>
        </w:tc>
        <w:tc>
          <w:tcPr>
            <w:tcW w:type="dxa" w:w="1984"/>
            <w:vAlign w:val="center"/>
          </w:tcPr>
          <w:p>
            <w:pPr>
              <w:spacing w:after="0"/>
            </w:pPr>
            <w:r/>
            <w:r>
              <w:rPr>
                <w:b w:val="0"/>
                <w:sz w:val="17"/>
              </w:rPr>
              <w:t>Non</w:t>
            </w:r>
          </w:p>
        </w:tc>
        <w:tc>
          <w:tcPr>
            <w:tcW w:type="dxa" w:w="1984"/>
            <w:vAlign w:val="center"/>
          </w:tcPr>
          <w:p>
            <w:pPr>
              <w:spacing w:after="0"/>
            </w:pPr>
            <w:r/>
            <w:r>
              <w:rPr>
                <w:b w:val="0"/>
                <w:sz w:val="17"/>
              </w:rPr>
              <w:t>6 mensualités incluses</w:t>
            </w:r>
          </w:p>
        </w:tc>
      </w:tr>
    </w:tbl>
    <w:p>
      <w:pPr>
        <w:spacing w:after="0"/>
      </w:pPr>
    </w:p>
    <w:tbl>
      <w:tblPr>
        <w:tblStyle w:val="TableGrid"/>
        <w:tblW w:type="auto" w:w="0"/>
        <w:jc w:val="center"/>
        <w:tblLook w:firstColumn="1" w:firstRow="1" w:lastColumn="0" w:lastRow="0" w:noHBand="0" w:noVBand="1" w:val="04A0"/>
      </w:tblPr>
      <w:tblGrid>
        <w:gridCol w:w="9972"/>
      </w:tblGrid>
      <w:tr>
        <w:tc>
          <w:tcPr>
            <w:tcW w:type="dxa" w:w="9972"/>
            <w:shd w:fill="FFF4E6"/>
          </w:tcPr>
          <w:p>
            <w:pPr>
              <w:spacing w:after="0"/>
            </w:pPr>
            <w:r/>
            <w:r>
              <w:rPr>
                <w:b/>
                <w:color w:val="1F5E4A"/>
              </w:rPr>
              <w:t xml:space="preserve">Règle proposée pour l’inscription : </w:t>
            </w:r>
            <w:r>
              <w:t>Reconnaître les frais d’inscription à la date de validation de l’inscription. Cette règle doit être configurable et validée par le responsable financier, car le traitement comptable définitif dépend des règles de l’établissement et de son référentiel comptable.</w:t>
            </w:r>
          </w:p>
        </w:tc>
      </w:tr>
    </w:tbl>
    <w:p>
      <w:pPr>
        <w:spacing w:after="0"/>
      </w:pPr>
    </w:p>
    <w:p>
      <w:pPr>
        <w:pStyle w:val="Heading2"/>
      </w:pPr>
      <w:r>
        <w:t>6.2 Indépendance vis-à-vis du paiement</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835"/>
            <w:vAlign w:val="center"/>
            <w:shd w:fill="1F5E4A"/>
          </w:tcPr>
          <w:p>
            <w:pPr>
              <w:spacing w:after="0"/>
            </w:pPr>
            <w:r/>
            <w:r>
              <w:rPr>
                <w:b/>
                <w:color w:val="FFFFFF"/>
                <w:sz w:val="18"/>
              </w:rPr>
              <w:t>Situation</w:t>
            </w:r>
          </w:p>
        </w:tc>
        <w:tc>
          <w:tcPr>
            <w:tcW w:type="dxa" w:w="2268"/>
            <w:vAlign w:val="center"/>
            <w:shd w:fill="1F5E4A"/>
          </w:tcPr>
          <w:p>
            <w:pPr>
              <w:spacing w:after="0"/>
            </w:pPr>
            <w:r/>
            <w:r>
              <w:rPr>
                <w:b/>
                <w:color w:val="FFFFFF"/>
                <w:sz w:val="18"/>
              </w:rPr>
              <w:t>CA comptable</w:t>
            </w:r>
          </w:p>
        </w:tc>
        <w:tc>
          <w:tcPr>
            <w:tcW w:type="dxa" w:w="2268"/>
            <w:vAlign w:val="center"/>
            <w:shd w:fill="1F5E4A"/>
          </w:tcPr>
          <w:p>
            <w:pPr>
              <w:spacing w:after="0"/>
            </w:pPr>
            <w:r/>
            <w:r>
              <w:rPr>
                <w:b/>
                <w:color w:val="FFFFFF"/>
                <w:sz w:val="18"/>
              </w:rPr>
              <w:t>Encaissement</w:t>
            </w:r>
          </w:p>
        </w:tc>
        <w:tc>
          <w:tcPr>
            <w:tcW w:type="dxa" w:w="2268"/>
            <w:vAlign w:val="center"/>
            <w:shd w:fill="1F5E4A"/>
          </w:tcPr>
          <w:p>
            <w:pPr>
              <w:spacing w:after="0"/>
            </w:pPr>
            <w:r/>
            <w:r>
              <w:rPr>
                <w:b/>
                <w:color w:val="FFFFFF"/>
                <w:sz w:val="18"/>
              </w:rPr>
              <w:t>Recouvrement</w:t>
            </w:r>
          </w:p>
        </w:tc>
      </w:tr>
      <w:tr>
        <w:tc>
          <w:tcPr>
            <w:tcW w:type="dxa" w:w="2835"/>
            <w:vAlign w:val="center"/>
          </w:tcPr>
          <w:p>
            <w:pPr>
              <w:spacing w:after="0"/>
            </w:pPr>
            <w:r/>
            <w:r>
              <w:rPr>
                <w:b w:val="0"/>
                <w:sz w:val="16"/>
              </w:rPr>
              <w:t>Mensualité de novembre payée en septembre</w:t>
            </w:r>
          </w:p>
        </w:tc>
        <w:tc>
          <w:tcPr>
            <w:tcW w:type="dxa" w:w="2268"/>
            <w:vAlign w:val="center"/>
          </w:tcPr>
          <w:p>
            <w:pPr>
              <w:spacing w:after="0"/>
            </w:pPr>
            <w:r/>
            <w:r>
              <w:rPr>
                <w:b w:val="0"/>
                <w:sz w:val="16"/>
              </w:rPr>
              <w:t>Reconnue en novembre</w:t>
            </w:r>
          </w:p>
        </w:tc>
        <w:tc>
          <w:tcPr>
            <w:tcW w:type="dxa" w:w="2268"/>
            <w:vAlign w:val="center"/>
          </w:tcPr>
          <w:p>
            <w:pPr>
              <w:spacing w:after="0"/>
            </w:pPr>
            <w:r/>
            <w:r>
              <w:rPr>
                <w:b w:val="0"/>
                <w:sz w:val="16"/>
              </w:rPr>
              <w:t>Enregistré en septembre</w:t>
            </w:r>
          </w:p>
        </w:tc>
        <w:tc>
          <w:tcPr>
            <w:tcW w:type="dxa" w:w="2268"/>
            <w:vAlign w:val="center"/>
          </w:tcPr>
          <w:p>
            <w:pPr>
              <w:spacing w:after="0"/>
            </w:pPr>
            <w:r/>
            <w:r>
              <w:rPr>
                <w:b w:val="0"/>
                <w:sz w:val="16"/>
              </w:rPr>
              <w:t>Aucun impayé</w:t>
            </w:r>
          </w:p>
        </w:tc>
      </w:tr>
      <w:tr>
        <w:tc>
          <w:tcPr>
            <w:tcW w:type="dxa" w:w="2835"/>
            <w:vAlign w:val="center"/>
            <w:shd w:fill="F2F6F4"/>
          </w:tcPr>
          <w:p>
            <w:pPr>
              <w:spacing w:after="0"/>
            </w:pPr>
            <w:r/>
            <w:r>
              <w:rPr>
                <w:b w:val="0"/>
                <w:sz w:val="16"/>
              </w:rPr>
              <w:t>Mensualité de novembre payée en janvier suivant</w:t>
            </w:r>
          </w:p>
        </w:tc>
        <w:tc>
          <w:tcPr>
            <w:tcW w:type="dxa" w:w="2268"/>
            <w:vAlign w:val="center"/>
            <w:shd w:fill="F2F6F4"/>
          </w:tcPr>
          <w:p>
            <w:pPr>
              <w:spacing w:after="0"/>
            </w:pPr>
            <w:r/>
            <w:r>
              <w:rPr>
                <w:b w:val="0"/>
                <w:sz w:val="16"/>
              </w:rPr>
              <w:t>Reconnue en novembre</w:t>
            </w:r>
          </w:p>
        </w:tc>
        <w:tc>
          <w:tcPr>
            <w:tcW w:type="dxa" w:w="2268"/>
            <w:vAlign w:val="center"/>
            <w:shd w:fill="F2F6F4"/>
          </w:tcPr>
          <w:p>
            <w:pPr>
              <w:spacing w:after="0"/>
            </w:pPr>
            <w:r/>
            <w:r>
              <w:rPr>
                <w:b w:val="0"/>
                <w:sz w:val="16"/>
              </w:rPr>
              <w:t>Enregistré en janvier</w:t>
            </w:r>
          </w:p>
        </w:tc>
        <w:tc>
          <w:tcPr>
            <w:tcW w:type="dxa" w:w="2268"/>
            <w:vAlign w:val="center"/>
            <w:shd w:fill="F2F6F4"/>
          </w:tcPr>
          <w:p>
            <w:pPr>
              <w:spacing w:after="0"/>
            </w:pPr>
            <w:r/>
            <w:r>
              <w:rPr>
                <w:b w:val="0"/>
                <w:sz w:val="16"/>
              </w:rPr>
              <w:t>En recouvrement entre l’échéance et le paiement</w:t>
            </w:r>
          </w:p>
        </w:tc>
      </w:tr>
      <w:tr>
        <w:tc>
          <w:tcPr>
            <w:tcW w:type="dxa" w:w="2835"/>
            <w:vAlign w:val="center"/>
          </w:tcPr>
          <w:p>
            <w:pPr>
              <w:spacing w:after="0"/>
            </w:pPr>
            <w:r/>
            <w:r>
              <w:rPr>
                <w:b w:val="0"/>
                <w:sz w:val="16"/>
              </w:rPr>
              <w:t>Mensualité future non encore échue</w:t>
            </w:r>
          </w:p>
        </w:tc>
        <w:tc>
          <w:tcPr>
            <w:tcW w:type="dxa" w:w="2268"/>
            <w:vAlign w:val="center"/>
          </w:tcPr>
          <w:p>
            <w:pPr>
              <w:spacing w:after="0"/>
            </w:pPr>
            <w:r/>
            <w:r>
              <w:rPr>
                <w:b w:val="0"/>
                <w:sz w:val="16"/>
              </w:rPr>
              <w:t>Reconnue à sa période de service</w:t>
            </w:r>
          </w:p>
        </w:tc>
        <w:tc>
          <w:tcPr>
            <w:tcW w:type="dxa" w:w="2268"/>
            <w:vAlign w:val="center"/>
          </w:tcPr>
          <w:p>
            <w:pPr>
              <w:spacing w:after="0"/>
            </w:pPr>
            <w:r/>
            <w:r>
              <w:rPr>
                <w:b w:val="0"/>
                <w:sz w:val="16"/>
              </w:rPr>
              <w:t>Aucun tant qu’elle n’est pas payée</w:t>
            </w:r>
          </w:p>
        </w:tc>
        <w:tc>
          <w:tcPr>
            <w:tcW w:type="dxa" w:w="2268"/>
            <w:vAlign w:val="center"/>
          </w:tcPr>
          <w:p>
            <w:pPr>
              <w:spacing w:after="0"/>
            </w:pPr>
            <w:r/>
            <w:r>
              <w:rPr>
                <w:b w:val="0"/>
                <w:sz w:val="16"/>
              </w:rPr>
              <w:t>Créance à échoir, pas recouvrement</w:t>
            </w:r>
          </w:p>
        </w:tc>
      </w:tr>
      <w:tr>
        <w:tc>
          <w:tcPr>
            <w:tcW w:type="dxa" w:w="2835"/>
            <w:vAlign w:val="center"/>
            <w:shd w:fill="F2F6F4"/>
          </w:tcPr>
          <w:p>
            <w:pPr>
              <w:spacing w:after="0"/>
            </w:pPr>
            <w:r/>
            <w:r>
              <w:rPr>
                <w:b w:val="0"/>
                <w:sz w:val="16"/>
              </w:rPr>
              <w:t>Paiement sans affectation</w:t>
            </w:r>
          </w:p>
        </w:tc>
        <w:tc>
          <w:tcPr>
            <w:tcW w:type="dxa" w:w="2268"/>
            <w:vAlign w:val="center"/>
            <w:shd w:fill="F2F6F4"/>
          </w:tcPr>
          <w:p>
            <w:pPr>
              <w:spacing w:after="0"/>
            </w:pPr>
            <w:r/>
            <w:r>
              <w:rPr>
                <w:b w:val="0"/>
                <w:sz w:val="16"/>
              </w:rPr>
              <w:t>Aucun impact tant que non affecté, sauf règle d’acompte</w:t>
            </w:r>
          </w:p>
        </w:tc>
        <w:tc>
          <w:tcPr>
            <w:tcW w:type="dxa" w:w="2268"/>
            <w:vAlign w:val="center"/>
            <w:shd w:fill="F2F6F4"/>
          </w:tcPr>
          <w:p>
            <w:pPr>
              <w:spacing w:after="0"/>
            </w:pPr>
            <w:r/>
            <w:r>
              <w:rPr>
                <w:b w:val="0"/>
                <w:sz w:val="16"/>
              </w:rPr>
              <w:t>Visible comme acompte</w:t>
            </w:r>
          </w:p>
        </w:tc>
        <w:tc>
          <w:tcPr>
            <w:tcW w:type="dxa" w:w="2268"/>
            <w:vAlign w:val="center"/>
            <w:shd w:fill="F2F6F4"/>
          </w:tcPr>
          <w:p>
            <w:pPr>
              <w:spacing w:after="0"/>
            </w:pPr>
            <w:r/>
            <w:r>
              <w:rPr>
                <w:b w:val="0"/>
                <w:sz w:val="16"/>
              </w:rPr>
              <w:t>Ne solde pas automatiquement une échéance sans règle d’affectation</w:t>
            </w:r>
          </w:p>
        </w:tc>
      </w:tr>
    </w:tbl>
    <w:p>
      <w:pPr>
        <w:spacing w:after="0"/>
      </w:pPr>
    </w:p>
    <w:p>
      <w:pPr>
        <w:pStyle w:val="Heading1"/>
      </w:pPr>
      <w:r>
        <w:t>7. Encaissements et comptabilité journalière</w:t>
      </w:r>
    </w:p>
    <w:p>
      <w:r>
        <w:t>La comptabilité journalière doit s’appuyer sur un journal immuable des opérations. Chaque paiement validé crée une écriture d’encaissement datée, numérotée et traçable. Les modifications ne doivent pas écraser l’opération d’origine : elles doivent produire une annulation, une contre-écriture ou un remboursement.</w:t>
      </w:r>
    </w:p>
    <w:p>
      <w:pPr>
        <w:pStyle w:val="Heading2"/>
      </w:pPr>
      <w:r>
        <w:t>7.1 Données minimales d’un encaissement</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551"/>
            <w:vAlign w:val="center"/>
            <w:shd w:fill="1F5E4A"/>
          </w:tcPr>
          <w:p>
            <w:pPr>
              <w:spacing w:after="0"/>
            </w:pPr>
            <w:r/>
            <w:r>
              <w:rPr>
                <w:b/>
                <w:color w:val="FFFFFF"/>
                <w:sz w:val="18"/>
              </w:rPr>
              <w:t>Champ</w:t>
            </w:r>
          </w:p>
        </w:tc>
        <w:tc>
          <w:tcPr>
            <w:tcW w:type="dxa" w:w="6520"/>
            <w:vAlign w:val="center"/>
            <w:shd w:fill="1F5E4A"/>
          </w:tcPr>
          <w:p>
            <w:pPr>
              <w:spacing w:after="0"/>
            </w:pPr>
            <w:r/>
            <w:r>
              <w:rPr>
                <w:b/>
                <w:color w:val="FFFFFF"/>
                <w:sz w:val="18"/>
              </w:rPr>
              <w:t>Description</w:t>
            </w:r>
          </w:p>
        </w:tc>
      </w:tr>
      <w:tr>
        <w:tc>
          <w:tcPr>
            <w:tcW w:type="dxa" w:w="2551"/>
            <w:vAlign w:val="center"/>
          </w:tcPr>
          <w:p>
            <w:pPr>
              <w:spacing w:after="0"/>
            </w:pPr>
            <w:r/>
            <w:r>
              <w:rPr>
                <w:b w:val="0"/>
                <w:sz w:val="16"/>
              </w:rPr>
              <w:t>Numéro de reçu</w:t>
            </w:r>
          </w:p>
        </w:tc>
        <w:tc>
          <w:tcPr>
            <w:tcW w:type="dxa" w:w="6520"/>
            <w:vAlign w:val="center"/>
          </w:tcPr>
          <w:p>
            <w:pPr>
              <w:spacing w:after="0"/>
            </w:pPr>
            <w:r/>
            <w:r>
              <w:rPr>
                <w:b w:val="0"/>
                <w:sz w:val="16"/>
              </w:rPr>
              <w:t>Unique, séquentiel ou conforme à la règle de l’établissement.</w:t>
            </w:r>
          </w:p>
        </w:tc>
      </w:tr>
      <w:tr>
        <w:tc>
          <w:tcPr>
            <w:tcW w:type="dxa" w:w="2551"/>
            <w:vAlign w:val="center"/>
            <w:shd w:fill="F2F6F4"/>
          </w:tcPr>
          <w:p>
            <w:pPr>
              <w:spacing w:after="0"/>
            </w:pPr>
            <w:r/>
            <w:r>
              <w:rPr>
                <w:b w:val="0"/>
                <w:sz w:val="16"/>
              </w:rPr>
              <w:t>Date et heure</w:t>
            </w:r>
          </w:p>
        </w:tc>
        <w:tc>
          <w:tcPr>
            <w:tcW w:type="dxa" w:w="6520"/>
            <w:vAlign w:val="center"/>
            <w:shd w:fill="F2F6F4"/>
          </w:tcPr>
          <w:p>
            <w:pPr>
              <w:spacing w:after="0"/>
            </w:pPr>
            <w:r/>
            <w:r>
              <w:rPr>
                <w:b w:val="0"/>
                <w:sz w:val="16"/>
              </w:rPr>
              <w:t>Date réelle d’encaissement ; non modifiable sans procédure d’annulation.</w:t>
            </w:r>
          </w:p>
        </w:tc>
      </w:tr>
      <w:tr>
        <w:tc>
          <w:tcPr>
            <w:tcW w:type="dxa" w:w="2551"/>
            <w:vAlign w:val="center"/>
          </w:tcPr>
          <w:p>
            <w:pPr>
              <w:spacing w:after="0"/>
            </w:pPr>
            <w:r/>
            <w:r>
              <w:rPr>
                <w:b w:val="0"/>
                <w:sz w:val="16"/>
              </w:rPr>
              <w:t>Payeur</w:t>
            </w:r>
          </w:p>
        </w:tc>
        <w:tc>
          <w:tcPr>
            <w:tcW w:type="dxa" w:w="6520"/>
            <w:vAlign w:val="center"/>
          </w:tcPr>
          <w:p>
            <w:pPr>
              <w:spacing w:after="0"/>
            </w:pPr>
            <w:r/>
            <w:r>
              <w:rPr>
                <w:b w:val="0"/>
                <w:sz w:val="16"/>
              </w:rPr>
              <w:t>Élève, parent, entreprise, organisme ou autre tiers.</w:t>
            </w:r>
          </w:p>
        </w:tc>
      </w:tr>
      <w:tr>
        <w:tc>
          <w:tcPr>
            <w:tcW w:type="dxa" w:w="2551"/>
            <w:vAlign w:val="center"/>
            <w:shd w:fill="F2F6F4"/>
          </w:tcPr>
          <w:p>
            <w:pPr>
              <w:spacing w:after="0"/>
            </w:pPr>
            <w:r/>
            <w:r>
              <w:rPr>
                <w:b w:val="0"/>
                <w:sz w:val="16"/>
              </w:rPr>
              <w:t>Bénéficiaire</w:t>
            </w:r>
          </w:p>
        </w:tc>
        <w:tc>
          <w:tcPr>
            <w:tcW w:type="dxa" w:w="6520"/>
            <w:vAlign w:val="center"/>
            <w:shd w:fill="F2F6F4"/>
          </w:tcPr>
          <w:p>
            <w:pPr>
              <w:spacing w:after="0"/>
            </w:pPr>
            <w:r/>
            <w:r>
              <w:rPr>
                <w:b w:val="0"/>
                <w:sz w:val="16"/>
              </w:rPr>
              <w:t>Élève et année scolaire concernés, lorsque applicable.</w:t>
            </w:r>
          </w:p>
        </w:tc>
      </w:tr>
      <w:tr>
        <w:tc>
          <w:tcPr>
            <w:tcW w:type="dxa" w:w="2551"/>
            <w:vAlign w:val="center"/>
          </w:tcPr>
          <w:p>
            <w:pPr>
              <w:spacing w:after="0"/>
            </w:pPr>
            <w:r/>
            <w:r>
              <w:rPr>
                <w:b w:val="0"/>
                <w:sz w:val="16"/>
              </w:rPr>
              <w:t>Nature</w:t>
            </w:r>
          </w:p>
        </w:tc>
        <w:tc>
          <w:tcPr>
            <w:tcW w:type="dxa" w:w="6520"/>
            <w:vAlign w:val="center"/>
          </w:tcPr>
          <w:p>
            <w:pPr>
              <w:spacing w:after="0"/>
            </w:pPr>
            <w:r/>
            <w:r>
              <w:rPr>
                <w:b w:val="0"/>
                <w:sz w:val="16"/>
              </w:rPr>
              <w:t>Inscription, scolarité ou recette diverse.</w:t>
            </w:r>
          </w:p>
        </w:tc>
      </w:tr>
      <w:tr>
        <w:tc>
          <w:tcPr>
            <w:tcW w:type="dxa" w:w="2551"/>
            <w:vAlign w:val="center"/>
            <w:shd w:fill="F2F6F4"/>
          </w:tcPr>
          <w:p>
            <w:pPr>
              <w:spacing w:after="0"/>
            </w:pPr>
            <w:r/>
            <w:r>
              <w:rPr>
                <w:b w:val="0"/>
                <w:sz w:val="16"/>
              </w:rPr>
              <w:t>Montant</w:t>
            </w:r>
          </w:p>
        </w:tc>
        <w:tc>
          <w:tcPr>
            <w:tcW w:type="dxa" w:w="6520"/>
            <w:vAlign w:val="center"/>
            <w:shd w:fill="F2F6F4"/>
          </w:tcPr>
          <w:p>
            <w:pPr>
              <w:spacing w:after="0"/>
            </w:pPr>
            <w:r/>
            <w:r>
              <w:rPr>
                <w:b w:val="0"/>
                <w:sz w:val="16"/>
              </w:rPr>
              <w:t>Montant brut, frais éventuels, net reçu.</w:t>
            </w:r>
          </w:p>
        </w:tc>
      </w:tr>
      <w:tr>
        <w:tc>
          <w:tcPr>
            <w:tcW w:type="dxa" w:w="2551"/>
            <w:vAlign w:val="center"/>
          </w:tcPr>
          <w:p>
            <w:pPr>
              <w:spacing w:after="0"/>
            </w:pPr>
            <w:r/>
            <w:r>
              <w:rPr>
                <w:b w:val="0"/>
                <w:sz w:val="16"/>
              </w:rPr>
              <w:t>Moyen de paiement</w:t>
            </w:r>
          </w:p>
        </w:tc>
        <w:tc>
          <w:tcPr>
            <w:tcW w:type="dxa" w:w="6520"/>
            <w:vAlign w:val="center"/>
          </w:tcPr>
          <w:p>
            <w:pPr>
              <w:spacing w:after="0"/>
            </w:pPr>
            <w:r/>
            <w:r>
              <w:rPr>
                <w:b w:val="0"/>
                <w:sz w:val="16"/>
              </w:rPr>
              <w:t>Espèces, carte, virement, chèque, mobile money, paiement en ligne.</w:t>
            </w:r>
          </w:p>
        </w:tc>
      </w:tr>
      <w:tr>
        <w:tc>
          <w:tcPr>
            <w:tcW w:type="dxa" w:w="2551"/>
            <w:vAlign w:val="center"/>
            <w:shd w:fill="F2F6F4"/>
          </w:tcPr>
          <w:p>
            <w:pPr>
              <w:spacing w:after="0"/>
            </w:pPr>
            <w:r/>
            <w:r>
              <w:rPr>
                <w:b w:val="0"/>
                <w:sz w:val="16"/>
              </w:rPr>
              <w:t>Référence externe</w:t>
            </w:r>
          </w:p>
        </w:tc>
        <w:tc>
          <w:tcPr>
            <w:tcW w:type="dxa" w:w="6520"/>
            <w:vAlign w:val="center"/>
            <w:shd w:fill="F2F6F4"/>
          </w:tcPr>
          <w:p>
            <w:pPr>
              <w:spacing w:after="0"/>
            </w:pPr>
            <w:r/>
            <w:r>
              <w:rPr>
                <w:b w:val="0"/>
                <w:sz w:val="16"/>
              </w:rPr>
              <w:t>Transaction opérateur, banque, chèque, bordereau.</w:t>
            </w:r>
          </w:p>
        </w:tc>
      </w:tr>
      <w:tr>
        <w:tc>
          <w:tcPr>
            <w:tcW w:type="dxa" w:w="2551"/>
            <w:vAlign w:val="center"/>
          </w:tcPr>
          <w:p>
            <w:pPr>
              <w:spacing w:after="0"/>
            </w:pPr>
            <w:r/>
            <w:r>
              <w:rPr>
                <w:b w:val="0"/>
                <w:sz w:val="16"/>
              </w:rPr>
              <w:t>Caisse / compte</w:t>
            </w:r>
          </w:p>
        </w:tc>
        <w:tc>
          <w:tcPr>
            <w:tcW w:type="dxa" w:w="6520"/>
            <w:vAlign w:val="center"/>
          </w:tcPr>
          <w:p>
            <w:pPr>
              <w:spacing w:after="0"/>
            </w:pPr>
            <w:r/>
            <w:r>
              <w:rPr>
                <w:b w:val="0"/>
                <w:sz w:val="16"/>
              </w:rPr>
              <w:t>Caisse physique ou compte bancaire recevant le paiement.</w:t>
            </w:r>
          </w:p>
        </w:tc>
      </w:tr>
      <w:tr>
        <w:tc>
          <w:tcPr>
            <w:tcW w:type="dxa" w:w="2551"/>
            <w:vAlign w:val="center"/>
            <w:shd w:fill="F2F6F4"/>
          </w:tcPr>
          <w:p>
            <w:pPr>
              <w:spacing w:after="0"/>
            </w:pPr>
            <w:r/>
            <w:r>
              <w:rPr>
                <w:b w:val="0"/>
                <w:sz w:val="16"/>
              </w:rPr>
              <w:t>Affectations</w:t>
            </w:r>
          </w:p>
        </w:tc>
        <w:tc>
          <w:tcPr>
            <w:tcW w:type="dxa" w:w="6520"/>
            <w:vAlign w:val="center"/>
            <w:shd w:fill="F2F6F4"/>
          </w:tcPr>
          <w:p>
            <w:pPr>
              <w:spacing w:after="0"/>
            </w:pPr>
            <w:r/>
            <w:r>
              <w:rPr>
                <w:b w:val="0"/>
                <w:sz w:val="16"/>
              </w:rPr>
              <w:t>Liste des échéances soldées partiellement ou totalement.</w:t>
            </w:r>
          </w:p>
        </w:tc>
      </w:tr>
      <w:tr>
        <w:tc>
          <w:tcPr>
            <w:tcW w:type="dxa" w:w="2551"/>
            <w:vAlign w:val="center"/>
          </w:tcPr>
          <w:p>
            <w:pPr>
              <w:spacing w:after="0"/>
            </w:pPr>
            <w:r/>
            <w:r>
              <w:rPr>
                <w:b w:val="0"/>
                <w:sz w:val="16"/>
              </w:rPr>
              <w:t>Utilisateur</w:t>
            </w:r>
          </w:p>
        </w:tc>
        <w:tc>
          <w:tcPr>
            <w:tcW w:type="dxa" w:w="6520"/>
            <w:vAlign w:val="center"/>
          </w:tcPr>
          <w:p>
            <w:pPr>
              <w:spacing w:after="0"/>
            </w:pPr>
            <w:r/>
            <w:r>
              <w:rPr>
                <w:b w:val="0"/>
                <w:sz w:val="16"/>
              </w:rPr>
              <w:t>Agent ayant saisi ou validé l’opération.</w:t>
            </w:r>
          </w:p>
        </w:tc>
      </w:tr>
      <w:tr>
        <w:tc>
          <w:tcPr>
            <w:tcW w:type="dxa" w:w="2551"/>
            <w:vAlign w:val="center"/>
            <w:shd w:fill="F2F6F4"/>
          </w:tcPr>
          <w:p>
            <w:pPr>
              <w:spacing w:after="0"/>
            </w:pPr>
            <w:r/>
            <w:r>
              <w:rPr>
                <w:b w:val="0"/>
                <w:sz w:val="16"/>
              </w:rPr>
              <w:t>Pièces</w:t>
            </w:r>
          </w:p>
        </w:tc>
        <w:tc>
          <w:tcPr>
            <w:tcW w:type="dxa" w:w="6520"/>
            <w:vAlign w:val="center"/>
            <w:shd w:fill="F2F6F4"/>
          </w:tcPr>
          <w:p>
            <w:pPr>
              <w:spacing w:after="0"/>
            </w:pPr>
            <w:r/>
            <w:r>
              <w:rPr>
                <w:b w:val="0"/>
                <w:sz w:val="16"/>
              </w:rPr>
              <w:t>Reçu, bordereau, justificatif ou capture de transaction.</w:t>
            </w:r>
          </w:p>
        </w:tc>
      </w:tr>
      <w:tr>
        <w:tc>
          <w:tcPr>
            <w:tcW w:type="dxa" w:w="2551"/>
            <w:vAlign w:val="center"/>
          </w:tcPr>
          <w:p>
            <w:pPr>
              <w:spacing w:after="0"/>
            </w:pPr>
            <w:r/>
            <w:r>
              <w:rPr>
                <w:b w:val="0"/>
                <w:sz w:val="16"/>
              </w:rPr>
              <w:t>Statut</w:t>
            </w:r>
          </w:p>
        </w:tc>
        <w:tc>
          <w:tcPr>
            <w:tcW w:type="dxa" w:w="6520"/>
            <w:vAlign w:val="center"/>
          </w:tcPr>
          <w:p>
            <w:pPr>
              <w:spacing w:after="0"/>
            </w:pPr>
            <w:r/>
            <w:r>
              <w:rPr>
                <w:b w:val="0"/>
                <w:sz w:val="16"/>
              </w:rPr>
              <w:t>Brouillon, validé, rejeté, annulé, remboursé partiellement ou totalement.</w:t>
            </w:r>
          </w:p>
        </w:tc>
      </w:tr>
    </w:tbl>
    <w:p>
      <w:pPr>
        <w:spacing w:after="0"/>
      </w:pPr>
    </w:p>
    <w:p>
      <w:pPr>
        <w:pStyle w:val="Heading2"/>
      </w:pPr>
      <w:r>
        <w:t>7.2 Journal quotidien</w:t>
      </w:r>
    </w:p>
    <w:p>
      <w:pPr>
        <w:pStyle w:val="ListBullet"/>
        <w:spacing w:after="40"/>
      </w:pPr>
      <w:r>
        <w:t>Solde d’ouverture par caisse et compte.</w:t>
      </w:r>
    </w:p>
    <w:p>
      <w:pPr>
        <w:pStyle w:val="ListBullet"/>
        <w:spacing w:after="40"/>
      </w:pPr>
      <w:r>
        <w:t>Encaissements du jour, ventilés par moyen de paiement et nature de produit.</w:t>
      </w:r>
    </w:p>
    <w:p>
      <w:pPr>
        <w:pStyle w:val="ListBullet"/>
        <w:spacing w:after="40"/>
      </w:pPr>
      <w:r>
        <w:t>Annulations, remboursements et écarts de caisse.</w:t>
      </w:r>
    </w:p>
    <w:p>
      <w:pPr>
        <w:pStyle w:val="ListBullet"/>
        <w:spacing w:after="40"/>
      </w:pPr>
      <w:r>
        <w:t>Solde théorique de clôture et solde réellement constaté.</w:t>
      </w:r>
    </w:p>
    <w:p>
      <w:pPr>
        <w:pStyle w:val="ListBullet"/>
        <w:spacing w:after="40"/>
      </w:pPr>
      <w:r>
        <w:t>Validation de la journée par le caissier puis par un responsable, selon le circuit retenu.</w:t>
      </w:r>
    </w:p>
    <w:p>
      <w:pPr>
        <w:pStyle w:val="ListBullet"/>
        <w:spacing w:after="40"/>
      </w:pPr>
      <w:r>
        <w:t>Possibilité de consulter et réimprimer les reçus historiques sans modifier les données.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3402"/>
            <w:vAlign w:val="center"/>
            <w:shd w:fill="1F5E4A"/>
          </w:tcPr>
          <w:p>
            <w:pPr>
              <w:spacing w:after="0"/>
            </w:pPr>
            <w:r/>
            <w:r>
              <w:rPr>
                <w:b/>
                <w:color w:val="FFFFFF"/>
                <w:sz w:val="18"/>
              </w:rPr>
              <w:t>Indicateur journalier</w:t>
            </w:r>
          </w:p>
        </w:tc>
        <w:tc>
          <w:tcPr>
            <w:tcW w:type="dxa" w:w="5669"/>
            <w:vAlign w:val="center"/>
            <w:shd w:fill="1F5E4A"/>
          </w:tcPr>
          <w:p>
            <w:pPr>
              <w:spacing w:after="0"/>
            </w:pPr>
            <w:r/>
            <w:r>
              <w:rPr>
                <w:b/>
                <w:color w:val="FFFFFF"/>
                <w:sz w:val="18"/>
              </w:rPr>
              <w:t>Formule</w:t>
            </w:r>
          </w:p>
        </w:tc>
      </w:tr>
      <w:tr>
        <w:tc>
          <w:tcPr>
            <w:tcW w:type="dxa" w:w="3402"/>
            <w:vAlign w:val="center"/>
          </w:tcPr>
          <w:p>
            <w:pPr>
              <w:spacing w:after="0"/>
            </w:pPr>
            <w:r/>
            <w:r>
              <w:rPr>
                <w:b w:val="0"/>
                <w:sz w:val="17"/>
              </w:rPr>
              <w:t>Encaissements scolarité du jour</w:t>
            </w:r>
          </w:p>
        </w:tc>
        <w:tc>
          <w:tcPr>
            <w:tcW w:type="dxa" w:w="5669"/>
            <w:vAlign w:val="center"/>
          </w:tcPr>
          <w:p>
            <w:pPr>
              <w:spacing w:after="0"/>
            </w:pPr>
            <w:r/>
            <w:r>
              <w:rPr>
                <w:b w:val="0"/>
                <w:sz w:val="17"/>
              </w:rPr>
              <w:t>Paiements validés du jour affectés aux frais d’inscription et de scolarité.</w:t>
            </w:r>
          </w:p>
        </w:tc>
      </w:tr>
      <w:tr>
        <w:tc>
          <w:tcPr>
            <w:tcW w:type="dxa" w:w="3402"/>
            <w:vAlign w:val="center"/>
            <w:shd w:fill="F2F6F4"/>
          </w:tcPr>
          <w:p>
            <w:pPr>
              <w:spacing w:after="0"/>
            </w:pPr>
            <w:r/>
            <w:r>
              <w:rPr>
                <w:b w:val="0"/>
                <w:sz w:val="17"/>
              </w:rPr>
              <w:t>Recettes diverses du jour</w:t>
            </w:r>
          </w:p>
        </w:tc>
        <w:tc>
          <w:tcPr>
            <w:tcW w:type="dxa" w:w="5669"/>
            <w:vAlign w:val="center"/>
            <w:shd w:fill="F2F6F4"/>
          </w:tcPr>
          <w:p>
            <w:pPr>
              <w:spacing w:after="0"/>
            </w:pPr>
            <w:r/>
            <w:r>
              <w:rPr>
                <w:b w:val="0"/>
                <w:sz w:val="17"/>
              </w:rPr>
              <w:t>Paiements validés du jour affectés aux autres produits.</w:t>
            </w:r>
          </w:p>
        </w:tc>
      </w:tr>
      <w:tr>
        <w:tc>
          <w:tcPr>
            <w:tcW w:type="dxa" w:w="3402"/>
            <w:vAlign w:val="center"/>
          </w:tcPr>
          <w:p>
            <w:pPr>
              <w:spacing w:after="0"/>
            </w:pPr>
            <w:r/>
            <w:r>
              <w:rPr>
                <w:b w:val="0"/>
                <w:sz w:val="17"/>
              </w:rPr>
              <w:t>Total entrées du jour</w:t>
            </w:r>
          </w:p>
        </w:tc>
        <w:tc>
          <w:tcPr>
            <w:tcW w:type="dxa" w:w="5669"/>
            <w:vAlign w:val="center"/>
          </w:tcPr>
          <w:p>
            <w:pPr>
              <w:spacing w:after="0"/>
            </w:pPr>
            <w:r/>
            <w:r>
              <w:rPr>
                <w:b w:val="0"/>
                <w:sz w:val="17"/>
              </w:rPr>
              <w:t>Scolarité + recettes diverses.</w:t>
            </w:r>
          </w:p>
        </w:tc>
      </w:tr>
      <w:tr>
        <w:tc>
          <w:tcPr>
            <w:tcW w:type="dxa" w:w="3402"/>
            <w:vAlign w:val="center"/>
            <w:shd w:fill="F2F6F4"/>
          </w:tcPr>
          <w:p>
            <w:pPr>
              <w:spacing w:after="0"/>
            </w:pPr>
            <w:r/>
            <w:r>
              <w:rPr>
                <w:b w:val="0"/>
                <w:sz w:val="17"/>
              </w:rPr>
              <w:t>Sorties / remboursements du jour</w:t>
            </w:r>
          </w:p>
        </w:tc>
        <w:tc>
          <w:tcPr>
            <w:tcW w:type="dxa" w:w="5669"/>
            <w:vAlign w:val="center"/>
            <w:shd w:fill="F2F6F4"/>
          </w:tcPr>
          <w:p>
            <w:pPr>
              <w:spacing w:after="0"/>
            </w:pPr>
            <w:r/>
            <w:r>
              <w:rPr>
                <w:b w:val="0"/>
                <w:sz w:val="17"/>
              </w:rPr>
              <w:t>Somme des remboursements et contre-écritures de trésorerie.</w:t>
            </w:r>
          </w:p>
        </w:tc>
      </w:tr>
      <w:tr>
        <w:tc>
          <w:tcPr>
            <w:tcW w:type="dxa" w:w="3402"/>
            <w:vAlign w:val="center"/>
          </w:tcPr>
          <w:p>
            <w:pPr>
              <w:spacing w:after="0"/>
            </w:pPr>
            <w:r/>
            <w:r>
              <w:rPr>
                <w:b w:val="0"/>
                <w:sz w:val="17"/>
              </w:rPr>
              <w:t>Net de trésorerie du jour</w:t>
            </w:r>
          </w:p>
        </w:tc>
        <w:tc>
          <w:tcPr>
            <w:tcW w:type="dxa" w:w="5669"/>
            <w:vAlign w:val="center"/>
          </w:tcPr>
          <w:p>
            <w:pPr>
              <w:spacing w:after="0"/>
            </w:pPr>
            <w:r/>
            <w:r>
              <w:rPr>
                <w:b w:val="0"/>
                <w:sz w:val="17"/>
              </w:rPr>
              <w:t>Total entrées - sorties.</w:t>
            </w:r>
          </w:p>
        </w:tc>
      </w:tr>
      <w:tr>
        <w:tc>
          <w:tcPr>
            <w:tcW w:type="dxa" w:w="3402"/>
            <w:vAlign w:val="center"/>
            <w:shd w:fill="F2F6F4"/>
          </w:tcPr>
          <w:p>
            <w:pPr>
              <w:spacing w:after="0"/>
            </w:pPr>
            <w:r/>
            <w:r>
              <w:rPr>
                <w:b w:val="0"/>
                <w:sz w:val="17"/>
              </w:rPr>
              <w:t>Écart de caisse</w:t>
            </w:r>
          </w:p>
        </w:tc>
        <w:tc>
          <w:tcPr>
            <w:tcW w:type="dxa" w:w="5669"/>
            <w:vAlign w:val="center"/>
            <w:shd w:fill="F2F6F4"/>
          </w:tcPr>
          <w:p>
            <w:pPr>
              <w:spacing w:after="0"/>
            </w:pPr>
            <w:r/>
            <w:r>
              <w:rPr>
                <w:b w:val="0"/>
                <w:sz w:val="17"/>
              </w:rPr>
              <w:t>Solde réel - solde théorique.</w:t>
            </w:r>
          </w:p>
        </w:tc>
      </w:tr>
    </w:tbl>
    <w:p>
      <w:pPr>
        <w:spacing w:after="0"/>
      </w:pPr>
    </w:p>
    <w:p>
      <w:pPr>
        <w:pStyle w:val="Heading1"/>
      </w:pPr>
      <w:r>
        <w:t>8. Créances à échoir et recouvrement</w:t>
      </w:r>
    </w:p>
    <w:p>
      <w:pPr>
        <w:pStyle w:val="Heading2"/>
      </w:pPr>
      <w:r>
        <w:t>8.1 Cycle de vie d’une échéance</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381"/>
            <w:vAlign w:val="center"/>
            <w:shd w:fill="1F5E4A"/>
          </w:tcPr>
          <w:p>
            <w:pPr>
              <w:spacing w:after="0"/>
            </w:pPr>
            <w:r/>
            <w:r>
              <w:rPr>
                <w:b/>
                <w:color w:val="FFFFFF"/>
                <w:sz w:val="18"/>
              </w:rPr>
              <w:t>État</w:t>
            </w:r>
          </w:p>
        </w:tc>
        <w:tc>
          <w:tcPr>
            <w:tcW w:type="dxa" w:w="3288"/>
            <w:vAlign w:val="center"/>
            <w:shd w:fill="1F5E4A"/>
          </w:tcPr>
          <w:p>
            <w:pPr>
              <w:spacing w:after="0"/>
            </w:pPr>
            <w:r/>
            <w:r>
              <w:rPr>
                <w:b/>
                <w:color w:val="FFFFFF"/>
                <w:sz w:val="18"/>
              </w:rPr>
              <w:t>Condition</w:t>
            </w:r>
          </w:p>
        </w:tc>
        <w:tc>
          <w:tcPr>
            <w:tcW w:type="dxa" w:w="3402"/>
            <w:vAlign w:val="center"/>
            <w:shd w:fill="1F5E4A"/>
          </w:tcPr>
          <w:p>
            <w:pPr>
              <w:spacing w:after="0"/>
            </w:pPr>
            <w:r/>
            <w:r>
              <w:rPr>
                <w:b/>
                <w:color w:val="FFFFFF"/>
                <w:sz w:val="18"/>
              </w:rPr>
              <w:t>Traitement</w:t>
            </w:r>
          </w:p>
        </w:tc>
      </w:tr>
      <w:tr>
        <w:tc>
          <w:tcPr>
            <w:tcW w:type="dxa" w:w="2381"/>
            <w:vAlign w:val="center"/>
          </w:tcPr>
          <w:p>
            <w:pPr>
              <w:spacing w:after="0"/>
            </w:pPr>
            <w:r/>
            <w:r>
              <w:rPr>
                <w:b w:val="0"/>
                <w:sz w:val="16"/>
              </w:rPr>
              <w:t>À ÉCHOIR</w:t>
            </w:r>
          </w:p>
        </w:tc>
        <w:tc>
          <w:tcPr>
            <w:tcW w:type="dxa" w:w="3288"/>
            <w:vAlign w:val="center"/>
          </w:tcPr>
          <w:p>
            <w:pPr>
              <w:spacing w:after="0"/>
            </w:pPr>
            <w:r/>
            <w:r>
              <w:rPr>
                <w:b w:val="0"/>
                <w:sz w:val="16"/>
              </w:rPr>
              <w:t>Date du jour &lt; date d’échéance et solde &gt; 0</w:t>
            </w:r>
          </w:p>
        </w:tc>
        <w:tc>
          <w:tcPr>
            <w:tcW w:type="dxa" w:w="3402"/>
            <w:vAlign w:val="center"/>
          </w:tcPr>
          <w:p>
            <w:pPr>
              <w:spacing w:after="0"/>
            </w:pPr>
            <w:r/>
            <w:r>
              <w:rPr>
                <w:b w:val="0"/>
                <w:sz w:val="16"/>
              </w:rPr>
              <w:t>Visible dans les montants futurs attendus.</w:t>
            </w:r>
          </w:p>
        </w:tc>
      </w:tr>
      <w:tr>
        <w:tc>
          <w:tcPr>
            <w:tcW w:type="dxa" w:w="2381"/>
            <w:vAlign w:val="center"/>
            <w:shd w:fill="F2F6F4"/>
          </w:tcPr>
          <w:p>
            <w:pPr>
              <w:spacing w:after="0"/>
            </w:pPr>
            <w:r/>
            <w:r>
              <w:rPr>
                <w:b w:val="0"/>
                <w:sz w:val="16"/>
              </w:rPr>
              <w:t>DUE AUJOURD’HUI</w:t>
            </w:r>
          </w:p>
        </w:tc>
        <w:tc>
          <w:tcPr>
            <w:tcW w:type="dxa" w:w="3288"/>
            <w:vAlign w:val="center"/>
            <w:shd w:fill="F2F6F4"/>
          </w:tcPr>
          <w:p>
            <w:pPr>
              <w:spacing w:after="0"/>
            </w:pPr>
            <w:r/>
            <w:r>
              <w:rPr>
                <w:b w:val="0"/>
                <w:sz w:val="16"/>
              </w:rPr>
              <w:t>Date du jour = date d’échéance et solde &gt; 0</w:t>
            </w:r>
          </w:p>
        </w:tc>
        <w:tc>
          <w:tcPr>
            <w:tcW w:type="dxa" w:w="3402"/>
            <w:vAlign w:val="center"/>
            <w:shd w:fill="F2F6F4"/>
          </w:tcPr>
          <w:p>
            <w:pPr>
              <w:spacing w:after="0"/>
            </w:pPr>
            <w:r/>
            <w:r>
              <w:rPr>
                <w:b w:val="0"/>
                <w:sz w:val="16"/>
              </w:rPr>
              <w:t>Visible dans les échéances du jour.</w:t>
            </w:r>
          </w:p>
        </w:tc>
      </w:tr>
      <w:tr>
        <w:tc>
          <w:tcPr>
            <w:tcW w:type="dxa" w:w="2381"/>
            <w:vAlign w:val="center"/>
          </w:tcPr>
          <w:p>
            <w:pPr>
              <w:spacing w:after="0"/>
            </w:pPr>
            <w:r/>
            <w:r>
              <w:rPr>
                <w:b w:val="0"/>
                <w:sz w:val="16"/>
              </w:rPr>
              <w:t>EN GRÂCE</w:t>
            </w:r>
          </w:p>
        </w:tc>
        <w:tc>
          <w:tcPr>
            <w:tcW w:type="dxa" w:w="3288"/>
            <w:vAlign w:val="center"/>
          </w:tcPr>
          <w:p>
            <w:pPr>
              <w:spacing w:after="0"/>
            </w:pPr>
            <w:r/>
            <w:r>
              <w:rPr>
                <w:b w:val="0"/>
                <w:sz w:val="16"/>
              </w:rPr>
              <w:t>Date d’échéance dépassée mais délai de grâce non terminé</w:t>
            </w:r>
          </w:p>
        </w:tc>
        <w:tc>
          <w:tcPr>
            <w:tcW w:type="dxa" w:w="3402"/>
            <w:vAlign w:val="center"/>
          </w:tcPr>
          <w:p>
            <w:pPr>
              <w:spacing w:after="0"/>
            </w:pPr>
            <w:r/>
            <w:r>
              <w:rPr>
                <w:b w:val="0"/>
                <w:sz w:val="16"/>
              </w:rPr>
              <w:t>Alerte préventive ; selon choix métier, pas encore en recouvrement dur.</w:t>
            </w:r>
          </w:p>
        </w:tc>
      </w:tr>
      <w:tr>
        <w:tc>
          <w:tcPr>
            <w:tcW w:type="dxa" w:w="2381"/>
            <w:vAlign w:val="center"/>
            <w:shd w:fill="F2F6F4"/>
          </w:tcPr>
          <w:p>
            <w:pPr>
              <w:spacing w:after="0"/>
            </w:pPr>
            <w:r/>
            <w:r>
              <w:rPr>
                <w:b w:val="0"/>
                <w:sz w:val="16"/>
              </w:rPr>
              <w:t>EN RETARD</w:t>
            </w:r>
          </w:p>
        </w:tc>
        <w:tc>
          <w:tcPr>
            <w:tcW w:type="dxa" w:w="3288"/>
            <w:vAlign w:val="center"/>
            <w:shd w:fill="F2F6F4"/>
          </w:tcPr>
          <w:p>
            <w:pPr>
              <w:spacing w:after="0"/>
            </w:pPr>
            <w:r/>
            <w:r>
              <w:rPr>
                <w:b w:val="0"/>
                <w:sz w:val="16"/>
              </w:rPr>
              <w:t>Date du jour &gt; échéance + grâce et solde &gt; 0</w:t>
            </w:r>
          </w:p>
        </w:tc>
        <w:tc>
          <w:tcPr>
            <w:tcW w:type="dxa" w:w="3402"/>
            <w:vAlign w:val="center"/>
            <w:shd w:fill="F2F6F4"/>
          </w:tcPr>
          <w:p>
            <w:pPr>
              <w:spacing w:after="0"/>
            </w:pPr>
            <w:r/>
            <w:r>
              <w:rPr>
                <w:b w:val="0"/>
                <w:sz w:val="16"/>
              </w:rPr>
              <w:t>Entre dans le recouvrement.</w:t>
            </w:r>
          </w:p>
        </w:tc>
      </w:tr>
      <w:tr>
        <w:tc>
          <w:tcPr>
            <w:tcW w:type="dxa" w:w="2381"/>
            <w:vAlign w:val="center"/>
          </w:tcPr>
          <w:p>
            <w:pPr>
              <w:spacing w:after="0"/>
            </w:pPr>
            <w:r/>
            <w:r>
              <w:rPr>
                <w:b w:val="0"/>
                <w:sz w:val="16"/>
              </w:rPr>
              <w:t>PARTIELLEMENT PAYÉE</w:t>
            </w:r>
          </w:p>
        </w:tc>
        <w:tc>
          <w:tcPr>
            <w:tcW w:type="dxa" w:w="3288"/>
            <w:vAlign w:val="center"/>
          </w:tcPr>
          <w:p>
            <w:pPr>
              <w:spacing w:after="0"/>
            </w:pPr>
            <w:r/>
            <w:r>
              <w:rPr>
                <w:b w:val="0"/>
                <w:sz w:val="16"/>
              </w:rPr>
              <w:t>0 &lt; solde &lt; montant net</w:t>
            </w:r>
          </w:p>
        </w:tc>
        <w:tc>
          <w:tcPr>
            <w:tcW w:type="dxa" w:w="3402"/>
            <w:vAlign w:val="center"/>
          </w:tcPr>
          <w:p>
            <w:pPr>
              <w:spacing w:after="0"/>
            </w:pPr>
            <w:r/>
            <w:r>
              <w:rPr>
                <w:b w:val="0"/>
                <w:sz w:val="16"/>
              </w:rPr>
              <w:t>Le reliquat suit le statut temporel de l’échéance.</w:t>
            </w:r>
          </w:p>
        </w:tc>
      </w:tr>
      <w:tr>
        <w:tc>
          <w:tcPr>
            <w:tcW w:type="dxa" w:w="2381"/>
            <w:vAlign w:val="center"/>
            <w:shd w:fill="F2F6F4"/>
          </w:tcPr>
          <w:p>
            <w:pPr>
              <w:spacing w:after="0"/>
            </w:pPr>
            <w:r/>
            <w:r>
              <w:rPr>
                <w:b w:val="0"/>
                <w:sz w:val="16"/>
              </w:rPr>
              <w:t>SOLDÉE</w:t>
            </w:r>
          </w:p>
        </w:tc>
        <w:tc>
          <w:tcPr>
            <w:tcW w:type="dxa" w:w="3288"/>
            <w:vAlign w:val="center"/>
            <w:shd w:fill="F2F6F4"/>
          </w:tcPr>
          <w:p>
            <w:pPr>
              <w:spacing w:after="0"/>
            </w:pPr>
            <w:r/>
            <w:r>
              <w:rPr>
                <w:b w:val="0"/>
                <w:sz w:val="16"/>
              </w:rPr>
              <w:t>Solde = 0</w:t>
            </w:r>
          </w:p>
        </w:tc>
        <w:tc>
          <w:tcPr>
            <w:tcW w:type="dxa" w:w="3402"/>
            <w:vAlign w:val="center"/>
            <w:shd w:fill="F2F6F4"/>
          </w:tcPr>
          <w:p>
            <w:pPr>
              <w:spacing w:after="0"/>
            </w:pPr>
            <w:r/>
            <w:r>
              <w:rPr>
                <w:b w:val="0"/>
                <w:sz w:val="16"/>
              </w:rPr>
              <w:t>Sort des montants à recouvrer et à échoir.</w:t>
            </w:r>
          </w:p>
        </w:tc>
      </w:tr>
      <w:tr>
        <w:tc>
          <w:tcPr>
            <w:tcW w:type="dxa" w:w="2381"/>
            <w:vAlign w:val="center"/>
          </w:tcPr>
          <w:p>
            <w:pPr>
              <w:spacing w:after="0"/>
            </w:pPr>
            <w:r/>
            <w:r>
              <w:rPr>
                <w:b w:val="0"/>
                <w:sz w:val="16"/>
              </w:rPr>
              <w:t>ANNULÉE / AVOIR</w:t>
            </w:r>
          </w:p>
        </w:tc>
        <w:tc>
          <w:tcPr>
            <w:tcW w:type="dxa" w:w="3288"/>
            <w:vAlign w:val="center"/>
          </w:tcPr>
          <w:p>
            <w:pPr>
              <w:spacing w:after="0"/>
            </w:pPr>
            <w:r/>
            <w:r>
              <w:rPr>
                <w:b w:val="0"/>
                <w:sz w:val="16"/>
              </w:rPr>
              <w:t>Échéance supprimée par opération autorisée</w:t>
            </w:r>
          </w:p>
        </w:tc>
        <w:tc>
          <w:tcPr>
            <w:tcW w:type="dxa" w:w="3402"/>
            <w:vAlign w:val="center"/>
          </w:tcPr>
          <w:p>
            <w:pPr>
              <w:spacing w:after="0"/>
            </w:pPr>
            <w:r/>
            <w:r>
              <w:rPr>
                <w:b w:val="0"/>
                <w:sz w:val="16"/>
              </w:rPr>
              <w:t>Ne doit plus être exigée ; reste dans l’historique.</w:t>
            </w:r>
          </w:p>
        </w:tc>
      </w:tr>
    </w:tbl>
    <w:p>
      <w:pPr>
        <w:spacing w:after="0"/>
      </w:pPr>
    </w:p>
    <w:p>
      <w:pPr>
        <w:pStyle w:val="Heading2"/>
      </w:pPr>
      <w:r>
        <w:t>8.2 Passage automatique au recouvrement</w:t>
      </w:r>
    </w:p>
    <w:p>
      <w:r>
        <w:t>Un traitement automatique quotidien doit recalculer l’état des échéances ouvertes. Dès qu’une échéance dépasse sa date d’exigibilité et le délai de grâce, son solde rejoint le recouvrement. Elle ne doit pas être dupliquée : seul son statut évolue.</w:t>
      </w:r>
    </w:p>
    <w:tbl>
      <w:tblPr>
        <w:tblStyle w:val="TableGrid"/>
        <w:tblW w:type="auto" w:w="0"/>
        <w:jc w:val="center"/>
        <w:tblLook w:firstColumn="1" w:firstRow="1" w:lastColumn="0" w:lastRow="0" w:noHBand="0" w:noVBand="1" w:val="04A0"/>
      </w:tblPr>
      <w:tblGrid>
        <w:gridCol w:w="9972"/>
      </w:tblGrid>
      <w:tr>
        <w:tc>
          <w:tcPr>
            <w:tcW w:type="dxa" w:w="9972"/>
            <w:shd w:fill="EAF4F0"/>
          </w:tcPr>
          <w:p>
            <w:pPr>
              <w:spacing w:after="0"/>
            </w:pPr>
            <w:r/>
            <w:r>
              <w:rPr>
                <w:b/>
                <w:color w:val="1F5E4A"/>
              </w:rPr>
              <w:t xml:space="preserve">Formule du recouvrement à date : </w:t>
            </w:r>
            <w:r>
              <w:t>Somme des soldes des échéances dont la date d’échéance + délai de grâce est antérieure à la date de situation, toutes années scolaires confondues, hors échéances annulées ou litigieuses exclues par décision autorisée.</w:t>
            </w:r>
          </w:p>
        </w:tc>
      </w:tr>
    </w:tbl>
    <w:p>
      <w:pPr>
        <w:spacing w:after="0"/>
      </w:pPr>
    </w:p>
    <w:tbl>
      <w:tblPr>
        <w:tblStyle w:val="TableGrid"/>
        <w:tblW w:type="auto" w:w="0"/>
        <w:jc w:val="center"/>
        <w:tblLook w:firstColumn="1" w:firstRow="1" w:lastColumn="0" w:lastRow="0" w:noHBand="0" w:noVBand="1" w:val="04A0"/>
      </w:tblPr>
      <w:tblGrid>
        <w:gridCol w:w="9972"/>
      </w:tblGrid>
      <w:tr>
        <w:tc>
          <w:tcPr>
            <w:tcW w:type="dxa" w:w="9972"/>
            <w:shd w:fill="EAF4F0"/>
          </w:tcPr>
          <w:p>
            <w:pPr>
              <w:spacing w:after="0"/>
            </w:pPr>
            <w:r/>
            <w:r>
              <w:rPr>
                <w:b/>
                <w:color w:val="1F5E4A"/>
              </w:rPr>
              <w:t xml:space="preserve">Formule des créances à échoir : </w:t>
            </w:r>
            <w:r>
              <w:t>Somme des soldes des échéances dont la date d’échéance est postérieure à la date de situation. Une échéance future déjà payée n’est plus incluse, car son solde est nul.</w:t>
            </w:r>
          </w:p>
        </w:tc>
      </w:tr>
    </w:tbl>
    <w:p>
      <w:pPr>
        <w:spacing w:after="0"/>
      </w:pPr>
    </w:p>
    <w:p>
      <w:pPr>
        <w:pStyle w:val="Heading2"/>
      </w:pPr>
      <w:r>
        <w:t>8.3 Vieillissement du recouvrement</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35"/>
            <w:vAlign w:val="center"/>
            <w:shd w:fill="1F5E4A"/>
          </w:tcPr>
          <w:p>
            <w:pPr>
              <w:spacing w:after="0"/>
            </w:pPr>
            <w:r/>
            <w:r>
              <w:rPr>
                <w:b/>
                <w:color w:val="FFFFFF"/>
                <w:sz w:val="18"/>
              </w:rPr>
              <w:t>Tranche d’ancienneté</w:t>
            </w:r>
          </w:p>
        </w:tc>
        <w:tc>
          <w:tcPr>
            <w:tcW w:type="dxa" w:w="6236"/>
            <w:vAlign w:val="center"/>
            <w:shd w:fill="1F5E4A"/>
          </w:tcPr>
          <w:p>
            <w:pPr>
              <w:spacing w:after="0"/>
            </w:pPr>
            <w:r/>
            <w:r>
              <w:rPr>
                <w:b/>
                <w:color w:val="FFFFFF"/>
                <w:sz w:val="18"/>
              </w:rPr>
              <w:t>Utilité</w:t>
            </w:r>
          </w:p>
        </w:tc>
      </w:tr>
      <w:tr>
        <w:tc>
          <w:tcPr>
            <w:tcW w:type="dxa" w:w="2835"/>
            <w:vAlign w:val="center"/>
          </w:tcPr>
          <w:p>
            <w:pPr>
              <w:spacing w:after="0"/>
            </w:pPr>
            <w:r/>
            <w:r>
              <w:rPr>
                <w:b w:val="0"/>
                <w:sz w:val="17"/>
              </w:rPr>
              <w:t>1 à 30 jours</w:t>
            </w:r>
          </w:p>
        </w:tc>
        <w:tc>
          <w:tcPr>
            <w:tcW w:type="dxa" w:w="6236"/>
            <w:vAlign w:val="center"/>
          </w:tcPr>
          <w:p>
            <w:pPr>
              <w:spacing w:after="0"/>
            </w:pPr>
            <w:r/>
            <w:r>
              <w:rPr>
                <w:b w:val="0"/>
                <w:sz w:val="17"/>
              </w:rPr>
              <w:t>Relance récente et rappel simple.</w:t>
            </w:r>
          </w:p>
        </w:tc>
      </w:tr>
      <w:tr>
        <w:tc>
          <w:tcPr>
            <w:tcW w:type="dxa" w:w="2835"/>
            <w:vAlign w:val="center"/>
            <w:shd w:fill="F2F6F4"/>
          </w:tcPr>
          <w:p>
            <w:pPr>
              <w:spacing w:after="0"/>
            </w:pPr>
            <w:r/>
            <w:r>
              <w:rPr>
                <w:b w:val="0"/>
                <w:sz w:val="17"/>
              </w:rPr>
              <w:t>31 à 60 jours</w:t>
            </w:r>
          </w:p>
        </w:tc>
        <w:tc>
          <w:tcPr>
            <w:tcW w:type="dxa" w:w="6236"/>
            <w:vAlign w:val="center"/>
            <w:shd w:fill="F2F6F4"/>
          </w:tcPr>
          <w:p>
            <w:pPr>
              <w:spacing w:after="0"/>
            </w:pPr>
            <w:r/>
            <w:r>
              <w:rPr>
                <w:b w:val="0"/>
                <w:sz w:val="17"/>
              </w:rPr>
              <w:t>Relance renforcée et contact du responsable financier.</w:t>
            </w:r>
          </w:p>
        </w:tc>
      </w:tr>
      <w:tr>
        <w:tc>
          <w:tcPr>
            <w:tcW w:type="dxa" w:w="2835"/>
            <w:vAlign w:val="center"/>
          </w:tcPr>
          <w:p>
            <w:pPr>
              <w:spacing w:after="0"/>
            </w:pPr>
            <w:r/>
            <w:r>
              <w:rPr>
                <w:b w:val="0"/>
                <w:sz w:val="17"/>
              </w:rPr>
              <w:t>61 à 90 jours</w:t>
            </w:r>
          </w:p>
        </w:tc>
        <w:tc>
          <w:tcPr>
            <w:tcW w:type="dxa" w:w="6236"/>
            <w:vAlign w:val="center"/>
          </w:tcPr>
          <w:p>
            <w:pPr>
              <w:spacing w:after="0"/>
            </w:pPr>
            <w:r/>
            <w:r>
              <w:rPr>
                <w:b w:val="0"/>
                <w:sz w:val="17"/>
              </w:rPr>
              <w:t>Plan d’apurement ou mesures administratives selon politique.</w:t>
            </w:r>
          </w:p>
        </w:tc>
      </w:tr>
      <w:tr>
        <w:tc>
          <w:tcPr>
            <w:tcW w:type="dxa" w:w="2835"/>
            <w:vAlign w:val="center"/>
            <w:shd w:fill="F2F6F4"/>
          </w:tcPr>
          <w:p>
            <w:pPr>
              <w:spacing w:after="0"/>
            </w:pPr>
            <w:r/>
            <w:r>
              <w:rPr>
                <w:b w:val="0"/>
                <w:sz w:val="17"/>
              </w:rPr>
              <w:t>91 à 180 jours</w:t>
            </w:r>
          </w:p>
        </w:tc>
        <w:tc>
          <w:tcPr>
            <w:tcW w:type="dxa" w:w="6236"/>
            <w:vAlign w:val="center"/>
            <w:shd w:fill="F2F6F4"/>
          </w:tcPr>
          <w:p>
            <w:pPr>
              <w:spacing w:after="0"/>
            </w:pPr>
            <w:r/>
            <w:r>
              <w:rPr>
                <w:b w:val="0"/>
                <w:sz w:val="17"/>
              </w:rPr>
              <w:t>Escalade vers le responsable de recouvrement.</w:t>
            </w:r>
          </w:p>
        </w:tc>
      </w:tr>
      <w:tr>
        <w:tc>
          <w:tcPr>
            <w:tcW w:type="dxa" w:w="2835"/>
            <w:vAlign w:val="center"/>
          </w:tcPr>
          <w:p>
            <w:pPr>
              <w:spacing w:after="0"/>
            </w:pPr>
            <w:r/>
            <w:r>
              <w:rPr>
                <w:b w:val="0"/>
                <w:sz w:val="17"/>
              </w:rPr>
              <w:t>Plus de 180 jours</w:t>
            </w:r>
          </w:p>
        </w:tc>
        <w:tc>
          <w:tcPr>
            <w:tcW w:type="dxa" w:w="6236"/>
            <w:vAlign w:val="center"/>
          </w:tcPr>
          <w:p>
            <w:pPr>
              <w:spacing w:after="0"/>
            </w:pPr>
            <w:r/>
            <w:r>
              <w:rPr>
                <w:b w:val="0"/>
                <w:sz w:val="17"/>
              </w:rPr>
              <w:t>Dossier ancien, contentieux éventuel ou provision selon règles comptables.</w:t>
            </w:r>
          </w:p>
        </w:tc>
      </w:tr>
      <w:tr>
        <w:tc>
          <w:tcPr>
            <w:tcW w:type="dxa" w:w="2835"/>
            <w:vAlign w:val="center"/>
            <w:shd w:fill="F2F6F4"/>
          </w:tcPr>
          <w:p>
            <w:pPr>
              <w:spacing w:after="0"/>
            </w:pPr>
            <w:r/>
            <w:r>
              <w:rPr>
                <w:b w:val="0"/>
                <w:sz w:val="17"/>
              </w:rPr>
              <w:t>Années antérieures</w:t>
            </w:r>
          </w:p>
        </w:tc>
        <w:tc>
          <w:tcPr>
            <w:tcW w:type="dxa" w:w="6236"/>
            <w:vAlign w:val="center"/>
            <w:shd w:fill="F2F6F4"/>
          </w:tcPr>
          <w:p>
            <w:pPr>
              <w:spacing w:after="0"/>
            </w:pPr>
            <w:r/>
            <w:r>
              <w:rPr>
                <w:b w:val="0"/>
                <w:sz w:val="17"/>
              </w:rPr>
              <w:t>Vue séparée des reliquats hérités des exercices précédents.</w:t>
            </w:r>
          </w:p>
        </w:tc>
      </w:tr>
    </w:tbl>
    <w:p>
      <w:pPr>
        <w:spacing w:after="0"/>
      </w:pPr>
    </w:p>
    <w:p>
      <w:pPr>
        <w:pStyle w:val="Heading2"/>
      </w:pPr>
      <w:r>
        <w:t>8.4 Dossier de recouvrement</w:t>
      </w:r>
    </w:p>
    <w:p>
      <w:pPr>
        <w:pStyle w:val="ListBullet"/>
        <w:spacing w:after="40"/>
      </w:pPr>
      <w:r>
        <w:t>Identité de l’élève et du responsable financier.</w:t>
      </w:r>
    </w:p>
    <w:p>
      <w:pPr>
        <w:pStyle w:val="ListBullet"/>
        <w:spacing w:after="40"/>
      </w:pPr>
      <w:r>
        <w:t>Liste chronologique des échéances en retard et des paiements affectés.</w:t>
      </w:r>
    </w:p>
    <w:p>
      <w:pPr>
        <w:pStyle w:val="ListBullet"/>
        <w:spacing w:after="40"/>
      </w:pPr>
      <w:r>
        <w:t>Montant initial, montant recouvré, reliquat et ancienneté.</w:t>
      </w:r>
    </w:p>
    <w:p>
      <w:pPr>
        <w:pStyle w:val="ListBullet"/>
        <w:spacing w:after="40"/>
      </w:pPr>
      <w:r>
        <w:t>Historique des appels, courriels, SMS, rendez-vous, promesses de paiement et commentaires.</w:t>
      </w:r>
    </w:p>
    <w:p>
      <w:pPr>
        <w:pStyle w:val="ListBullet"/>
        <w:spacing w:after="40"/>
      </w:pPr>
      <w:r>
        <w:t>Prochaine action et date de relance.</w:t>
      </w:r>
    </w:p>
    <w:p>
      <w:pPr>
        <w:pStyle w:val="ListBullet"/>
        <w:spacing w:after="40"/>
      </w:pPr>
      <w:r>
        <w:t>Statut : à contacter, contacté, promesse obtenue, échéancier négocié, litige, contentieux, soldé.</w:t>
      </w:r>
    </w:p>
    <w:p>
      <w:pPr>
        <w:pStyle w:val="ListBullet"/>
        <w:spacing w:after="40"/>
      </w:pPr>
      <w:r>
        <w:t>Pièces justificatives et utilisateur ayant réalisé chaque action.</w:t>
      </w:r>
    </w:p>
    <w:p>
      <w:pPr>
        <w:pStyle w:val="Heading1"/>
      </w:pPr>
      <w:r>
        <w:t>9. Recettes diverses</w:t>
      </w:r>
    </w:p>
    <w:p>
      <w:r>
        <w:t>Les recettes diverses doivent être visibles dans un tableau de bord séparé afin de ne pas gonfler le CA principal de scolarité. Elles participent néanmoins à la trésorerie et au journal des encaissements.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35"/>
            <w:vAlign w:val="center"/>
            <w:shd w:fill="1F5E4A"/>
          </w:tcPr>
          <w:p>
            <w:pPr>
              <w:spacing w:after="0"/>
            </w:pPr>
            <w:r/>
            <w:r>
              <w:rPr>
                <w:b/>
                <w:color w:val="FFFFFF"/>
                <w:sz w:val="18"/>
              </w:rPr>
              <w:t>Exemple de produit</w:t>
            </w:r>
          </w:p>
        </w:tc>
        <w:tc>
          <w:tcPr>
            <w:tcW w:type="dxa" w:w="6236"/>
            <w:vAlign w:val="center"/>
            <w:shd w:fill="1F5E4A"/>
          </w:tcPr>
          <w:p>
            <w:pPr>
              <w:spacing w:after="0"/>
            </w:pPr>
            <w:r/>
            <w:r>
              <w:rPr>
                <w:b/>
                <w:color w:val="FFFFFF"/>
                <w:sz w:val="18"/>
              </w:rPr>
              <w:t>Mode de gestion recommandé</w:t>
            </w:r>
          </w:p>
        </w:tc>
      </w:tr>
      <w:tr>
        <w:tc>
          <w:tcPr>
            <w:tcW w:type="dxa" w:w="2835"/>
            <w:vAlign w:val="center"/>
          </w:tcPr>
          <w:p>
            <w:pPr>
              <w:spacing w:after="0"/>
            </w:pPr>
            <w:r/>
            <w:r>
              <w:rPr>
                <w:b w:val="0"/>
                <w:sz w:val="17"/>
              </w:rPr>
              <w:t>Cantine / restauration</w:t>
            </w:r>
          </w:p>
        </w:tc>
        <w:tc>
          <w:tcPr>
            <w:tcW w:type="dxa" w:w="6236"/>
            <w:vAlign w:val="center"/>
          </w:tcPr>
          <w:p>
            <w:pPr>
              <w:spacing w:after="0"/>
            </w:pPr>
            <w:r/>
            <w:r>
              <w:rPr>
                <w:b w:val="0"/>
                <w:sz w:val="17"/>
              </w:rPr>
              <w:t>Produit récurrent ou prépayé ; rattachement possible à un élève.</w:t>
            </w:r>
          </w:p>
        </w:tc>
      </w:tr>
      <w:tr>
        <w:tc>
          <w:tcPr>
            <w:tcW w:type="dxa" w:w="2835"/>
            <w:vAlign w:val="center"/>
            <w:shd w:fill="F2F6F4"/>
          </w:tcPr>
          <w:p>
            <w:pPr>
              <w:spacing w:after="0"/>
            </w:pPr>
            <w:r/>
            <w:r>
              <w:rPr>
                <w:b w:val="0"/>
                <w:sz w:val="17"/>
              </w:rPr>
              <w:t>Transport scolaire</w:t>
            </w:r>
          </w:p>
        </w:tc>
        <w:tc>
          <w:tcPr>
            <w:tcW w:type="dxa" w:w="6236"/>
            <w:vAlign w:val="center"/>
            <w:shd w:fill="F2F6F4"/>
          </w:tcPr>
          <w:p>
            <w:pPr>
              <w:spacing w:after="0"/>
            </w:pPr>
            <w:r/>
            <w:r>
              <w:rPr>
                <w:b w:val="0"/>
                <w:sz w:val="17"/>
              </w:rPr>
              <w:t>Abonnement mensuel ou forfait annuel.</w:t>
            </w:r>
          </w:p>
        </w:tc>
      </w:tr>
      <w:tr>
        <w:tc>
          <w:tcPr>
            <w:tcW w:type="dxa" w:w="2835"/>
            <w:vAlign w:val="center"/>
          </w:tcPr>
          <w:p>
            <w:pPr>
              <w:spacing w:after="0"/>
            </w:pPr>
            <w:r/>
            <w:r>
              <w:rPr>
                <w:b w:val="0"/>
                <w:sz w:val="17"/>
              </w:rPr>
              <w:t>Uniforme / fournitures</w:t>
            </w:r>
          </w:p>
        </w:tc>
        <w:tc>
          <w:tcPr>
            <w:tcW w:type="dxa" w:w="6236"/>
            <w:vAlign w:val="center"/>
          </w:tcPr>
          <w:p>
            <w:pPr>
              <w:spacing w:after="0"/>
            </w:pPr>
            <w:r/>
            <w:r>
              <w:rPr>
                <w:b w:val="0"/>
                <w:sz w:val="17"/>
              </w:rPr>
              <w:t>Vente ponctuelle avec quantité et tarif.</w:t>
            </w:r>
          </w:p>
        </w:tc>
      </w:tr>
      <w:tr>
        <w:tc>
          <w:tcPr>
            <w:tcW w:type="dxa" w:w="2835"/>
            <w:vAlign w:val="center"/>
            <w:shd w:fill="F2F6F4"/>
          </w:tcPr>
          <w:p>
            <w:pPr>
              <w:spacing w:after="0"/>
            </w:pPr>
            <w:r/>
            <w:r>
              <w:rPr>
                <w:b w:val="0"/>
                <w:sz w:val="17"/>
              </w:rPr>
              <w:t>Duplicata / frais de dossier</w:t>
            </w:r>
          </w:p>
        </w:tc>
        <w:tc>
          <w:tcPr>
            <w:tcW w:type="dxa" w:w="6236"/>
            <w:vAlign w:val="center"/>
            <w:shd w:fill="F2F6F4"/>
          </w:tcPr>
          <w:p>
            <w:pPr>
              <w:spacing w:after="0"/>
            </w:pPr>
            <w:r/>
            <w:r>
              <w:rPr>
                <w:b w:val="0"/>
                <w:sz w:val="17"/>
              </w:rPr>
              <w:t>Produit ponctuel.</w:t>
            </w:r>
          </w:p>
        </w:tc>
      </w:tr>
      <w:tr>
        <w:tc>
          <w:tcPr>
            <w:tcW w:type="dxa" w:w="2835"/>
            <w:vAlign w:val="center"/>
          </w:tcPr>
          <w:p>
            <w:pPr>
              <w:spacing w:after="0"/>
            </w:pPr>
            <w:r/>
            <w:r>
              <w:rPr>
                <w:b w:val="0"/>
                <w:sz w:val="17"/>
              </w:rPr>
              <w:t>Location d’espace / prestation</w:t>
            </w:r>
          </w:p>
        </w:tc>
        <w:tc>
          <w:tcPr>
            <w:tcW w:type="dxa" w:w="6236"/>
            <w:vAlign w:val="center"/>
          </w:tcPr>
          <w:p>
            <w:pPr>
              <w:spacing w:after="0"/>
            </w:pPr>
            <w:r/>
            <w:r>
              <w:rPr>
                <w:b w:val="0"/>
                <w:sz w:val="17"/>
              </w:rPr>
              <w:t>Produit tiers, non lié à un élève.</w:t>
            </w:r>
          </w:p>
        </w:tc>
      </w:tr>
      <w:tr>
        <w:tc>
          <w:tcPr>
            <w:tcW w:type="dxa" w:w="2835"/>
            <w:vAlign w:val="center"/>
            <w:shd w:fill="F2F6F4"/>
          </w:tcPr>
          <w:p>
            <w:pPr>
              <w:spacing w:after="0"/>
            </w:pPr>
            <w:r/>
            <w:r>
              <w:rPr>
                <w:b w:val="0"/>
                <w:sz w:val="17"/>
              </w:rPr>
              <w:t>Don / subvention / sponsoring</w:t>
            </w:r>
          </w:p>
        </w:tc>
        <w:tc>
          <w:tcPr>
            <w:tcW w:type="dxa" w:w="6236"/>
            <w:vAlign w:val="center"/>
            <w:shd w:fill="F2F6F4"/>
          </w:tcPr>
          <w:p>
            <w:pPr>
              <w:spacing w:after="0"/>
            </w:pPr>
            <w:r/>
            <w:r>
              <w:rPr>
                <w:b w:val="0"/>
                <w:sz w:val="17"/>
              </w:rPr>
              <w:t>Nature spécifique, justificatif et bailleur.</w:t>
            </w:r>
          </w:p>
        </w:tc>
      </w:tr>
      <w:tr>
        <w:tc>
          <w:tcPr>
            <w:tcW w:type="dxa" w:w="2835"/>
            <w:vAlign w:val="center"/>
          </w:tcPr>
          <w:p>
            <w:pPr>
              <w:spacing w:after="0"/>
            </w:pPr>
            <w:r/>
            <w:r>
              <w:rPr>
                <w:b w:val="0"/>
                <w:sz w:val="17"/>
              </w:rPr>
              <w:t>Autre</w:t>
            </w:r>
          </w:p>
        </w:tc>
        <w:tc>
          <w:tcPr>
            <w:tcW w:type="dxa" w:w="6236"/>
            <w:vAlign w:val="center"/>
          </w:tcPr>
          <w:p>
            <w:pPr>
              <w:spacing w:after="0"/>
            </w:pPr>
            <w:r/>
            <w:r>
              <w:rPr>
                <w:b w:val="0"/>
                <w:sz w:val="17"/>
              </w:rPr>
              <w:t>Catégorie configurable avec validation obligatoire.</w:t>
            </w:r>
          </w:p>
        </w:tc>
      </w:tr>
    </w:tbl>
    <w:p>
      <w:pPr>
        <w:spacing w:after="0"/>
      </w:pPr>
    </w:p>
    <w:tbl>
      <w:tblPr>
        <w:tblStyle w:val="TableGrid"/>
        <w:tblW w:type="auto" w:w="0"/>
        <w:jc w:val="center"/>
        <w:tblLook w:firstColumn="1" w:firstRow="1" w:lastColumn="0" w:lastRow="0" w:noHBand="0" w:noVBand="1" w:val="04A0"/>
      </w:tblPr>
      <w:tblGrid>
        <w:gridCol w:w="9972"/>
      </w:tblGrid>
      <w:tr>
        <w:tc>
          <w:tcPr>
            <w:tcW w:type="dxa" w:w="9972"/>
            <w:shd w:fill="EAF4F0"/>
          </w:tcPr>
          <w:p>
            <w:pPr>
              <w:spacing w:after="0"/>
            </w:pPr>
            <w:r/>
            <w:r>
              <w:rPr>
                <w:b/>
                <w:color w:val="1F5E4A"/>
              </w:rPr>
              <w:t xml:space="preserve">Vue mensuelle : </w:t>
            </w:r>
            <w:r>
              <w:t>Afficher par mois : montant encaissé, nombre d’opérations, répartition par produit et moyen de paiement. Le total des recettes diverses ne doit pas être ajouté aux cartes « CA d’engagement » et « CA comptable », mais peut apparaître dans « Total des entrées ».</w:t>
            </w:r>
          </w:p>
        </w:tc>
      </w:tr>
    </w:tbl>
    <w:p>
      <w:pPr>
        <w:spacing w:after="0"/>
      </w:pPr>
    </w:p>
    <w:p>
      <w:pPr>
        <w:pStyle w:val="Heading1"/>
      </w:pPr>
      <w:r>
        <w:t>10. Écrans et tableaux de bord</w:t>
      </w:r>
    </w:p>
    <w:p>
      <w:pPr>
        <w:pStyle w:val="Heading2"/>
      </w:pPr>
      <w:r>
        <w:t>10.1 Tableau de bord principal</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268"/>
            <w:vAlign w:val="center"/>
            <w:shd w:fill="1F5E4A"/>
          </w:tcPr>
          <w:p>
            <w:pPr>
              <w:spacing w:after="0"/>
            </w:pPr>
            <w:r/>
            <w:r>
              <w:rPr>
                <w:b/>
                <w:color w:val="FFFFFF"/>
                <w:sz w:val="18"/>
              </w:rPr>
              <w:t>Carte / widget</w:t>
            </w:r>
          </w:p>
        </w:tc>
        <w:tc>
          <w:tcPr>
            <w:tcW w:type="dxa" w:w="3402"/>
            <w:vAlign w:val="center"/>
            <w:shd w:fill="1F5E4A"/>
          </w:tcPr>
          <w:p>
            <w:pPr>
              <w:spacing w:after="0"/>
            </w:pPr>
            <w:r/>
            <w:r>
              <w:rPr>
                <w:b/>
                <w:color w:val="FFFFFF"/>
                <w:sz w:val="18"/>
              </w:rPr>
              <w:t>Valeur attendue</w:t>
            </w:r>
          </w:p>
        </w:tc>
        <w:tc>
          <w:tcPr>
            <w:tcW w:type="dxa" w:w="3402"/>
            <w:vAlign w:val="center"/>
            <w:shd w:fill="1F5E4A"/>
          </w:tcPr>
          <w:p>
            <w:pPr>
              <w:spacing w:after="0"/>
            </w:pPr>
            <w:r/>
            <w:r>
              <w:rPr>
                <w:b/>
                <w:color w:val="FFFFFF"/>
                <w:sz w:val="18"/>
              </w:rPr>
              <w:t>Navigation au clic</w:t>
            </w:r>
          </w:p>
        </w:tc>
      </w:tr>
      <w:tr>
        <w:tc>
          <w:tcPr>
            <w:tcW w:type="dxa" w:w="2268"/>
            <w:vAlign w:val="center"/>
          </w:tcPr>
          <w:p>
            <w:pPr>
              <w:spacing w:after="0"/>
            </w:pPr>
            <w:r/>
            <w:r>
              <w:rPr>
                <w:b w:val="0"/>
                <w:sz w:val="16"/>
              </w:rPr>
              <w:t>Étudiants inscrits</w:t>
            </w:r>
          </w:p>
        </w:tc>
        <w:tc>
          <w:tcPr>
            <w:tcW w:type="dxa" w:w="3402"/>
            <w:vAlign w:val="center"/>
          </w:tcPr>
          <w:p>
            <w:pPr>
              <w:spacing w:after="0"/>
            </w:pPr>
            <w:r/>
            <w:r>
              <w:rPr>
                <w:b w:val="0"/>
                <w:sz w:val="16"/>
              </w:rPr>
              <w:t>Nombre d’inscriptions actives selon filtre</w:t>
            </w:r>
          </w:p>
        </w:tc>
        <w:tc>
          <w:tcPr>
            <w:tcW w:type="dxa" w:w="3402"/>
            <w:vAlign w:val="center"/>
          </w:tcPr>
          <w:p>
            <w:pPr>
              <w:spacing w:after="0"/>
            </w:pPr>
            <w:r/>
            <w:r>
              <w:rPr>
                <w:b w:val="0"/>
                <w:sz w:val="16"/>
              </w:rPr>
              <w:t>Liste des étudiants et statut financier</w:t>
            </w:r>
          </w:p>
        </w:tc>
      </w:tr>
      <w:tr>
        <w:tc>
          <w:tcPr>
            <w:tcW w:type="dxa" w:w="2268"/>
            <w:vAlign w:val="center"/>
            <w:shd w:fill="F2F6F4"/>
          </w:tcPr>
          <w:p>
            <w:pPr>
              <w:spacing w:after="0"/>
            </w:pPr>
            <w:r/>
            <w:r>
              <w:rPr>
                <w:b w:val="0"/>
                <w:sz w:val="16"/>
              </w:rPr>
              <w:t>CA d’engagement</w:t>
            </w:r>
          </w:p>
        </w:tc>
        <w:tc>
          <w:tcPr>
            <w:tcW w:type="dxa" w:w="3402"/>
            <w:vAlign w:val="center"/>
            <w:shd w:fill="F2F6F4"/>
          </w:tcPr>
          <w:p>
            <w:pPr>
              <w:spacing w:after="0"/>
            </w:pPr>
            <w:r/>
            <w:r>
              <w:rPr>
                <w:b w:val="0"/>
                <w:sz w:val="16"/>
              </w:rPr>
              <w:t>Montant net engagé sur l’année scolaire</w:t>
            </w:r>
          </w:p>
        </w:tc>
        <w:tc>
          <w:tcPr>
            <w:tcW w:type="dxa" w:w="3402"/>
            <w:vAlign w:val="center"/>
            <w:shd w:fill="F2F6F4"/>
          </w:tcPr>
          <w:p>
            <w:pPr>
              <w:spacing w:after="0"/>
            </w:pPr>
            <w:r/>
            <w:r>
              <w:rPr>
                <w:b w:val="0"/>
                <w:sz w:val="16"/>
              </w:rPr>
              <w:t>Détail par classe, produit, élève et échéance</w:t>
            </w:r>
          </w:p>
        </w:tc>
      </w:tr>
      <w:tr>
        <w:tc>
          <w:tcPr>
            <w:tcW w:type="dxa" w:w="2268"/>
            <w:vAlign w:val="center"/>
          </w:tcPr>
          <w:p>
            <w:pPr>
              <w:spacing w:after="0"/>
            </w:pPr>
            <w:r/>
            <w:r>
              <w:rPr>
                <w:b w:val="0"/>
                <w:sz w:val="16"/>
              </w:rPr>
              <w:t>Montant dû à date</w:t>
            </w:r>
          </w:p>
        </w:tc>
        <w:tc>
          <w:tcPr>
            <w:tcW w:type="dxa" w:w="3402"/>
            <w:vAlign w:val="center"/>
          </w:tcPr>
          <w:p>
            <w:pPr>
              <w:spacing w:after="0"/>
            </w:pPr>
            <w:r/>
            <w:r>
              <w:rPr>
                <w:b w:val="0"/>
                <w:sz w:val="16"/>
              </w:rPr>
              <w:t>Échéances arrivées à maturité, payées ou non, selon définition affichée</w:t>
            </w:r>
          </w:p>
        </w:tc>
        <w:tc>
          <w:tcPr>
            <w:tcW w:type="dxa" w:w="3402"/>
            <w:vAlign w:val="center"/>
          </w:tcPr>
          <w:p>
            <w:pPr>
              <w:spacing w:after="0"/>
            </w:pPr>
            <w:r/>
            <w:r>
              <w:rPr>
                <w:b w:val="0"/>
                <w:sz w:val="16"/>
              </w:rPr>
              <w:t>Détail des échéances exigibles</w:t>
            </w:r>
          </w:p>
        </w:tc>
      </w:tr>
      <w:tr>
        <w:tc>
          <w:tcPr>
            <w:tcW w:type="dxa" w:w="2268"/>
            <w:vAlign w:val="center"/>
            <w:shd w:fill="F2F6F4"/>
          </w:tcPr>
          <w:p>
            <w:pPr>
              <w:spacing w:after="0"/>
            </w:pPr>
            <w:r/>
            <w:r>
              <w:rPr>
                <w:b w:val="0"/>
                <w:sz w:val="16"/>
              </w:rPr>
              <w:t>CA comptable</w:t>
            </w:r>
          </w:p>
        </w:tc>
        <w:tc>
          <w:tcPr>
            <w:tcW w:type="dxa" w:w="3402"/>
            <w:vAlign w:val="center"/>
            <w:shd w:fill="F2F6F4"/>
          </w:tcPr>
          <w:p>
            <w:pPr>
              <w:spacing w:after="0"/>
            </w:pPr>
            <w:r/>
            <w:r>
              <w:rPr>
                <w:b w:val="0"/>
                <w:sz w:val="16"/>
              </w:rPr>
              <w:t>Produits rattachés à l’année civile</w:t>
            </w:r>
          </w:p>
        </w:tc>
        <w:tc>
          <w:tcPr>
            <w:tcW w:type="dxa" w:w="3402"/>
            <w:vAlign w:val="center"/>
            <w:shd w:fill="F2F6F4"/>
          </w:tcPr>
          <w:p>
            <w:pPr>
              <w:spacing w:after="0"/>
            </w:pPr>
            <w:r/>
            <w:r>
              <w:rPr>
                <w:b w:val="0"/>
                <w:sz w:val="16"/>
              </w:rPr>
              <w:t>Détail mensuel des produits reconnus</w:t>
            </w:r>
          </w:p>
        </w:tc>
      </w:tr>
      <w:tr>
        <w:tc>
          <w:tcPr>
            <w:tcW w:type="dxa" w:w="2268"/>
            <w:vAlign w:val="center"/>
          </w:tcPr>
          <w:p>
            <w:pPr>
              <w:spacing w:after="0"/>
            </w:pPr>
            <w:r/>
            <w:r>
              <w:rPr>
                <w:b w:val="0"/>
                <w:sz w:val="16"/>
              </w:rPr>
              <w:t>Créances à échoir</w:t>
            </w:r>
          </w:p>
        </w:tc>
        <w:tc>
          <w:tcPr>
            <w:tcW w:type="dxa" w:w="3402"/>
            <w:vAlign w:val="center"/>
          </w:tcPr>
          <w:p>
            <w:pPr>
              <w:spacing w:after="0"/>
            </w:pPr>
            <w:r/>
            <w:r>
              <w:rPr>
                <w:b w:val="0"/>
                <w:sz w:val="16"/>
              </w:rPr>
              <w:t>Soldes des échéances futures</w:t>
            </w:r>
          </w:p>
        </w:tc>
        <w:tc>
          <w:tcPr>
            <w:tcW w:type="dxa" w:w="3402"/>
            <w:vAlign w:val="center"/>
          </w:tcPr>
          <w:p>
            <w:pPr>
              <w:spacing w:after="0"/>
            </w:pPr>
            <w:r/>
            <w:r>
              <w:rPr>
                <w:b w:val="0"/>
                <w:sz w:val="16"/>
              </w:rPr>
              <w:t>Calendrier des montants attendus</w:t>
            </w:r>
          </w:p>
        </w:tc>
      </w:tr>
      <w:tr>
        <w:tc>
          <w:tcPr>
            <w:tcW w:type="dxa" w:w="2268"/>
            <w:vAlign w:val="center"/>
            <w:shd w:fill="F2F6F4"/>
          </w:tcPr>
          <w:p>
            <w:pPr>
              <w:spacing w:after="0"/>
            </w:pPr>
            <w:r/>
            <w:r>
              <w:rPr>
                <w:b w:val="0"/>
                <w:sz w:val="16"/>
              </w:rPr>
              <w:t>À recouvrer</w:t>
            </w:r>
          </w:p>
        </w:tc>
        <w:tc>
          <w:tcPr>
            <w:tcW w:type="dxa" w:w="3402"/>
            <w:vAlign w:val="center"/>
            <w:shd w:fill="F2F6F4"/>
          </w:tcPr>
          <w:p>
            <w:pPr>
              <w:spacing w:after="0"/>
            </w:pPr>
            <w:r/>
            <w:r>
              <w:rPr>
                <w:b w:val="0"/>
                <w:sz w:val="16"/>
              </w:rPr>
              <w:t>Soldes en retard</w:t>
            </w:r>
          </w:p>
        </w:tc>
        <w:tc>
          <w:tcPr>
            <w:tcW w:type="dxa" w:w="3402"/>
            <w:vAlign w:val="center"/>
            <w:shd w:fill="F2F6F4"/>
          </w:tcPr>
          <w:p>
            <w:pPr>
              <w:spacing w:after="0"/>
            </w:pPr>
            <w:r/>
            <w:r>
              <w:rPr>
                <w:b w:val="0"/>
                <w:sz w:val="16"/>
              </w:rPr>
              <w:t>Dossiers et balance âgée</w:t>
            </w:r>
          </w:p>
        </w:tc>
      </w:tr>
      <w:tr>
        <w:tc>
          <w:tcPr>
            <w:tcW w:type="dxa" w:w="2268"/>
            <w:vAlign w:val="center"/>
          </w:tcPr>
          <w:p>
            <w:pPr>
              <w:spacing w:after="0"/>
            </w:pPr>
            <w:r/>
            <w:r>
              <w:rPr>
                <w:b w:val="0"/>
                <w:sz w:val="16"/>
              </w:rPr>
              <w:t>Montant encaissé</w:t>
            </w:r>
          </w:p>
        </w:tc>
        <w:tc>
          <w:tcPr>
            <w:tcW w:type="dxa" w:w="3402"/>
            <w:vAlign w:val="center"/>
          </w:tcPr>
          <w:p>
            <w:pPr>
              <w:spacing w:after="0"/>
            </w:pPr>
            <w:r/>
            <w:r>
              <w:rPr>
                <w:b w:val="0"/>
                <w:sz w:val="16"/>
              </w:rPr>
              <w:t>Paiements validés sur la période</w:t>
            </w:r>
          </w:p>
        </w:tc>
        <w:tc>
          <w:tcPr>
            <w:tcW w:type="dxa" w:w="3402"/>
            <w:vAlign w:val="center"/>
          </w:tcPr>
          <w:p>
            <w:pPr>
              <w:spacing w:after="0"/>
            </w:pPr>
            <w:r/>
            <w:r>
              <w:rPr>
                <w:b w:val="0"/>
                <w:sz w:val="16"/>
              </w:rPr>
              <w:t>Journal des encaissements</w:t>
            </w:r>
          </w:p>
        </w:tc>
      </w:tr>
      <w:tr>
        <w:tc>
          <w:tcPr>
            <w:tcW w:type="dxa" w:w="2268"/>
            <w:vAlign w:val="center"/>
            <w:shd w:fill="F2F6F4"/>
          </w:tcPr>
          <w:p>
            <w:pPr>
              <w:spacing w:after="0"/>
            </w:pPr>
            <w:r/>
            <w:r>
              <w:rPr>
                <w:b w:val="0"/>
                <w:sz w:val="16"/>
              </w:rPr>
              <w:t>Bilan mensuel par moyen</w:t>
            </w:r>
          </w:p>
        </w:tc>
        <w:tc>
          <w:tcPr>
            <w:tcW w:type="dxa" w:w="3402"/>
            <w:vAlign w:val="center"/>
            <w:shd w:fill="F2F6F4"/>
          </w:tcPr>
          <w:p>
            <w:pPr>
              <w:spacing w:after="0"/>
            </w:pPr>
            <w:r/>
            <w:r>
              <w:rPr>
                <w:b w:val="0"/>
                <w:sz w:val="16"/>
              </w:rPr>
              <w:t>Espèces, virement, chèque, en ligne, mobile money</w:t>
            </w:r>
          </w:p>
        </w:tc>
        <w:tc>
          <w:tcPr>
            <w:tcW w:type="dxa" w:w="3402"/>
            <w:vAlign w:val="center"/>
            <w:shd w:fill="F2F6F4"/>
          </w:tcPr>
          <w:p>
            <w:pPr>
              <w:spacing w:after="0"/>
            </w:pPr>
            <w:r/>
            <w:r>
              <w:rPr>
                <w:b w:val="0"/>
                <w:sz w:val="16"/>
              </w:rPr>
              <w:t>Détail des transactions</w:t>
            </w:r>
          </w:p>
        </w:tc>
      </w:tr>
      <w:tr>
        <w:tc>
          <w:tcPr>
            <w:tcW w:type="dxa" w:w="2268"/>
            <w:vAlign w:val="center"/>
          </w:tcPr>
          <w:p>
            <w:pPr>
              <w:spacing w:after="0"/>
            </w:pPr>
            <w:r/>
            <w:r>
              <w:rPr>
                <w:b w:val="0"/>
                <w:sz w:val="16"/>
              </w:rPr>
              <w:t>Recettes accessoires</w:t>
            </w:r>
          </w:p>
        </w:tc>
        <w:tc>
          <w:tcPr>
            <w:tcW w:type="dxa" w:w="3402"/>
            <w:vAlign w:val="center"/>
          </w:tcPr>
          <w:p>
            <w:pPr>
              <w:spacing w:after="0"/>
            </w:pPr>
            <w:r/>
            <w:r>
              <w:rPr>
                <w:b w:val="0"/>
                <w:sz w:val="16"/>
              </w:rPr>
              <w:t>Entrées diverses par mois</w:t>
            </w:r>
          </w:p>
        </w:tc>
        <w:tc>
          <w:tcPr>
            <w:tcW w:type="dxa" w:w="3402"/>
            <w:vAlign w:val="center"/>
          </w:tcPr>
          <w:p>
            <w:pPr>
              <w:spacing w:after="0"/>
            </w:pPr>
            <w:r/>
            <w:r>
              <w:rPr>
                <w:b w:val="0"/>
                <w:sz w:val="16"/>
              </w:rPr>
              <w:t>Détail par catégorie</w:t>
            </w:r>
          </w:p>
        </w:tc>
      </w:tr>
    </w:tbl>
    <w:p>
      <w:pPr>
        <w:spacing w:after="0"/>
      </w:pPr>
    </w:p>
    <w:tbl>
      <w:tblPr>
        <w:tblStyle w:val="TableGrid"/>
        <w:tblW w:type="auto" w:w="0"/>
        <w:jc w:val="center"/>
        <w:tblLook w:firstColumn="1" w:firstRow="1" w:lastColumn="0" w:lastRow="0" w:noHBand="0" w:noVBand="1" w:val="04A0"/>
      </w:tblPr>
      <w:tblGrid>
        <w:gridCol w:w="9972"/>
      </w:tblGrid>
      <w:tr>
        <w:tc>
          <w:tcPr>
            <w:tcW w:type="dxa" w:w="9972"/>
            <w:shd w:fill="FFF4E6"/>
          </w:tcPr>
          <w:p>
            <w:pPr>
              <w:spacing w:after="0"/>
            </w:pPr>
            <w:r/>
            <w:r>
              <w:rPr>
                <w:b/>
                <w:color w:val="1F5E4A"/>
              </w:rPr>
              <w:t xml:space="preserve">Sélecteurs à distinguer : </w:t>
            </w:r>
            <w:r>
              <w:t>Le tableau de bord doit proposer un sélecteur d’année scolaire pour le CA d’engagement et un sélecteur d’année civile pour le CA comptable. Si un seul écran affiche les deux, les deux filtres doivent être visibles simultanément afin d’éviter une interprétation erronée.</w:t>
            </w:r>
          </w:p>
        </w:tc>
      </w:tr>
    </w:tbl>
    <w:p>
      <w:pPr>
        <w:spacing w:after="0"/>
      </w:pPr>
    </w:p>
    <w:p>
      <w:pPr>
        <w:pStyle w:val="Heading2"/>
      </w:pPr>
      <w:r>
        <w:t>10.2 Écrans détaillés</w:t>
      </w:r>
    </w:p>
    <w:p>
      <w:pPr>
        <w:pStyle w:val="ListBullet"/>
        <w:spacing w:after="40"/>
      </w:pPr>
      <w:r>
        <w:t>Fiche financière de l’élève : engagement, échéancier, paiements, solde, échéances futures, retards et documents.</w:t>
      </w:r>
    </w:p>
    <w:p>
      <w:pPr>
        <w:pStyle w:val="ListBullet"/>
        <w:spacing w:after="40"/>
      </w:pPr>
      <w:r>
        <w:t>Journal des encaissements : recherche multicritère, export et réimpression du reçu.</w:t>
      </w:r>
    </w:p>
    <w:p>
      <w:pPr>
        <w:pStyle w:val="ListBullet"/>
        <w:spacing w:after="40"/>
      </w:pPr>
      <w:r>
        <w:t>Balance âgée : détail des impayés par tranche, année scolaire, classe et responsable financier.</w:t>
      </w:r>
    </w:p>
    <w:p>
      <w:pPr>
        <w:pStyle w:val="ListBullet"/>
        <w:spacing w:after="40"/>
      </w:pPr>
      <w:r>
        <w:t>Prévision des encaissements : échéances à venir par jour, semaine ou mois.</w:t>
      </w:r>
    </w:p>
    <w:p>
      <w:pPr>
        <w:pStyle w:val="ListBullet"/>
        <w:spacing w:after="40"/>
      </w:pPr>
      <w:r>
        <w:t>CA comptable : ventilation mensuelle, par nature et par établissement.</w:t>
      </w:r>
    </w:p>
    <w:p>
      <w:pPr>
        <w:pStyle w:val="ListBullet"/>
        <w:spacing w:after="40"/>
      </w:pPr>
      <w:r>
        <w:t>CA d’engagement : ventilation par année scolaire, classe, tarif et statut.</w:t>
      </w:r>
    </w:p>
    <w:p>
      <w:pPr>
        <w:pStyle w:val="ListBullet"/>
        <w:spacing w:after="40"/>
      </w:pPr>
      <w:r>
        <w:t>Recettes diverses : ventilation mensuelle par produit et moyen de paiement.</w:t>
      </w:r>
    </w:p>
    <w:p>
      <w:pPr>
        <w:pStyle w:val="ListBullet"/>
        <w:spacing w:after="40"/>
      </w:pPr>
      <w:r>
        <w:t>Clôture de caisse : rapprochement entre montant attendu et montant constaté.</w:t>
      </w:r>
    </w:p>
    <w:p>
      <w:pPr>
        <w:pStyle w:val="Heading1"/>
      </w:pPr>
      <w:r>
        <w:t>11. Modèle de données recommandé</w:t>
      </w:r>
    </w:p>
    <w:p>
      <w:r>
        <w:t>Le modèle ci-dessous est conceptuel. Les noms techniques peuvent être adaptés, mais les responsabilités des entités doivent rester séparées.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098"/>
            <w:vAlign w:val="center"/>
            <w:shd w:fill="1F5E4A"/>
          </w:tcPr>
          <w:p>
            <w:pPr>
              <w:spacing w:after="0"/>
            </w:pPr>
            <w:r/>
            <w:r>
              <w:rPr>
                <w:b/>
                <w:color w:val="FFFFFF"/>
                <w:sz w:val="18"/>
              </w:rPr>
              <w:t>Entité</w:t>
            </w:r>
          </w:p>
        </w:tc>
        <w:tc>
          <w:tcPr>
            <w:tcW w:type="dxa" w:w="3005"/>
            <w:vAlign w:val="center"/>
            <w:shd w:fill="1F5E4A"/>
          </w:tcPr>
          <w:p>
            <w:pPr>
              <w:spacing w:after="0"/>
            </w:pPr>
            <w:r/>
            <w:r>
              <w:rPr>
                <w:b/>
                <w:color w:val="FFFFFF"/>
                <w:sz w:val="18"/>
              </w:rPr>
              <w:t>Rôle principal</w:t>
            </w:r>
          </w:p>
        </w:tc>
        <w:tc>
          <w:tcPr>
            <w:tcW w:type="dxa" w:w="3969"/>
            <w:vAlign w:val="center"/>
            <w:shd w:fill="1F5E4A"/>
          </w:tcPr>
          <w:p>
            <w:pPr>
              <w:spacing w:after="0"/>
            </w:pPr>
            <w:r/>
            <w:r>
              <w:rPr>
                <w:b/>
                <w:color w:val="FFFFFF"/>
                <w:sz w:val="18"/>
              </w:rPr>
              <w:t>Champs clés</w:t>
            </w:r>
          </w:p>
        </w:tc>
      </w:tr>
      <w:tr>
        <w:tc>
          <w:tcPr>
            <w:tcW w:type="dxa" w:w="2098"/>
            <w:vAlign w:val="center"/>
          </w:tcPr>
          <w:p>
            <w:pPr>
              <w:spacing w:after="0"/>
            </w:pPr>
            <w:r/>
            <w:r>
              <w:rPr>
                <w:b w:val="0"/>
                <w:sz w:val="15"/>
              </w:rPr>
              <w:t>AcademicYear</w:t>
            </w:r>
          </w:p>
        </w:tc>
        <w:tc>
          <w:tcPr>
            <w:tcW w:type="dxa" w:w="3005"/>
            <w:vAlign w:val="center"/>
          </w:tcPr>
          <w:p>
            <w:pPr>
              <w:spacing w:after="0"/>
            </w:pPr>
            <w:r/>
            <w:r>
              <w:rPr>
                <w:b w:val="0"/>
                <w:sz w:val="15"/>
              </w:rPr>
              <w:t>Année scolaire</w:t>
            </w:r>
          </w:p>
        </w:tc>
        <w:tc>
          <w:tcPr>
            <w:tcW w:type="dxa" w:w="3969"/>
            <w:vAlign w:val="center"/>
          </w:tcPr>
          <w:p>
            <w:pPr>
              <w:spacing w:after="0"/>
            </w:pPr>
            <w:r/>
            <w:r>
              <w:rPr>
                <w:b w:val="0"/>
                <w:sz w:val="15"/>
              </w:rPr>
              <w:t>id, code, startDate, endDate, status</w:t>
            </w:r>
          </w:p>
        </w:tc>
      </w:tr>
      <w:tr>
        <w:tc>
          <w:tcPr>
            <w:tcW w:type="dxa" w:w="2098"/>
            <w:vAlign w:val="center"/>
            <w:shd w:fill="F2F6F4"/>
          </w:tcPr>
          <w:p>
            <w:pPr>
              <w:spacing w:after="0"/>
            </w:pPr>
            <w:r/>
            <w:r>
              <w:rPr>
                <w:b w:val="0"/>
                <w:sz w:val="15"/>
              </w:rPr>
              <w:t>CivilPeriod</w:t>
            </w:r>
          </w:p>
        </w:tc>
        <w:tc>
          <w:tcPr>
            <w:tcW w:type="dxa" w:w="3005"/>
            <w:vAlign w:val="center"/>
            <w:shd w:fill="F2F6F4"/>
          </w:tcPr>
          <w:p>
            <w:pPr>
              <w:spacing w:after="0"/>
            </w:pPr>
            <w:r/>
            <w:r>
              <w:rPr>
                <w:b w:val="0"/>
                <w:sz w:val="15"/>
              </w:rPr>
              <w:t>Période civile / mois comptable</w:t>
            </w:r>
          </w:p>
        </w:tc>
        <w:tc>
          <w:tcPr>
            <w:tcW w:type="dxa" w:w="3969"/>
            <w:vAlign w:val="center"/>
            <w:shd w:fill="F2F6F4"/>
          </w:tcPr>
          <w:p>
            <w:pPr>
              <w:spacing w:after="0"/>
            </w:pPr>
            <w:r/>
            <w:r>
              <w:rPr>
                <w:b w:val="0"/>
                <w:sz w:val="15"/>
              </w:rPr>
              <w:t>year, month, startDate, endDate, status</w:t>
            </w:r>
          </w:p>
        </w:tc>
      </w:tr>
      <w:tr>
        <w:tc>
          <w:tcPr>
            <w:tcW w:type="dxa" w:w="2098"/>
            <w:vAlign w:val="center"/>
          </w:tcPr>
          <w:p>
            <w:pPr>
              <w:spacing w:after="0"/>
            </w:pPr>
            <w:r/>
            <w:r>
              <w:rPr>
                <w:b w:val="0"/>
                <w:sz w:val="15"/>
              </w:rPr>
              <w:t>StudentEnrollment</w:t>
            </w:r>
          </w:p>
        </w:tc>
        <w:tc>
          <w:tcPr>
            <w:tcW w:type="dxa" w:w="3005"/>
            <w:vAlign w:val="center"/>
          </w:tcPr>
          <w:p>
            <w:pPr>
              <w:spacing w:after="0"/>
            </w:pPr>
            <w:r/>
            <w:r>
              <w:rPr>
                <w:b w:val="0"/>
                <w:sz w:val="15"/>
              </w:rPr>
              <w:t>Inscription pédagogique</w:t>
            </w:r>
          </w:p>
        </w:tc>
        <w:tc>
          <w:tcPr>
            <w:tcW w:type="dxa" w:w="3969"/>
            <w:vAlign w:val="center"/>
          </w:tcPr>
          <w:p>
            <w:pPr>
              <w:spacing w:after="0"/>
            </w:pPr>
            <w:r/>
            <w:r>
              <w:rPr>
                <w:b w:val="0"/>
                <w:sz w:val="15"/>
              </w:rPr>
              <w:t>studentId, academicYearId, programId, enrollmentDate, status</w:t>
            </w:r>
          </w:p>
        </w:tc>
      </w:tr>
      <w:tr>
        <w:tc>
          <w:tcPr>
            <w:tcW w:type="dxa" w:w="2098"/>
            <w:vAlign w:val="center"/>
            <w:shd w:fill="F2F6F4"/>
          </w:tcPr>
          <w:p>
            <w:pPr>
              <w:spacing w:after="0"/>
            </w:pPr>
            <w:r/>
            <w:r>
              <w:rPr>
                <w:b w:val="0"/>
                <w:sz w:val="15"/>
              </w:rPr>
              <w:t>TariffPlan</w:t>
            </w:r>
          </w:p>
        </w:tc>
        <w:tc>
          <w:tcPr>
            <w:tcW w:type="dxa" w:w="3005"/>
            <w:vAlign w:val="center"/>
            <w:shd w:fill="F2F6F4"/>
          </w:tcPr>
          <w:p>
            <w:pPr>
              <w:spacing w:after="0"/>
            </w:pPr>
            <w:r/>
            <w:r>
              <w:rPr>
                <w:b w:val="0"/>
                <w:sz w:val="15"/>
              </w:rPr>
              <w:t>Grille tarifaire versionnée</w:t>
            </w:r>
          </w:p>
        </w:tc>
        <w:tc>
          <w:tcPr>
            <w:tcW w:type="dxa" w:w="3969"/>
            <w:vAlign w:val="center"/>
            <w:shd w:fill="F2F6F4"/>
          </w:tcPr>
          <w:p>
            <w:pPr>
              <w:spacing w:after="0"/>
            </w:pPr>
            <w:r/>
            <w:r>
              <w:rPr>
                <w:b w:val="0"/>
                <w:sz w:val="15"/>
              </w:rPr>
              <w:t>academicYearId, programId, registrationFee, tuitionRules, version</w:t>
            </w:r>
          </w:p>
        </w:tc>
      </w:tr>
      <w:tr>
        <w:tc>
          <w:tcPr>
            <w:tcW w:type="dxa" w:w="2098"/>
            <w:vAlign w:val="center"/>
          </w:tcPr>
          <w:p>
            <w:pPr>
              <w:spacing w:after="0"/>
            </w:pPr>
            <w:r/>
            <w:r>
              <w:rPr>
                <w:b w:val="0"/>
                <w:sz w:val="15"/>
              </w:rPr>
              <w:t>FinancialCommitment</w:t>
            </w:r>
          </w:p>
        </w:tc>
        <w:tc>
          <w:tcPr>
            <w:tcW w:type="dxa" w:w="3005"/>
            <w:vAlign w:val="center"/>
          </w:tcPr>
          <w:p>
            <w:pPr>
              <w:spacing w:after="0"/>
            </w:pPr>
            <w:r/>
            <w:r>
              <w:rPr>
                <w:b w:val="0"/>
                <w:sz w:val="15"/>
              </w:rPr>
              <w:t>Contrat financier net</w:t>
            </w:r>
          </w:p>
        </w:tc>
        <w:tc>
          <w:tcPr>
            <w:tcW w:type="dxa" w:w="3969"/>
            <w:vAlign w:val="center"/>
          </w:tcPr>
          <w:p>
            <w:pPr>
              <w:spacing w:after="0"/>
            </w:pPr>
            <w:r/>
            <w:r>
              <w:rPr>
                <w:b w:val="0"/>
                <w:sz w:val="15"/>
              </w:rPr>
              <w:t>enrollmentId, grossAmount, discountAmount, netAmount, status</w:t>
            </w:r>
          </w:p>
        </w:tc>
      </w:tr>
      <w:tr>
        <w:tc>
          <w:tcPr>
            <w:tcW w:type="dxa" w:w="2098"/>
            <w:vAlign w:val="center"/>
            <w:shd w:fill="F2F6F4"/>
          </w:tcPr>
          <w:p>
            <w:pPr>
              <w:spacing w:after="0"/>
            </w:pPr>
            <w:r/>
            <w:r>
              <w:rPr>
                <w:b w:val="0"/>
                <w:sz w:val="15"/>
              </w:rPr>
              <w:t>Installment</w:t>
            </w:r>
          </w:p>
        </w:tc>
        <w:tc>
          <w:tcPr>
            <w:tcW w:type="dxa" w:w="3005"/>
            <w:vAlign w:val="center"/>
            <w:shd w:fill="F2F6F4"/>
          </w:tcPr>
          <w:p>
            <w:pPr>
              <w:spacing w:after="0"/>
            </w:pPr>
            <w:r/>
            <w:r>
              <w:rPr>
                <w:b w:val="0"/>
                <w:sz w:val="15"/>
              </w:rPr>
              <w:t>Échéance payable</w:t>
            </w:r>
          </w:p>
        </w:tc>
        <w:tc>
          <w:tcPr>
            <w:tcW w:type="dxa" w:w="3969"/>
            <w:vAlign w:val="center"/>
            <w:shd w:fill="F2F6F4"/>
          </w:tcPr>
          <w:p>
            <w:pPr>
              <w:spacing w:after="0"/>
            </w:pPr>
            <w:r/>
            <w:r>
              <w:rPr>
                <w:b w:val="0"/>
                <w:sz w:val="15"/>
              </w:rPr>
              <w:t>commitmentId, productType, dueDate, servicePeriod, gross, discount, net, balance, status</w:t>
            </w:r>
          </w:p>
        </w:tc>
      </w:tr>
      <w:tr>
        <w:tc>
          <w:tcPr>
            <w:tcW w:type="dxa" w:w="2098"/>
            <w:vAlign w:val="center"/>
          </w:tcPr>
          <w:p>
            <w:pPr>
              <w:spacing w:after="0"/>
            </w:pPr>
            <w:r/>
            <w:r>
              <w:rPr>
                <w:b w:val="0"/>
                <w:sz w:val="15"/>
              </w:rPr>
              <w:t>Payment</w:t>
            </w:r>
          </w:p>
        </w:tc>
        <w:tc>
          <w:tcPr>
            <w:tcW w:type="dxa" w:w="3005"/>
            <w:vAlign w:val="center"/>
          </w:tcPr>
          <w:p>
            <w:pPr>
              <w:spacing w:after="0"/>
            </w:pPr>
            <w:r/>
            <w:r>
              <w:rPr>
                <w:b w:val="0"/>
                <w:sz w:val="15"/>
              </w:rPr>
              <w:t>Encaissement</w:t>
            </w:r>
          </w:p>
        </w:tc>
        <w:tc>
          <w:tcPr>
            <w:tcW w:type="dxa" w:w="3969"/>
            <w:vAlign w:val="center"/>
          </w:tcPr>
          <w:p>
            <w:pPr>
              <w:spacing w:after="0"/>
            </w:pPr>
            <w:r/>
            <w:r>
              <w:rPr>
                <w:b w:val="0"/>
                <w:sz w:val="15"/>
              </w:rPr>
              <w:t>receiptNo, paidAt, amount, method, cashAccountId, status, externalRef</w:t>
            </w:r>
          </w:p>
        </w:tc>
      </w:tr>
      <w:tr>
        <w:tc>
          <w:tcPr>
            <w:tcW w:type="dxa" w:w="2098"/>
            <w:vAlign w:val="center"/>
            <w:shd w:fill="F2F6F4"/>
          </w:tcPr>
          <w:p>
            <w:pPr>
              <w:spacing w:after="0"/>
            </w:pPr>
            <w:r/>
            <w:r>
              <w:rPr>
                <w:b w:val="0"/>
                <w:sz w:val="15"/>
              </w:rPr>
              <w:t>PaymentAllocation</w:t>
            </w:r>
          </w:p>
        </w:tc>
        <w:tc>
          <w:tcPr>
            <w:tcW w:type="dxa" w:w="3005"/>
            <w:vAlign w:val="center"/>
            <w:shd w:fill="F2F6F4"/>
          </w:tcPr>
          <w:p>
            <w:pPr>
              <w:spacing w:after="0"/>
            </w:pPr>
            <w:r/>
            <w:r>
              <w:rPr>
                <w:b w:val="0"/>
                <w:sz w:val="15"/>
              </w:rPr>
              <w:t>Affectation d’un paiement</w:t>
            </w:r>
          </w:p>
        </w:tc>
        <w:tc>
          <w:tcPr>
            <w:tcW w:type="dxa" w:w="3969"/>
            <w:vAlign w:val="center"/>
            <w:shd w:fill="F2F6F4"/>
          </w:tcPr>
          <w:p>
            <w:pPr>
              <w:spacing w:after="0"/>
            </w:pPr>
            <w:r/>
            <w:r>
              <w:rPr>
                <w:b w:val="0"/>
                <w:sz w:val="15"/>
              </w:rPr>
              <w:t>paymentId, installmentId, allocatedAmount</w:t>
            </w:r>
          </w:p>
        </w:tc>
      </w:tr>
      <w:tr>
        <w:tc>
          <w:tcPr>
            <w:tcW w:type="dxa" w:w="2098"/>
            <w:vAlign w:val="center"/>
          </w:tcPr>
          <w:p>
            <w:pPr>
              <w:spacing w:after="0"/>
            </w:pPr>
            <w:r/>
            <w:r>
              <w:rPr>
                <w:b w:val="0"/>
                <w:sz w:val="15"/>
              </w:rPr>
              <w:t>OtherRevenue</w:t>
            </w:r>
          </w:p>
        </w:tc>
        <w:tc>
          <w:tcPr>
            <w:tcW w:type="dxa" w:w="3005"/>
            <w:vAlign w:val="center"/>
          </w:tcPr>
          <w:p>
            <w:pPr>
              <w:spacing w:after="0"/>
            </w:pPr>
            <w:r/>
            <w:r>
              <w:rPr>
                <w:b w:val="0"/>
                <w:sz w:val="15"/>
              </w:rPr>
              <w:t>Recette diverse</w:t>
            </w:r>
          </w:p>
        </w:tc>
        <w:tc>
          <w:tcPr>
            <w:tcW w:type="dxa" w:w="3969"/>
            <w:vAlign w:val="center"/>
          </w:tcPr>
          <w:p>
            <w:pPr>
              <w:spacing w:after="0"/>
            </w:pPr>
            <w:r/>
            <w:r>
              <w:rPr>
                <w:b w:val="0"/>
                <w:sz w:val="15"/>
              </w:rPr>
              <w:t>productId, payerId, amount, revenueDate, paymentId</w:t>
            </w:r>
          </w:p>
        </w:tc>
      </w:tr>
      <w:tr>
        <w:tc>
          <w:tcPr>
            <w:tcW w:type="dxa" w:w="2098"/>
            <w:vAlign w:val="center"/>
            <w:shd w:fill="F2F6F4"/>
          </w:tcPr>
          <w:p>
            <w:pPr>
              <w:spacing w:after="0"/>
            </w:pPr>
            <w:r/>
            <w:r>
              <w:rPr>
                <w:b w:val="0"/>
                <w:sz w:val="15"/>
              </w:rPr>
              <w:t>CreditNote</w:t>
            </w:r>
          </w:p>
        </w:tc>
        <w:tc>
          <w:tcPr>
            <w:tcW w:type="dxa" w:w="3005"/>
            <w:vAlign w:val="center"/>
            <w:shd w:fill="F2F6F4"/>
          </w:tcPr>
          <w:p>
            <w:pPr>
              <w:spacing w:after="0"/>
            </w:pPr>
            <w:r/>
            <w:r>
              <w:rPr>
                <w:b w:val="0"/>
                <w:sz w:val="15"/>
              </w:rPr>
              <w:t>Avoir / réduction postérieure</w:t>
            </w:r>
          </w:p>
        </w:tc>
        <w:tc>
          <w:tcPr>
            <w:tcW w:type="dxa" w:w="3969"/>
            <w:vAlign w:val="center"/>
            <w:shd w:fill="F2F6F4"/>
          </w:tcPr>
          <w:p>
            <w:pPr>
              <w:spacing w:after="0"/>
            </w:pPr>
            <w:r/>
            <w:r>
              <w:rPr>
                <w:b w:val="0"/>
                <w:sz w:val="15"/>
              </w:rPr>
              <w:t>reason, amount, effectiveDate, targetInstallmentId</w:t>
            </w:r>
          </w:p>
        </w:tc>
      </w:tr>
      <w:tr>
        <w:tc>
          <w:tcPr>
            <w:tcW w:type="dxa" w:w="2098"/>
            <w:vAlign w:val="center"/>
          </w:tcPr>
          <w:p>
            <w:pPr>
              <w:spacing w:after="0"/>
            </w:pPr>
            <w:r/>
            <w:r>
              <w:rPr>
                <w:b w:val="0"/>
                <w:sz w:val="15"/>
              </w:rPr>
              <w:t>Refund</w:t>
            </w:r>
          </w:p>
        </w:tc>
        <w:tc>
          <w:tcPr>
            <w:tcW w:type="dxa" w:w="3005"/>
            <w:vAlign w:val="center"/>
          </w:tcPr>
          <w:p>
            <w:pPr>
              <w:spacing w:after="0"/>
            </w:pPr>
            <w:r/>
            <w:r>
              <w:rPr>
                <w:b w:val="0"/>
                <w:sz w:val="15"/>
              </w:rPr>
              <w:t>Sortie de trésorerie</w:t>
            </w:r>
          </w:p>
        </w:tc>
        <w:tc>
          <w:tcPr>
            <w:tcW w:type="dxa" w:w="3969"/>
            <w:vAlign w:val="center"/>
          </w:tcPr>
          <w:p>
            <w:pPr>
              <w:spacing w:after="0"/>
            </w:pPr>
            <w:r/>
            <w:r>
              <w:rPr>
                <w:b w:val="0"/>
                <w:sz w:val="15"/>
              </w:rPr>
              <w:t>paymentId, amount, refundedAt, reason, status</w:t>
            </w:r>
          </w:p>
        </w:tc>
      </w:tr>
      <w:tr>
        <w:tc>
          <w:tcPr>
            <w:tcW w:type="dxa" w:w="2098"/>
            <w:vAlign w:val="center"/>
            <w:shd w:fill="F2F6F4"/>
          </w:tcPr>
          <w:p>
            <w:pPr>
              <w:spacing w:after="0"/>
            </w:pPr>
            <w:r/>
            <w:r>
              <w:rPr>
                <w:b w:val="0"/>
                <w:sz w:val="15"/>
              </w:rPr>
              <w:t>CollectionCase</w:t>
            </w:r>
          </w:p>
        </w:tc>
        <w:tc>
          <w:tcPr>
            <w:tcW w:type="dxa" w:w="3005"/>
            <w:vAlign w:val="center"/>
            <w:shd w:fill="F2F6F4"/>
          </w:tcPr>
          <w:p>
            <w:pPr>
              <w:spacing w:after="0"/>
            </w:pPr>
            <w:r/>
            <w:r>
              <w:rPr>
                <w:b w:val="0"/>
                <w:sz w:val="15"/>
              </w:rPr>
              <w:t>Dossier de recouvrement</w:t>
            </w:r>
          </w:p>
        </w:tc>
        <w:tc>
          <w:tcPr>
            <w:tcW w:type="dxa" w:w="3969"/>
            <w:vAlign w:val="center"/>
            <w:shd w:fill="F2F6F4"/>
          </w:tcPr>
          <w:p>
            <w:pPr>
              <w:spacing w:after="0"/>
            </w:pPr>
            <w:r/>
            <w:r>
              <w:rPr>
                <w:b w:val="0"/>
                <w:sz w:val="15"/>
              </w:rPr>
              <w:t>debtorId, status, ownerId, nextActionDate</w:t>
            </w:r>
          </w:p>
        </w:tc>
      </w:tr>
      <w:tr>
        <w:tc>
          <w:tcPr>
            <w:tcW w:type="dxa" w:w="2098"/>
            <w:vAlign w:val="center"/>
          </w:tcPr>
          <w:p>
            <w:pPr>
              <w:spacing w:after="0"/>
            </w:pPr>
            <w:r/>
            <w:r>
              <w:rPr>
                <w:b w:val="0"/>
                <w:sz w:val="15"/>
              </w:rPr>
              <w:t>CollectionAction</w:t>
            </w:r>
          </w:p>
        </w:tc>
        <w:tc>
          <w:tcPr>
            <w:tcW w:type="dxa" w:w="3005"/>
            <w:vAlign w:val="center"/>
          </w:tcPr>
          <w:p>
            <w:pPr>
              <w:spacing w:after="0"/>
            </w:pPr>
            <w:r/>
            <w:r>
              <w:rPr>
                <w:b w:val="0"/>
                <w:sz w:val="15"/>
              </w:rPr>
              <w:t>Historique des relances</w:t>
            </w:r>
          </w:p>
        </w:tc>
        <w:tc>
          <w:tcPr>
            <w:tcW w:type="dxa" w:w="3969"/>
            <w:vAlign w:val="center"/>
          </w:tcPr>
          <w:p>
            <w:pPr>
              <w:spacing w:after="0"/>
            </w:pPr>
            <w:r/>
            <w:r>
              <w:rPr>
                <w:b w:val="0"/>
                <w:sz w:val="15"/>
              </w:rPr>
              <w:t>caseId, actionType, actionAt, result, promiseDate, notes</w:t>
            </w:r>
          </w:p>
        </w:tc>
      </w:tr>
      <w:tr>
        <w:tc>
          <w:tcPr>
            <w:tcW w:type="dxa" w:w="2098"/>
            <w:vAlign w:val="center"/>
            <w:shd w:fill="F2F6F4"/>
          </w:tcPr>
          <w:p>
            <w:pPr>
              <w:spacing w:after="0"/>
            </w:pPr>
            <w:r/>
            <w:r>
              <w:rPr>
                <w:b w:val="0"/>
                <w:sz w:val="15"/>
              </w:rPr>
              <w:t>CashSession</w:t>
            </w:r>
          </w:p>
        </w:tc>
        <w:tc>
          <w:tcPr>
            <w:tcW w:type="dxa" w:w="3005"/>
            <w:vAlign w:val="center"/>
            <w:shd w:fill="F2F6F4"/>
          </w:tcPr>
          <w:p>
            <w:pPr>
              <w:spacing w:after="0"/>
            </w:pPr>
            <w:r/>
            <w:r>
              <w:rPr>
                <w:b w:val="0"/>
                <w:sz w:val="15"/>
              </w:rPr>
              <w:t>Ouverture et clôture de caisse</w:t>
            </w:r>
          </w:p>
        </w:tc>
        <w:tc>
          <w:tcPr>
            <w:tcW w:type="dxa" w:w="3969"/>
            <w:vAlign w:val="center"/>
            <w:shd w:fill="F2F6F4"/>
          </w:tcPr>
          <w:p>
            <w:pPr>
              <w:spacing w:after="0"/>
            </w:pPr>
            <w:r/>
            <w:r>
              <w:rPr>
                <w:b w:val="0"/>
                <w:sz w:val="15"/>
              </w:rPr>
              <w:t>cashierId, openedAt, closedAt, openingBalance, expected, actual</w:t>
            </w:r>
          </w:p>
        </w:tc>
      </w:tr>
      <w:tr>
        <w:tc>
          <w:tcPr>
            <w:tcW w:type="dxa" w:w="2098"/>
            <w:vAlign w:val="center"/>
          </w:tcPr>
          <w:p>
            <w:pPr>
              <w:spacing w:after="0"/>
            </w:pPr>
            <w:r/>
            <w:r>
              <w:rPr>
                <w:b w:val="0"/>
                <w:sz w:val="15"/>
              </w:rPr>
              <w:t>AuditEvent</w:t>
            </w:r>
          </w:p>
        </w:tc>
        <w:tc>
          <w:tcPr>
            <w:tcW w:type="dxa" w:w="3005"/>
            <w:vAlign w:val="center"/>
          </w:tcPr>
          <w:p>
            <w:pPr>
              <w:spacing w:after="0"/>
            </w:pPr>
            <w:r/>
            <w:r>
              <w:rPr>
                <w:b w:val="0"/>
                <w:sz w:val="15"/>
              </w:rPr>
              <w:t>Journal d’audit</w:t>
            </w:r>
          </w:p>
        </w:tc>
        <w:tc>
          <w:tcPr>
            <w:tcW w:type="dxa" w:w="3969"/>
            <w:vAlign w:val="center"/>
          </w:tcPr>
          <w:p>
            <w:pPr>
              <w:spacing w:after="0"/>
            </w:pPr>
            <w:r/>
            <w:r>
              <w:rPr>
                <w:b w:val="0"/>
                <w:sz w:val="15"/>
              </w:rPr>
              <w:t>actorId, action, entityType, entityId, before, after, timestamp</w:t>
            </w:r>
          </w:p>
        </w:tc>
      </w:tr>
    </w:tbl>
    <w:p>
      <w:pPr>
        <w:spacing w:after="0"/>
      </w:pPr>
    </w:p>
    <w:tbl>
      <w:tblPr>
        <w:tblStyle w:val="TableGrid"/>
        <w:tblW w:type="auto" w:w="0"/>
        <w:jc w:val="center"/>
        <w:tblLook w:firstColumn="1" w:firstRow="1" w:lastColumn="0" w:lastRow="0" w:noHBand="0" w:noVBand="1" w:val="04A0"/>
      </w:tblPr>
      <w:tblGrid>
        <w:gridCol w:w="9972"/>
      </w:tblGrid>
      <w:tr>
        <w:tc>
          <w:tcPr>
            <w:tcW w:type="dxa" w:w="9972"/>
            <w:shd w:fill="EAF4F0"/>
          </w:tcPr>
          <w:p>
            <w:pPr>
              <w:spacing w:after="0"/>
            </w:pPr>
            <w:r/>
            <w:r>
              <w:rPr>
                <w:b/>
                <w:color w:val="1F5E4A"/>
              </w:rPr>
              <w:t xml:space="preserve">Point technique important : </w:t>
            </w:r>
            <w:r>
              <w:t>Ne pas stocker uniquement des totaux agrégés. Les cartes du tableau de bord doivent être recalculables à partir des engagements, échéances, affectations et paiements. Des tables d’agrégats peuvent être ajoutées pour la performance, mais elles doivent rester reconstruisibles.</w:t>
            </w:r>
          </w:p>
        </w:tc>
      </w:tr>
    </w:tbl>
    <w:p>
      <w:pPr>
        <w:spacing w:after="0"/>
      </w:pPr>
    </w:p>
    <w:p>
      <w:pPr>
        <w:pStyle w:val="Heading1"/>
      </w:pPr>
      <w:r>
        <w:t>12. Cas de gestion et règles d’exception</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551"/>
            <w:vAlign w:val="center"/>
            <w:shd w:fill="1F5E4A"/>
          </w:tcPr>
          <w:p>
            <w:pPr>
              <w:spacing w:after="0"/>
            </w:pPr>
            <w:r/>
            <w:r>
              <w:rPr>
                <w:b/>
                <w:color w:val="FFFFFF"/>
                <w:sz w:val="18"/>
              </w:rPr>
              <w:t>Cas</w:t>
            </w:r>
          </w:p>
        </w:tc>
        <w:tc>
          <w:tcPr>
            <w:tcW w:type="dxa" w:w="6520"/>
            <w:vAlign w:val="center"/>
            <w:shd w:fill="1F5E4A"/>
          </w:tcPr>
          <w:p>
            <w:pPr>
              <w:spacing w:after="0"/>
            </w:pPr>
            <w:r/>
            <w:r>
              <w:rPr>
                <w:b/>
                <w:color w:val="FFFFFF"/>
                <w:sz w:val="18"/>
              </w:rPr>
              <w:t>Règle attendue</w:t>
            </w:r>
          </w:p>
        </w:tc>
      </w:tr>
      <w:tr>
        <w:tc>
          <w:tcPr>
            <w:tcW w:type="dxa" w:w="2551"/>
            <w:vAlign w:val="center"/>
          </w:tcPr>
          <w:p>
            <w:pPr>
              <w:spacing w:after="0"/>
            </w:pPr>
            <w:r/>
            <w:r>
              <w:rPr>
                <w:b w:val="0"/>
                <w:sz w:val="16"/>
              </w:rPr>
              <w:t>Paiement partiel</w:t>
            </w:r>
          </w:p>
        </w:tc>
        <w:tc>
          <w:tcPr>
            <w:tcW w:type="dxa" w:w="6520"/>
            <w:vAlign w:val="center"/>
          </w:tcPr>
          <w:p>
            <w:pPr>
              <w:spacing w:after="0"/>
            </w:pPr>
            <w:r/>
            <w:r>
              <w:rPr>
                <w:b w:val="0"/>
                <w:sz w:val="16"/>
              </w:rPr>
              <w:t>Affecter le montant à l’échéance ; conserver un reliquat. Le reliquat devient recouvrable à l’échéance.</w:t>
            </w:r>
          </w:p>
        </w:tc>
      </w:tr>
      <w:tr>
        <w:tc>
          <w:tcPr>
            <w:tcW w:type="dxa" w:w="2551"/>
            <w:vAlign w:val="center"/>
            <w:shd w:fill="F2F6F4"/>
          </w:tcPr>
          <w:p>
            <w:pPr>
              <w:spacing w:after="0"/>
            </w:pPr>
            <w:r/>
            <w:r>
              <w:rPr>
                <w:b w:val="0"/>
                <w:sz w:val="16"/>
              </w:rPr>
              <w:t>Paiement anticipé</w:t>
            </w:r>
          </w:p>
        </w:tc>
        <w:tc>
          <w:tcPr>
            <w:tcW w:type="dxa" w:w="6520"/>
            <w:vAlign w:val="center"/>
            <w:shd w:fill="F2F6F4"/>
          </w:tcPr>
          <w:p>
            <w:pPr>
              <w:spacing w:after="0"/>
            </w:pPr>
            <w:r/>
            <w:r>
              <w:rPr>
                <w:b w:val="0"/>
                <w:sz w:val="16"/>
              </w:rPr>
              <w:t>Encaisser aujourd’hui et affecter aux échéances futures ; le CA comptable reste rattaché aux périodes de service.</w:t>
            </w:r>
          </w:p>
        </w:tc>
      </w:tr>
      <w:tr>
        <w:tc>
          <w:tcPr>
            <w:tcW w:type="dxa" w:w="2551"/>
            <w:vAlign w:val="center"/>
          </w:tcPr>
          <w:p>
            <w:pPr>
              <w:spacing w:after="0"/>
            </w:pPr>
            <w:r/>
            <w:r>
              <w:rPr>
                <w:b w:val="0"/>
                <w:sz w:val="16"/>
              </w:rPr>
              <w:t>Paiement global</w:t>
            </w:r>
          </w:p>
        </w:tc>
        <w:tc>
          <w:tcPr>
            <w:tcW w:type="dxa" w:w="6520"/>
            <w:vAlign w:val="center"/>
          </w:tcPr>
          <w:p>
            <w:pPr>
              <w:spacing w:after="0"/>
            </w:pPr>
            <w:r/>
            <w:r>
              <w:rPr>
                <w:b w:val="0"/>
                <w:sz w:val="16"/>
              </w:rPr>
              <w:t>Répartir selon une règle visible : plus anciennes échéances d’abord, ordre choisi ou affectation manuelle.</w:t>
            </w:r>
          </w:p>
        </w:tc>
      </w:tr>
      <w:tr>
        <w:tc>
          <w:tcPr>
            <w:tcW w:type="dxa" w:w="2551"/>
            <w:vAlign w:val="center"/>
            <w:shd w:fill="F2F6F4"/>
          </w:tcPr>
          <w:p>
            <w:pPr>
              <w:spacing w:after="0"/>
            </w:pPr>
            <w:r/>
            <w:r>
              <w:rPr>
                <w:b w:val="0"/>
                <w:sz w:val="16"/>
              </w:rPr>
              <w:t>Acompte non affecté</w:t>
            </w:r>
          </w:p>
        </w:tc>
        <w:tc>
          <w:tcPr>
            <w:tcW w:type="dxa" w:w="6520"/>
            <w:vAlign w:val="center"/>
            <w:shd w:fill="F2F6F4"/>
          </w:tcPr>
          <w:p>
            <w:pPr>
              <w:spacing w:after="0"/>
            </w:pPr>
            <w:r/>
            <w:r>
              <w:rPr>
                <w:b w:val="0"/>
                <w:sz w:val="16"/>
              </w:rPr>
              <w:t>Conserver dans un compte d’avance jusqu’à affectation ; ne pas masquer les impayés sans règle explicite.</w:t>
            </w:r>
          </w:p>
        </w:tc>
      </w:tr>
      <w:tr>
        <w:tc>
          <w:tcPr>
            <w:tcW w:type="dxa" w:w="2551"/>
            <w:vAlign w:val="center"/>
          </w:tcPr>
          <w:p>
            <w:pPr>
              <w:spacing w:after="0"/>
            </w:pPr>
            <w:r/>
            <w:r>
              <w:rPr>
                <w:b w:val="0"/>
                <w:sz w:val="16"/>
              </w:rPr>
              <w:t>Remise après facturation</w:t>
            </w:r>
          </w:p>
        </w:tc>
        <w:tc>
          <w:tcPr>
            <w:tcW w:type="dxa" w:w="6520"/>
            <w:vAlign w:val="center"/>
          </w:tcPr>
          <w:p>
            <w:pPr>
              <w:spacing w:after="0"/>
            </w:pPr>
            <w:r/>
            <w:r>
              <w:rPr>
                <w:b w:val="0"/>
                <w:sz w:val="16"/>
              </w:rPr>
              <w:t>Créer un avoir ou un ajustement daté ; ne pas modifier silencieusement le montant d’origine.</w:t>
            </w:r>
          </w:p>
        </w:tc>
      </w:tr>
      <w:tr>
        <w:tc>
          <w:tcPr>
            <w:tcW w:type="dxa" w:w="2551"/>
            <w:vAlign w:val="center"/>
            <w:shd w:fill="F2F6F4"/>
          </w:tcPr>
          <w:p>
            <w:pPr>
              <w:spacing w:after="0"/>
            </w:pPr>
            <w:r/>
            <w:r>
              <w:rPr>
                <w:b w:val="0"/>
                <w:sz w:val="16"/>
              </w:rPr>
              <w:t>Désinscription en cours d’année</w:t>
            </w:r>
          </w:p>
        </w:tc>
        <w:tc>
          <w:tcPr>
            <w:tcW w:type="dxa" w:w="6520"/>
            <w:vAlign w:val="center"/>
            <w:shd w:fill="F2F6F4"/>
          </w:tcPr>
          <w:p>
            <w:pPr>
              <w:spacing w:after="0"/>
            </w:pPr>
            <w:r/>
            <w:r>
              <w:rPr>
                <w:b w:val="0"/>
                <w:sz w:val="16"/>
              </w:rPr>
              <w:t>Annuler les échéances futures à partir de la date d’effet ; conserver celles déjà acquises selon la politique.</w:t>
            </w:r>
          </w:p>
        </w:tc>
      </w:tr>
      <w:tr>
        <w:tc>
          <w:tcPr>
            <w:tcW w:type="dxa" w:w="2551"/>
            <w:vAlign w:val="center"/>
          </w:tcPr>
          <w:p>
            <w:pPr>
              <w:spacing w:after="0"/>
            </w:pPr>
            <w:r/>
            <w:r>
              <w:rPr>
                <w:b w:val="0"/>
                <w:sz w:val="16"/>
              </w:rPr>
              <w:t>Changement de classe / tarif</w:t>
            </w:r>
          </w:p>
        </w:tc>
        <w:tc>
          <w:tcPr>
            <w:tcW w:type="dxa" w:w="6520"/>
            <w:vAlign w:val="center"/>
          </w:tcPr>
          <w:p>
            <w:pPr>
              <w:spacing w:after="0"/>
            </w:pPr>
            <w:r/>
            <w:r>
              <w:rPr>
                <w:b w:val="0"/>
                <w:sz w:val="16"/>
              </w:rPr>
              <w:t>Clôturer ou ajuster l’ancien engagement et créer les nouvelles échéances avec traçabilité.</w:t>
            </w:r>
          </w:p>
        </w:tc>
      </w:tr>
      <w:tr>
        <w:tc>
          <w:tcPr>
            <w:tcW w:type="dxa" w:w="2551"/>
            <w:vAlign w:val="center"/>
            <w:shd w:fill="F2F6F4"/>
          </w:tcPr>
          <w:p>
            <w:pPr>
              <w:spacing w:after="0"/>
            </w:pPr>
            <w:r/>
            <w:r>
              <w:rPr>
                <w:b w:val="0"/>
                <w:sz w:val="16"/>
              </w:rPr>
              <w:t>Redoublement / réinscription</w:t>
            </w:r>
          </w:p>
        </w:tc>
        <w:tc>
          <w:tcPr>
            <w:tcW w:type="dxa" w:w="6520"/>
            <w:vAlign w:val="center"/>
            <w:shd w:fill="F2F6F4"/>
          </w:tcPr>
          <w:p>
            <w:pPr>
              <w:spacing w:after="0"/>
            </w:pPr>
            <w:r/>
            <w:r>
              <w:rPr>
                <w:b w:val="0"/>
                <w:sz w:val="16"/>
              </w:rPr>
              <w:t>Créer un nouvel engagement pour la nouvelle année ; ne pas écraser le dossier précédent.</w:t>
            </w:r>
          </w:p>
        </w:tc>
      </w:tr>
      <w:tr>
        <w:tc>
          <w:tcPr>
            <w:tcW w:type="dxa" w:w="2551"/>
            <w:vAlign w:val="center"/>
          </w:tcPr>
          <w:p>
            <w:pPr>
              <w:spacing w:after="0"/>
            </w:pPr>
            <w:r/>
            <w:r>
              <w:rPr>
                <w:b w:val="0"/>
                <w:sz w:val="16"/>
              </w:rPr>
              <w:t>Chèque rejeté / paiement annulé</w:t>
            </w:r>
          </w:p>
        </w:tc>
        <w:tc>
          <w:tcPr>
            <w:tcW w:type="dxa" w:w="6520"/>
            <w:vAlign w:val="center"/>
          </w:tcPr>
          <w:p>
            <w:pPr>
              <w:spacing w:after="0"/>
            </w:pPr>
            <w:r/>
            <w:r>
              <w:rPr>
                <w:b w:val="0"/>
                <w:sz w:val="16"/>
              </w:rPr>
              <w:t>Contre-passer le paiement et restaurer les soldes des échéances.</w:t>
            </w:r>
          </w:p>
        </w:tc>
      </w:tr>
      <w:tr>
        <w:tc>
          <w:tcPr>
            <w:tcW w:type="dxa" w:w="2551"/>
            <w:vAlign w:val="center"/>
            <w:shd w:fill="F2F6F4"/>
          </w:tcPr>
          <w:p>
            <w:pPr>
              <w:spacing w:after="0"/>
            </w:pPr>
            <w:r/>
            <w:r>
              <w:rPr>
                <w:b w:val="0"/>
                <w:sz w:val="16"/>
              </w:rPr>
              <w:t>Remboursement</w:t>
            </w:r>
          </w:p>
        </w:tc>
        <w:tc>
          <w:tcPr>
            <w:tcW w:type="dxa" w:w="6520"/>
            <w:vAlign w:val="center"/>
            <w:shd w:fill="F2F6F4"/>
          </w:tcPr>
          <w:p>
            <w:pPr>
              <w:spacing w:after="0"/>
            </w:pPr>
            <w:r/>
            <w:r>
              <w:rPr>
                <w:b w:val="0"/>
                <w:sz w:val="16"/>
              </w:rPr>
              <w:t>Créer une sortie liée au paiement initial et préciser l’impact comptable.</w:t>
            </w:r>
          </w:p>
        </w:tc>
      </w:tr>
      <w:tr>
        <w:tc>
          <w:tcPr>
            <w:tcW w:type="dxa" w:w="2551"/>
            <w:vAlign w:val="center"/>
          </w:tcPr>
          <w:p>
            <w:pPr>
              <w:spacing w:after="0"/>
            </w:pPr>
            <w:r/>
            <w:r>
              <w:rPr>
                <w:b w:val="0"/>
                <w:sz w:val="16"/>
              </w:rPr>
              <w:t>Litige</w:t>
            </w:r>
          </w:p>
        </w:tc>
        <w:tc>
          <w:tcPr>
            <w:tcW w:type="dxa" w:w="6520"/>
            <w:vAlign w:val="center"/>
          </w:tcPr>
          <w:p>
            <w:pPr>
              <w:spacing w:after="0"/>
            </w:pPr>
            <w:r/>
            <w:r>
              <w:rPr>
                <w:b w:val="0"/>
                <w:sz w:val="16"/>
              </w:rPr>
              <w:t>Conserver la dette mais la marquer litigieuse ; exclusion éventuelle des relances automatiques, pas de suppression.</w:t>
            </w:r>
          </w:p>
        </w:tc>
      </w:tr>
      <w:tr>
        <w:tc>
          <w:tcPr>
            <w:tcW w:type="dxa" w:w="2551"/>
            <w:vAlign w:val="center"/>
            <w:shd w:fill="F2F6F4"/>
          </w:tcPr>
          <w:p>
            <w:pPr>
              <w:spacing w:after="0"/>
            </w:pPr>
            <w:r/>
            <w:r>
              <w:rPr>
                <w:b w:val="0"/>
                <w:sz w:val="16"/>
              </w:rPr>
              <w:t>Migration d’anciens impayés</w:t>
            </w:r>
          </w:p>
        </w:tc>
        <w:tc>
          <w:tcPr>
            <w:tcW w:type="dxa" w:w="6520"/>
            <w:vAlign w:val="center"/>
            <w:shd w:fill="F2F6F4"/>
          </w:tcPr>
          <w:p>
            <w:pPr>
              <w:spacing w:after="0"/>
            </w:pPr>
            <w:r/>
            <w:r>
              <w:rPr>
                <w:b w:val="0"/>
                <w:sz w:val="16"/>
              </w:rPr>
              <w:t>Importer une échéance d’origine avec année scolaire, date d’échéance et solde restant.</w:t>
            </w:r>
          </w:p>
        </w:tc>
      </w:tr>
      <w:tr>
        <w:tc>
          <w:tcPr>
            <w:tcW w:type="dxa" w:w="2551"/>
            <w:vAlign w:val="center"/>
          </w:tcPr>
          <w:p>
            <w:pPr>
              <w:spacing w:after="0"/>
            </w:pPr>
            <w:r/>
            <w:r>
              <w:rPr>
                <w:b w:val="0"/>
                <w:sz w:val="16"/>
              </w:rPr>
              <w:t>Doublon de transaction en ligne</w:t>
            </w:r>
          </w:p>
        </w:tc>
        <w:tc>
          <w:tcPr>
            <w:tcW w:type="dxa" w:w="6520"/>
            <w:vAlign w:val="center"/>
          </w:tcPr>
          <w:p>
            <w:pPr>
              <w:spacing w:after="0"/>
            </w:pPr>
            <w:r/>
            <w:r>
              <w:rPr>
                <w:b w:val="0"/>
                <w:sz w:val="16"/>
              </w:rPr>
              <w:t>Utiliser une clé d’idempotence et la référence opérateur pour empêcher un double encaissement.</w:t>
            </w:r>
          </w:p>
        </w:tc>
      </w:tr>
      <w:tr>
        <w:tc>
          <w:tcPr>
            <w:tcW w:type="dxa" w:w="2551"/>
            <w:vAlign w:val="center"/>
            <w:shd w:fill="F2F6F4"/>
          </w:tcPr>
          <w:p>
            <w:pPr>
              <w:spacing w:after="0"/>
            </w:pPr>
            <w:r/>
            <w:r>
              <w:rPr>
                <w:b w:val="0"/>
                <w:sz w:val="16"/>
              </w:rPr>
              <w:t>Modification d’une journée clôturée</w:t>
            </w:r>
          </w:p>
        </w:tc>
        <w:tc>
          <w:tcPr>
            <w:tcW w:type="dxa" w:w="6520"/>
            <w:vAlign w:val="center"/>
            <w:shd w:fill="F2F6F4"/>
          </w:tcPr>
          <w:p>
            <w:pPr>
              <w:spacing w:after="0"/>
            </w:pPr>
            <w:r/>
            <w:r>
              <w:rPr>
                <w:b w:val="0"/>
                <w:sz w:val="16"/>
              </w:rPr>
              <w:t>Interdite directement ; passer par une opération de correction validée.</w:t>
            </w:r>
          </w:p>
        </w:tc>
      </w:tr>
    </w:tbl>
    <w:p>
      <w:pPr>
        <w:spacing w:after="0"/>
      </w:pPr>
    </w:p>
    <w:p>
      <w:pPr>
        <w:pStyle w:val="Heading1"/>
      </w:pPr>
      <w:r>
        <w:t>13. Droits, audit et clôture</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551"/>
            <w:vAlign w:val="center"/>
            <w:shd w:fill="1F5E4A"/>
          </w:tcPr>
          <w:p>
            <w:pPr>
              <w:spacing w:after="0"/>
            </w:pPr>
            <w:r/>
            <w:r>
              <w:rPr>
                <w:b/>
                <w:color w:val="FFFFFF"/>
                <w:sz w:val="18"/>
              </w:rPr>
              <w:t>Rôle</w:t>
            </w:r>
          </w:p>
        </w:tc>
        <w:tc>
          <w:tcPr>
            <w:tcW w:type="dxa" w:w="6520"/>
            <w:vAlign w:val="center"/>
            <w:shd w:fill="1F5E4A"/>
          </w:tcPr>
          <w:p>
            <w:pPr>
              <w:spacing w:after="0"/>
            </w:pPr>
            <w:r/>
            <w:r>
              <w:rPr>
                <w:b/>
                <w:color w:val="FFFFFF"/>
                <w:sz w:val="18"/>
              </w:rPr>
              <w:t>Droits typiques</w:t>
            </w:r>
          </w:p>
        </w:tc>
      </w:tr>
      <w:tr>
        <w:tc>
          <w:tcPr>
            <w:tcW w:type="dxa" w:w="2551"/>
            <w:vAlign w:val="center"/>
          </w:tcPr>
          <w:p>
            <w:pPr>
              <w:spacing w:after="0"/>
            </w:pPr>
            <w:r/>
            <w:r>
              <w:rPr>
                <w:b w:val="0"/>
                <w:sz w:val="17"/>
              </w:rPr>
              <w:t>Caissier</w:t>
            </w:r>
          </w:p>
        </w:tc>
        <w:tc>
          <w:tcPr>
            <w:tcW w:type="dxa" w:w="6520"/>
            <w:vAlign w:val="center"/>
          </w:tcPr>
          <w:p>
            <w:pPr>
              <w:spacing w:after="0"/>
            </w:pPr>
            <w:r/>
            <w:r>
              <w:rPr>
                <w:b w:val="0"/>
                <w:sz w:val="17"/>
              </w:rPr>
              <w:t>Créer et valider un paiement, éditer un reçu, ouvrir et clôturer sa caisse.</w:t>
            </w:r>
          </w:p>
        </w:tc>
      </w:tr>
      <w:tr>
        <w:tc>
          <w:tcPr>
            <w:tcW w:type="dxa" w:w="2551"/>
            <w:vAlign w:val="center"/>
            <w:shd w:fill="F2F6F4"/>
          </w:tcPr>
          <w:p>
            <w:pPr>
              <w:spacing w:after="0"/>
            </w:pPr>
            <w:r/>
            <w:r>
              <w:rPr>
                <w:b w:val="0"/>
                <w:sz w:val="17"/>
              </w:rPr>
              <w:t>Comptable</w:t>
            </w:r>
          </w:p>
        </w:tc>
        <w:tc>
          <w:tcPr>
            <w:tcW w:type="dxa" w:w="6520"/>
            <w:vAlign w:val="center"/>
            <w:shd w:fill="F2F6F4"/>
          </w:tcPr>
          <w:p>
            <w:pPr>
              <w:spacing w:after="0"/>
            </w:pPr>
            <w:r/>
            <w:r>
              <w:rPr>
                <w:b w:val="0"/>
                <w:sz w:val="17"/>
              </w:rPr>
              <w:t>Consulter tous journaux, affecter les paiements, réaliser les rapprochements, proposer des corrections.</w:t>
            </w:r>
          </w:p>
        </w:tc>
      </w:tr>
      <w:tr>
        <w:tc>
          <w:tcPr>
            <w:tcW w:type="dxa" w:w="2551"/>
            <w:vAlign w:val="center"/>
          </w:tcPr>
          <w:p>
            <w:pPr>
              <w:spacing w:after="0"/>
            </w:pPr>
            <w:r/>
            <w:r>
              <w:rPr>
                <w:b w:val="0"/>
                <w:sz w:val="17"/>
              </w:rPr>
              <w:t>Responsable financier</w:t>
            </w:r>
          </w:p>
        </w:tc>
        <w:tc>
          <w:tcPr>
            <w:tcW w:type="dxa" w:w="6520"/>
            <w:vAlign w:val="center"/>
          </w:tcPr>
          <w:p>
            <w:pPr>
              <w:spacing w:after="0"/>
            </w:pPr>
            <w:r/>
            <w:r>
              <w:rPr>
                <w:b w:val="0"/>
                <w:sz w:val="17"/>
              </w:rPr>
              <w:t>Valider annulations, remboursements, remises importantes et clôtures.</w:t>
            </w:r>
          </w:p>
        </w:tc>
      </w:tr>
      <w:tr>
        <w:tc>
          <w:tcPr>
            <w:tcW w:type="dxa" w:w="2551"/>
            <w:vAlign w:val="center"/>
            <w:shd w:fill="F2F6F4"/>
          </w:tcPr>
          <w:p>
            <w:pPr>
              <w:spacing w:after="0"/>
            </w:pPr>
            <w:r/>
            <w:r>
              <w:rPr>
                <w:b w:val="0"/>
                <w:sz w:val="17"/>
              </w:rPr>
              <w:t>Agent de recouvrement</w:t>
            </w:r>
          </w:p>
        </w:tc>
        <w:tc>
          <w:tcPr>
            <w:tcW w:type="dxa" w:w="6520"/>
            <w:vAlign w:val="center"/>
            <w:shd w:fill="F2F6F4"/>
          </w:tcPr>
          <w:p>
            <w:pPr>
              <w:spacing w:after="0"/>
            </w:pPr>
            <w:r/>
            <w:r>
              <w:rPr>
                <w:b w:val="0"/>
                <w:sz w:val="17"/>
              </w:rPr>
              <w:t>Consulter les impayés, enregistrer les relances et promesses, sans modifier les paiements.</w:t>
            </w:r>
          </w:p>
        </w:tc>
      </w:tr>
      <w:tr>
        <w:tc>
          <w:tcPr>
            <w:tcW w:type="dxa" w:w="2551"/>
            <w:vAlign w:val="center"/>
          </w:tcPr>
          <w:p>
            <w:pPr>
              <w:spacing w:after="0"/>
            </w:pPr>
            <w:r/>
            <w:r>
              <w:rPr>
                <w:b w:val="0"/>
                <w:sz w:val="17"/>
              </w:rPr>
              <w:t>Administrateur fonctionnel</w:t>
            </w:r>
          </w:p>
        </w:tc>
        <w:tc>
          <w:tcPr>
            <w:tcW w:type="dxa" w:w="6520"/>
            <w:vAlign w:val="center"/>
          </w:tcPr>
          <w:p>
            <w:pPr>
              <w:spacing w:after="0"/>
            </w:pPr>
            <w:r/>
            <w:r>
              <w:rPr>
                <w:b w:val="0"/>
                <w:sz w:val="17"/>
              </w:rPr>
              <w:t>Paramétrer années, tarifs, produits, moyens de paiement, seuils et droits.</w:t>
            </w:r>
          </w:p>
        </w:tc>
      </w:tr>
      <w:tr>
        <w:tc>
          <w:tcPr>
            <w:tcW w:type="dxa" w:w="2551"/>
            <w:vAlign w:val="center"/>
            <w:shd w:fill="F2F6F4"/>
          </w:tcPr>
          <w:p>
            <w:pPr>
              <w:spacing w:after="0"/>
            </w:pPr>
            <w:r/>
            <w:r>
              <w:rPr>
                <w:b w:val="0"/>
                <w:sz w:val="17"/>
              </w:rPr>
              <w:t>Auditeur / direction</w:t>
            </w:r>
          </w:p>
        </w:tc>
        <w:tc>
          <w:tcPr>
            <w:tcW w:type="dxa" w:w="6520"/>
            <w:vAlign w:val="center"/>
            <w:shd w:fill="F2F6F4"/>
          </w:tcPr>
          <w:p>
            <w:pPr>
              <w:spacing w:after="0"/>
            </w:pPr>
            <w:r/>
            <w:r>
              <w:rPr>
                <w:b w:val="0"/>
                <w:sz w:val="17"/>
              </w:rPr>
              <w:t>Lecture seule, exports, piste d’audit et indicateurs consolidés.</w:t>
            </w:r>
          </w:p>
        </w:tc>
      </w:tr>
    </w:tbl>
    <w:p>
      <w:pPr>
        <w:spacing w:after="0"/>
      </w:pPr>
    </w:p>
    <w:p>
      <w:pPr>
        <w:pStyle w:val="ListBullet"/>
        <w:spacing w:after="40"/>
      </w:pPr>
      <w:r>
        <w:t>Toute création, validation, annulation, remise, avoir, remboursement et modification de paramètre doit être auditée.</w:t>
      </w:r>
    </w:p>
    <w:p>
      <w:pPr>
        <w:pStyle w:val="ListBullet"/>
        <w:spacing w:after="40"/>
      </w:pPr>
      <w:r>
        <w:t>L’audit doit enregistrer l’utilisateur, la date, l’adresse ou terminal si disponible, l’ancienne valeur et la nouvelle valeur.</w:t>
      </w:r>
    </w:p>
    <w:p>
      <w:pPr>
        <w:pStyle w:val="ListBullet"/>
        <w:spacing w:after="40"/>
      </w:pPr>
      <w:r>
        <w:t>Une période comptable clôturée ne peut plus être modifiée directement.</w:t>
      </w:r>
    </w:p>
    <w:p>
      <w:pPr>
        <w:pStyle w:val="ListBullet"/>
        <w:spacing w:after="40"/>
      </w:pPr>
      <w:r>
        <w:t>Les exports doivent mentionner la date de situation et les filtres appliqués.</w:t>
      </w:r>
    </w:p>
    <w:p>
      <w:pPr>
        <w:pStyle w:val="ListBullet"/>
        <w:spacing w:after="40"/>
      </w:pPr>
      <w:r>
        <w:t>Les données financières ne doivent jamais être supprimées physiquement par un utilisateur fonctionnel.</w:t>
      </w:r>
    </w:p>
    <w:p>
      <w:pPr>
        <w:pStyle w:val="Heading1"/>
      </w:pPr>
      <w:r>
        <w:t>14. API et traitements planifiés</w:t>
      </w:r>
    </w:p>
    <w:p>
      <w:pPr>
        <w:pStyle w:val="Heading2"/>
      </w:pPr>
      <w:r>
        <w:t>14.1 Services métier principaux</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3969"/>
            <w:vAlign w:val="center"/>
            <w:shd w:fill="1F5E4A"/>
          </w:tcPr>
          <w:p>
            <w:pPr>
              <w:spacing w:after="0"/>
            </w:pPr>
            <w:r/>
            <w:r>
              <w:rPr>
                <w:b/>
                <w:color w:val="FFFFFF"/>
                <w:sz w:val="18"/>
              </w:rPr>
              <w:t>Service / endpoint indicatif</w:t>
            </w:r>
          </w:p>
        </w:tc>
        <w:tc>
          <w:tcPr>
            <w:tcW w:type="dxa" w:w="5102"/>
            <w:vAlign w:val="center"/>
            <w:shd w:fill="1F5E4A"/>
          </w:tcPr>
          <w:p>
            <w:pPr>
              <w:spacing w:after="0"/>
            </w:pPr>
            <w:r/>
            <w:r>
              <w:rPr>
                <w:b/>
                <w:color w:val="FFFFFF"/>
                <w:sz w:val="18"/>
              </w:rPr>
              <w:t>Fonction</w:t>
            </w:r>
          </w:p>
        </w:tc>
      </w:tr>
      <w:tr>
        <w:tc>
          <w:tcPr>
            <w:tcW w:type="dxa" w:w="3969"/>
            <w:vAlign w:val="center"/>
          </w:tcPr>
          <w:p>
            <w:pPr>
              <w:spacing w:after="0"/>
            </w:pPr>
            <w:r/>
            <w:r>
              <w:rPr>
                <w:b w:val="0"/>
                <w:sz w:val="16"/>
              </w:rPr>
              <w:t>POST /enrollments/{id}/commitment</w:t>
            </w:r>
          </w:p>
        </w:tc>
        <w:tc>
          <w:tcPr>
            <w:tcW w:type="dxa" w:w="5102"/>
            <w:vAlign w:val="center"/>
          </w:tcPr>
          <w:p>
            <w:pPr>
              <w:spacing w:after="0"/>
            </w:pPr>
            <w:r/>
            <w:r>
              <w:rPr>
                <w:b w:val="0"/>
                <w:sz w:val="16"/>
              </w:rPr>
              <w:t>Générer l’engagement et les échéances de l’inscription.</w:t>
            </w:r>
          </w:p>
        </w:tc>
      </w:tr>
      <w:tr>
        <w:tc>
          <w:tcPr>
            <w:tcW w:type="dxa" w:w="3969"/>
            <w:vAlign w:val="center"/>
            <w:shd w:fill="F2F6F4"/>
          </w:tcPr>
          <w:p>
            <w:pPr>
              <w:spacing w:after="0"/>
            </w:pPr>
            <w:r/>
            <w:r>
              <w:rPr>
                <w:b w:val="0"/>
                <w:sz w:val="16"/>
              </w:rPr>
              <w:t>GET /dashboards/engagement</w:t>
            </w:r>
          </w:p>
        </w:tc>
        <w:tc>
          <w:tcPr>
            <w:tcW w:type="dxa" w:w="5102"/>
            <w:vAlign w:val="center"/>
            <w:shd w:fill="F2F6F4"/>
          </w:tcPr>
          <w:p>
            <w:pPr>
              <w:spacing w:after="0"/>
            </w:pPr>
            <w:r/>
            <w:r>
              <w:rPr>
                <w:b w:val="0"/>
                <w:sz w:val="16"/>
              </w:rPr>
              <w:t>Retourner le CA d’engagement et ses ventilations.</w:t>
            </w:r>
          </w:p>
        </w:tc>
      </w:tr>
      <w:tr>
        <w:tc>
          <w:tcPr>
            <w:tcW w:type="dxa" w:w="3969"/>
            <w:vAlign w:val="center"/>
          </w:tcPr>
          <w:p>
            <w:pPr>
              <w:spacing w:after="0"/>
            </w:pPr>
            <w:r/>
            <w:r>
              <w:rPr>
                <w:b w:val="0"/>
                <w:sz w:val="16"/>
              </w:rPr>
              <w:t>GET /dashboards/accounting-revenue</w:t>
            </w:r>
          </w:p>
        </w:tc>
        <w:tc>
          <w:tcPr>
            <w:tcW w:type="dxa" w:w="5102"/>
            <w:vAlign w:val="center"/>
          </w:tcPr>
          <w:p>
            <w:pPr>
              <w:spacing w:after="0"/>
            </w:pPr>
            <w:r/>
            <w:r>
              <w:rPr>
                <w:b w:val="0"/>
                <w:sz w:val="16"/>
              </w:rPr>
              <w:t>Retourner le CA comptable par année civile et mois.</w:t>
            </w:r>
          </w:p>
        </w:tc>
      </w:tr>
      <w:tr>
        <w:tc>
          <w:tcPr>
            <w:tcW w:type="dxa" w:w="3969"/>
            <w:vAlign w:val="center"/>
            <w:shd w:fill="F2F6F4"/>
          </w:tcPr>
          <w:p>
            <w:pPr>
              <w:spacing w:after="0"/>
            </w:pPr>
            <w:r/>
            <w:r>
              <w:rPr>
                <w:b w:val="0"/>
                <w:sz w:val="16"/>
              </w:rPr>
              <w:t>POST /payments</w:t>
            </w:r>
          </w:p>
        </w:tc>
        <w:tc>
          <w:tcPr>
            <w:tcW w:type="dxa" w:w="5102"/>
            <w:vAlign w:val="center"/>
            <w:shd w:fill="F2F6F4"/>
          </w:tcPr>
          <w:p>
            <w:pPr>
              <w:spacing w:after="0"/>
            </w:pPr>
            <w:r/>
            <w:r>
              <w:rPr>
                <w:b w:val="0"/>
                <w:sz w:val="16"/>
              </w:rPr>
              <w:t>Créer un paiement de façon idempotente.</w:t>
            </w:r>
          </w:p>
        </w:tc>
      </w:tr>
      <w:tr>
        <w:tc>
          <w:tcPr>
            <w:tcW w:type="dxa" w:w="3969"/>
            <w:vAlign w:val="center"/>
          </w:tcPr>
          <w:p>
            <w:pPr>
              <w:spacing w:after="0"/>
            </w:pPr>
            <w:r/>
            <w:r>
              <w:rPr>
                <w:b w:val="0"/>
                <w:sz w:val="16"/>
              </w:rPr>
              <w:t>POST /payments/{id}/allocations</w:t>
            </w:r>
          </w:p>
        </w:tc>
        <w:tc>
          <w:tcPr>
            <w:tcW w:type="dxa" w:w="5102"/>
            <w:vAlign w:val="center"/>
          </w:tcPr>
          <w:p>
            <w:pPr>
              <w:spacing w:after="0"/>
            </w:pPr>
            <w:r/>
            <w:r>
              <w:rPr>
                <w:b w:val="0"/>
                <w:sz w:val="16"/>
              </w:rPr>
              <w:t>Affecter un paiement à une ou plusieurs échéances.</w:t>
            </w:r>
          </w:p>
        </w:tc>
      </w:tr>
      <w:tr>
        <w:tc>
          <w:tcPr>
            <w:tcW w:type="dxa" w:w="3969"/>
            <w:vAlign w:val="center"/>
            <w:shd w:fill="F2F6F4"/>
          </w:tcPr>
          <w:p>
            <w:pPr>
              <w:spacing w:after="0"/>
            </w:pPr>
            <w:r/>
            <w:r>
              <w:rPr>
                <w:b w:val="0"/>
                <w:sz w:val="16"/>
              </w:rPr>
              <w:t>POST /payments/{id}/cancel</w:t>
            </w:r>
          </w:p>
        </w:tc>
        <w:tc>
          <w:tcPr>
            <w:tcW w:type="dxa" w:w="5102"/>
            <w:vAlign w:val="center"/>
            <w:shd w:fill="F2F6F4"/>
          </w:tcPr>
          <w:p>
            <w:pPr>
              <w:spacing w:after="0"/>
            </w:pPr>
            <w:r/>
            <w:r>
              <w:rPr>
                <w:b w:val="0"/>
                <w:sz w:val="16"/>
              </w:rPr>
              <w:t>Contre-passer un paiement avec autorisation.</w:t>
            </w:r>
          </w:p>
        </w:tc>
      </w:tr>
      <w:tr>
        <w:tc>
          <w:tcPr>
            <w:tcW w:type="dxa" w:w="3969"/>
            <w:vAlign w:val="center"/>
          </w:tcPr>
          <w:p>
            <w:pPr>
              <w:spacing w:after="0"/>
            </w:pPr>
            <w:r/>
            <w:r>
              <w:rPr>
                <w:b w:val="0"/>
                <w:sz w:val="16"/>
              </w:rPr>
              <w:t>GET /receivables/future</w:t>
            </w:r>
          </w:p>
        </w:tc>
        <w:tc>
          <w:tcPr>
            <w:tcW w:type="dxa" w:w="5102"/>
            <w:vAlign w:val="center"/>
          </w:tcPr>
          <w:p>
            <w:pPr>
              <w:spacing w:after="0"/>
            </w:pPr>
            <w:r/>
            <w:r>
              <w:rPr>
                <w:b w:val="0"/>
                <w:sz w:val="16"/>
              </w:rPr>
              <w:t>Lister les créances à échoir.</w:t>
            </w:r>
          </w:p>
        </w:tc>
      </w:tr>
      <w:tr>
        <w:tc>
          <w:tcPr>
            <w:tcW w:type="dxa" w:w="3969"/>
            <w:vAlign w:val="center"/>
            <w:shd w:fill="F2F6F4"/>
          </w:tcPr>
          <w:p>
            <w:pPr>
              <w:spacing w:after="0"/>
            </w:pPr>
            <w:r/>
            <w:r>
              <w:rPr>
                <w:b w:val="0"/>
                <w:sz w:val="16"/>
              </w:rPr>
              <w:t>GET /collections/overdue</w:t>
            </w:r>
          </w:p>
        </w:tc>
        <w:tc>
          <w:tcPr>
            <w:tcW w:type="dxa" w:w="5102"/>
            <w:vAlign w:val="center"/>
            <w:shd w:fill="F2F6F4"/>
          </w:tcPr>
          <w:p>
            <w:pPr>
              <w:spacing w:after="0"/>
            </w:pPr>
            <w:r/>
            <w:r>
              <w:rPr>
                <w:b w:val="0"/>
                <w:sz w:val="16"/>
              </w:rPr>
              <w:t>Lister les échéances en recouvrement et la balance âgée.</w:t>
            </w:r>
          </w:p>
        </w:tc>
      </w:tr>
      <w:tr>
        <w:tc>
          <w:tcPr>
            <w:tcW w:type="dxa" w:w="3969"/>
            <w:vAlign w:val="center"/>
          </w:tcPr>
          <w:p>
            <w:pPr>
              <w:spacing w:after="0"/>
            </w:pPr>
            <w:r/>
            <w:r>
              <w:rPr>
                <w:b w:val="0"/>
                <w:sz w:val="16"/>
              </w:rPr>
              <w:t>POST /collection-cases/{id}/actions</w:t>
            </w:r>
          </w:p>
        </w:tc>
        <w:tc>
          <w:tcPr>
            <w:tcW w:type="dxa" w:w="5102"/>
            <w:vAlign w:val="center"/>
          </w:tcPr>
          <w:p>
            <w:pPr>
              <w:spacing w:after="0"/>
            </w:pPr>
            <w:r/>
            <w:r>
              <w:rPr>
                <w:b w:val="0"/>
                <w:sz w:val="16"/>
              </w:rPr>
              <w:t>Tracer une action de relance.</w:t>
            </w:r>
          </w:p>
        </w:tc>
      </w:tr>
      <w:tr>
        <w:tc>
          <w:tcPr>
            <w:tcW w:type="dxa" w:w="3969"/>
            <w:vAlign w:val="center"/>
            <w:shd w:fill="F2F6F4"/>
          </w:tcPr>
          <w:p>
            <w:pPr>
              <w:spacing w:after="0"/>
            </w:pPr>
            <w:r/>
            <w:r>
              <w:rPr>
                <w:b w:val="0"/>
                <w:sz w:val="16"/>
              </w:rPr>
              <w:t>GET /cash-journal</w:t>
            </w:r>
          </w:p>
        </w:tc>
        <w:tc>
          <w:tcPr>
            <w:tcW w:type="dxa" w:w="5102"/>
            <w:vAlign w:val="center"/>
            <w:shd w:fill="F2F6F4"/>
          </w:tcPr>
          <w:p>
            <w:pPr>
              <w:spacing w:after="0"/>
            </w:pPr>
            <w:r/>
            <w:r>
              <w:rPr>
                <w:b w:val="0"/>
                <w:sz w:val="16"/>
              </w:rPr>
              <w:t>Produire le journal d’encaissements d’une période.</w:t>
            </w:r>
          </w:p>
        </w:tc>
      </w:tr>
      <w:tr>
        <w:tc>
          <w:tcPr>
            <w:tcW w:type="dxa" w:w="3969"/>
            <w:vAlign w:val="center"/>
          </w:tcPr>
          <w:p>
            <w:pPr>
              <w:spacing w:after="0"/>
            </w:pPr>
            <w:r/>
            <w:r>
              <w:rPr>
                <w:b w:val="0"/>
                <w:sz w:val="16"/>
              </w:rPr>
              <w:t>POST /cash-sessions/{id}/close</w:t>
            </w:r>
          </w:p>
        </w:tc>
        <w:tc>
          <w:tcPr>
            <w:tcW w:type="dxa" w:w="5102"/>
            <w:vAlign w:val="center"/>
          </w:tcPr>
          <w:p>
            <w:pPr>
              <w:spacing w:after="0"/>
            </w:pPr>
            <w:r/>
            <w:r>
              <w:rPr>
                <w:b w:val="0"/>
                <w:sz w:val="16"/>
              </w:rPr>
              <w:t>Clôturer une caisse avec contrôle d’écart.</w:t>
            </w:r>
          </w:p>
        </w:tc>
      </w:tr>
      <w:tr>
        <w:tc>
          <w:tcPr>
            <w:tcW w:type="dxa" w:w="3969"/>
            <w:vAlign w:val="center"/>
            <w:shd w:fill="F2F6F4"/>
          </w:tcPr>
          <w:p>
            <w:pPr>
              <w:spacing w:after="0"/>
            </w:pPr>
            <w:r/>
            <w:r>
              <w:rPr>
                <w:b w:val="0"/>
                <w:sz w:val="16"/>
              </w:rPr>
              <w:t>GET /other-revenues</w:t>
            </w:r>
          </w:p>
        </w:tc>
        <w:tc>
          <w:tcPr>
            <w:tcW w:type="dxa" w:w="5102"/>
            <w:vAlign w:val="center"/>
            <w:shd w:fill="F2F6F4"/>
          </w:tcPr>
          <w:p>
            <w:pPr>
              <w:spacing w:after="0"/>
            </w:pPr>
            <w:r/>
            <w:r>
              <w:rPr>
                <w:b w:val="0"/>
                <w:sz w:val="16"/>
              </w:rPr>
              <w:t>Restituer les entrées diverses par période et catégorie.</w:t>
            </w:r>
          </w:p>
        </w:tc>
      </w:tr>
    </w:tbl>
    <w:p>
      <w:pPr>
        <w:spacing w:after="0"/>
      </w:pPr>
    </w:p>
    <w:p>
      <w:pPr>
        <w:pStyle w:val="Heading2"/>
      </w:pPr>
      <w:r>
        <w:t>14.2 Tâches automatiques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vAlign w:val="center"/>
            <w:shd w:fill="1F5E4A"/>
          </w:tcPr>
          <w:p>
            <w:pPr>
              <w:spacing w:after="0"/>
            </w:pPr>
            <w:r/>
            <w:r>
              <w:rPr>
                <w:b/>
                <w:color w:val="FFFFFF"/>
                <w:sz w:val="18"/>
              </w:rPr>
              <w:t>Fréquence</w:t>
            </w:r>
          </w:p>
        </w:tc>
        <w:tc>
          <w:tcPr>
            <w:tcW w:type="dxa" w:w="6803"/>
            <w:vAlign w:val="center"/>
            <w:shd w:fill="1F5E4A"/>
          </w:tcPr>
          <w:p>
            <w:pPr>
              <w:spacing w:after="0"/>
            </w:pPr>
            <w:r/>
            <w:r>
              <w:rPr>
                <w:b/>
                <w:color w:val="FFFFFF"/>
                <w:sz w:val="18"/>
              </w:rPr>
              <w:t>Traitement</w:t>
            </w:r>
          </w:p>
        </w:tc>
      </w:tr>
      <w:tr>
        <w:tc>
          <w:tcPr>
            <w:tcW w:type="dxa" w:w="2268"/>
            <w:vAlign w:val="center"/>
          </w:tcPr>
          <w:p>
            <w:pPr>
              <w:spacing w:after="0"/>
            </w:pPr>
            <w:r/>
            <w:r>
              <w:rPr>
                <w:b w:val="0"/>
                <w:sz w:val="17"/>
              </w:rPr>
              <w:t>Chaque nuit</w:t>
            </w:r>
          </w:p>
        </w:tc>
        <w:tc>
          <w:tcPr>
            <w:tcW w:type="dxa" w:w="6803"/>
            <w:vAlign w:val="center"/>
          </w:tcPr>
          <w:p>
            <w:pPr>
              <w:spacing w:after="0"/>
            </w:pPr>
            <w:r/>
            <w:r>
              <w:rPr>
                <w:b w:val="0"/>
                <w:sz w:val="17"/>
              </w:rPr>
              <w:t>Recalculer le statut temporel des échéances : à échoir, due, grâce, retard.</w:t>
            </w:r>
          </w:p>
        </w:tc>
      </w:tr>
      <w:tr>
        <w:tc>
          <w:tcPr>
            <w:tcW w:type="dxa" w:w="2268"/>
            <w:vAlign w:val="center"/>
            <w:shd w:fill="F2F6F4"/>
          </w:tcPr>
          <w:p>
            <w:pPr>
              <w:spacing w:after="0"/>
            </w:pPr>
            <w:r/>
            <w:r>
              <w:rPr>
                <w:b w:val="0"/>
                <w:sz w:val="17"/>
              </w:rPr>
              <w:t>Chaque nuit</w:t>
            </w:r>
          </w:p>
        </w:tc>
        <w:tc>
          <w:tcPr>
            <w:tcW w:type="dxa" w:w="6803"/>
            <w:vAlign w:val="center"/>
            <w:shd w:fill="F2F6F4"/>
          </w:tcPr>
          <w:p>
            <w:pPr>
              <w:spacing w:after="0"/>
            </w:pPr>
            <w:r/>
            <w:r>
              <w:rPr>
                <w:b w:val="0"/>
                <w:sz w:val="17"/>
              </w:rPr>
              <w:t>Mettre à jour les agrégats des tableaux de bord et vérifier leur cohérence.</w:t>
            </w:r>
          </w:p>
        </w:tc>
      </w:tr>
      <w:tr>
        <w:tc>
          <w:tcPr>
            <w:tcW w:type="dxa" w:w="2268"/>
            <w:vAlign w:val="center"/>
          </w:tcPr>
          <w:p>
            <w:pPr>
              <w:spacing w:after="0"/>
            </w:pPr>
            <w:r/>
            <w:r>
              <w:rPr>
                <w:b w:val="0"/>
                <w:sz w:val="17"/>
              </w:rPr>
              <w:t>Chaque jour</w:t>
            </w:r>
          </w:p>
        </w:tc>
        <w:tc>
          <w:tcPr>
            <w:tcW w:type="dxa" w:w="6803"/>
            <w:vAlign w:val="center"/>
          </w:tcPr>
          <w:p>
            <w:pPr>
              <w:spacing w:after="0"/>
            </w:pPr>
            <w:r/>
            <w:r>
              <w:rPr>
                <w:b w:val="0"/>
                <w:sz w:val="17"/>
              </w:rPr>
              <w:t>Préparer les relances selon les règles et dates de prochaine action.</w:t>
            </w:r>
          </w:p>
        </w:tc>
      </w:tr>
      <w:tr>
        <w:tc>
          <w:tcPr>
            <w:tcW w:type="dxa" w:w="2268"/>
            <w:vAlign w:val="center"/>
            <w:shd w:fill="F2F6F4"/>
          </w:tcPr>
          <w:p>
            <w:pPr>
              <w:spacing w:after="0"/>
            </w:pPr>
            <w:r/>
            <w:r>
              <w:rPr>
                <w:b w:val="0"/>
                <w:sz w:val="17"/>
              </w:rPr>
              <w:t>À chaque paiement</w:t>
            </w:r>
          </w:p>
        </w:tc>
        <w:tc>
          <w:tcPr>
            <w:tcW w:type="dxa" w:w="6803"/>
            <w:vAlign w:val="center"/>
            <w:shd w:fill="F2F6F4"/>
          </w:tcPr>
          <w:p>
            <w:pPr>
              <w:spacing w:after="0"/>
            </w:pPr>
            <w:r/>
            <w:r>
              <w:rPr>
                <w:b w:val="0"/>
                <w:sz w:val="17"/>
              </w:rPr>
              <w:t>Mettre à jour immédiatement les soldes et indicateurs concernés.</w:t>
            </w:r>
          </w:p>
        </w:tc>
      </w:tr>
      <w:tr>
        <w:tc>
          <w:tcPr>
            <w:tcW w:type="dxa" w:w="2268"/>
            <w:vAlign w:val="center"/>
          </w:tcPr>
          <w:p>
            <w:pPr>
              <w:spacing w:after="0"/>
            </w:pPr>
            <w:r/>
            <w:r>
              <w:rPr>
                <w:b w:val="0"/>
                <w:sz w:val="17"/>
              </w:rPr>
              <w:t>À la clôture mensuelle</w:t>
            </w:r>
          </w:p>
        </w:tc>
        <w:tc>
          <w:tcPr>
            <w:tcW w:type="dxa" w:w="6803"/>
            <w:vAlign w:val="center"/>
          </w:tcPr>
          <w:p>
            <w:pPr>
              <w:spacing w:after="0"/>
            </w:pPr>
            <w:r/>
            <w:r>
              <w:rPr>
                <w:b w:val="0"/>
                <w:sz w:val="17"/>
              </w:rPr>
              <w:t>Figer les agrégats de la période et produire un état de contrôle.</w:t>
            </w:r>
          </w:p>
        </w:tc>
      </w:tr>
      <w:tr>
        <w:tc>
          <w:tcPr>
            <w:tcW w:type="dxa" w:w="2268"/>
            <w:vAlign w:val="center"/>
            <w:shd w:fill="F2F6F4"/>
          </w:tcPr>
          <w:p>
            <w:pPr>
              <w:spacing w:after="0"/>
            </w:pPr>
            <w:r/>
            <w:r>
              <w:rPr>
                <w:b w:val="0"/>
                <w:sz w:val="17"/>
              </w:rPr>
              <w:t>À la demande</w:t>
            </w:r>
          </w:p>
        </w:tc>
        <w:tc>
          <w:tcPr>
            <w:tcW w:type="dxa" w:w="6803"/>
            <w:vAlign w:val="center"/>
            <w:shd w:fill="F2F6F4"/>
          </w:tcPr>
          <w:p>
            <w:pPr>
              <w:spacing w:after="0"/>
            </w:pPr>
            <w:r/>
            <w:r>
              <w:rPr>
                <w:b w:val="0"/>
                <w:sz w:val="17"/>
              </w:rPr>
              <w:t>Reconstruire les agrégats depuis les écritures sources.</w:t>
            </w:r>
          </w:p>
        </w:tc>
      </w:tr>
    </w:tbl>
    <w:p>
      <w:pPr>
        <w:spacing w:after="0"/>
      </w:pPr>
    </w:p>
    <w:p>
      <w:pPr>
        <w:pStyle w:val="Heading1"/>
      </w:pPr>
      <w:r>
        <w:t>15. Critères de recette</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1134"/>
            <w:vAlign w:val="center"/>
            <w:shd w:fill="1F5E4A"/>
          </w:tcPr>
          <w:p>
            <w:pPr>
              <w:spacing w:after="0"/>
            </w:pPr>
            <w:r/>
            <w:r>
              <w:rPr>
                <w:b/>
                <w:color w:val="FFFFFF"/>
                <w:sz w:val="18"/>
              </w:rPr>
              <w:t>ID</w:t>
            </w:r>
          </w:p>
        </w:tc>
        <w:tc>
          <w:tcPr>
            <w:tcW w:type="dxa" w:w="7937"/>
            <w:vAlign w:val="center"/>
            <w:shd w:fill="1F5E4A"/>
          </w:tcPr>
          <w:p>
            <w:pPr>
              <w:spacing w:after="0"/>
            </w:pPr>
            <w:r/>
            <w:r>
              <w:rPr>
                <w:b/>
                <w:color w:val="FFFFFF"/>
                <w:sz w:val="18"/>
              </w:rPr>
              <w:t>Critère vérifiable</w:t>
            </w:r>
          </w:p>
        </w:tc>
      </w:tr>
      <w:tr>
        <w:tc>
          <w:tcPr>
            <w:tcW w:type="dxa" w:w="1134"/>
            <w:vAlign w:val="center"/>
          </w:tcPr>
          <w:p>
            <w:pPr>
              <w:spacing w:after="0"/>
            </w:pPr>
            <w:r/>
            <w:r>
              <w:rPr>
                <w:b w:val="0"/>
                <w:sz w:val="16"/>
              </w:rPr>
              <w:t>CR-01</w:t>
            </w:r>
          </w:p>
        </w:tc>
        <w:tc>
          <w:tcPr>
            <w:tcW w:type="dxa" w:w="7937"/>
            <w:vAlign w:val="center"/>
          </w:tcPr>
          <w:p>
            <w:pPr>
              <w:spacing w:after="0"/>
            </w:pPr>
            <w:r/>
            <w:r>
              <w:rPr>
                <w:b w:val="0"/>
                <w:sz w:val="16"/>
              </w:rPr>
              <w:t>Une inscription 2026-2027 avec dix mensualités de septembre à juin apparaît entièrement dans le CA d’engagement 2026-2027.</w:t>
            </w:r>
          </w:p>
        </w:tc>
      </w:tr>
      <w:tr>
        <w:tc>
          <w:tcPr>
            <w:tcW w:type="dxa" w:w="1134"/>
            <w:vAlign w:val="center"/>
            <w:shd w:fill="F2F6F4"/>
          </w:tcPr>
          <w:p>
            <w:pPr>
              <w:spacing w:after="0"/>
            </w:pPr>
            <w:r/>
            <w:r>
              <w:rPr>
                <w:b w:val="0"/>
                <w:sz w:val="16"/>
              </w:rPr>
              <w:t>CR-02</w:t>
            </w:r>
          </w:p>
        </w:tc>
        <w:tc>
          <w:tcPr>
            <w:tcW w:type="dxa" w:w="7937"/>
            <w:vAlign w:val="center"/>
            <w:shd w:fill="F2F6F4"/>
          </w:tcPr>
          <w:p>
            <w:pPr>
              <w:spacing w:after="0"/>
            </w:pPr>
            <w:r/>
            <w:r>
              <w:rPr>
                <w:b w:val="0"/>
                <w:sz w:val="16"/>
              </w:rPr>
              <w:t>Pour cette inscription, seules les mensualités de septembre à décembre apparaissent dans le CA comptable 2026 et celles de janvier à juin dans le CA comptable 2027.</w:t>
            </w:r>
          </w:p>
        </w:tc>
      </w:tr>
      <w:tr>
        <w:tc>
          <w:tcPr>
            <w:tcW w:type="dxa" w:w="1134"/>
            <w:vAlign w:val="center"/>
          </w:tcPr>
          <w:p>
            <w:pPr>
              <w:spacing w:after="0"/>
            </w:pPr>
            <w:r/>
            <w:r>
              <w:rPr>
                <w:b w:val="0"/>
                <w:sz w:val="16"/>
              </w:rPr>
              <w:t>CR-03</w:t>
            </w:r>
          </w:p>
        </w:tc>
        <w:tc>
          <w:tcPr>
            <w:tcW w:type="dxa" w:w="7937"/>
            <w:vAlign w:val="center"/>
          </w:tcPr>
          <w:p>
            <w:pPr>
              <w:spacing w:after="0"/>
            </w:pPr>
            <w:r/>
            <w:r>
              <w:rPr>
                <w:b w:val="0"/>
                <w:sz w:val="16"/>
              </w:rPr>
              <w:t>Un paiement anticipé de toutes les mensualités augmente les encaissements du jour mais ne déplace pas les produits comptables dans le temps.</w:t>
            </w:r>
          </w:p>
        </w:tc>
      </w:tr>
      <w:tr>
        <w:tc>
          <w:tcPr>
            <w:tcW w:type="dxa" w:w="1134"/>
            <w:vAlign w:val="center"/>
            <w:shd w:fill="F2F6F4"/>
          </w:tcPr>
          <w:p>
            <w:pPr>
              <w:spacing w:after="0"/>
            </w:pPr>
            <w:r/>
            <w:r>
              <w:rPr>
                <w:b w:val="0"/>
                <w:sz w:val="16"/>
              </w:rPr>
              <w:t>CR-04</w:t>
            </w:r>
          </w:p>
        </w:tc>
        <w:tc>
          <w:tcPr>
            <w:tcW w:type="dxa" w:w="7937"/>
            <w:vAlign w:val="center"/>
            <w:shd w:fill="F2F6F4"/>
          </w:tcPr>
          <w:p>
            <w:pPr>
              <w:spacing w:after="0"/>
            </w:pPr>
            <w:r/>
            <w:r>
              <w:rPr>
                <w:b w:val="0"/>
                <w:sz w:val="16"/>
              </w:rPr>
              <w:t>Une échéance future impayée apparaît dans les créances à échoir et non dans le recouvrement.</w:t>
            </w:r>
          </w:p>
        </w:tc>
      </w:tr>
      <w:tr>
        <w:tc>
          <w:tcPr>
            <w:tcW w:type="dxa" w:w="1134"/>
            <w:vAlign w:val="center"/>
          </w:tcPr>
          <w:p>
            <w:pPr>
              <w:spacing w:after="0"/>
            </w:pPr>
            <w:r/>
            <w:r>
              <w:rPr>
                <w:b w:val="0"/>
                <w:sz w:val="16"/>
              </w:rPr>
              <w:t>CR-05</w:t>
            </w:r>
          </w:p>
        </w:tc>
        <w:tc>
          <w:tcPr>
            <w:tcW w:type="dxa" w:w="7937"/>
            <w:vAlign w:val="center"/>
          </w:tcPr>
          <w:p>
            <w:pPr>
              <w:spacing w:after="0"/>
            </w:pPr>
            <w:r/>
            <w:r>
              <w:rPr>
                <w:b w:val="0"/>
                <w:sz w:val="16"/>
              </w:rPr>
              <w:t>Le lendemain de l’échéance augmentée du délai de grâce, le reliquat passe automatiquement au recouvrement.</w:t>
            </w:r>
          </w:p>
        </w:tc>
      </w:tr>
      <w:tr>
        <w:tc>
          <w:tcPr>
            <w:tcW w:type="dxa" w:w="1134"/>
            <w:vAlign w:val="center"/>
            <w:shd w:fill="F2F6F4"/>
          </w:tcPr>
          <w:p>
            <w:pPr>
              <w:spacing w:after="0"/>
            </w:pPr>
            <w:r/>
            <w:r>
              <w:rPr>
                <w:b w:val="0"/>
                <w:sz w:val="16"/>
              </w:rPr>
              <w:t>CR-06</w:t>
            </w:r>
          </w:p>
        </w:tc>
        <w:tc>
          <w:tcPr>
            <w:tcW w:type="dxa" w:w="7937"/>
            <w:vAlign w:val="center"/>
            <w:shd w:fill="F2F6F4"/>
          </w:tcPr>
          <w:p>
            <w:pPr>
              <w:spacing w:after="0"/>
            </w:pPr>
            <w:r/>
            <w:r>
              <w:rPr>
                <w:b w:val="0"/>
                <w:sz w:val="16"/>
              </w:rPr>
              <w:t>Un paiement partiel réduit le solde sans solder l’échéance.</w:t>
            </w:r>
          </w:p>
        </w:tc>
      </w:tr>
      <w:tr>
        <w:tc>
          <w:tcPr>
            <w:tcW w:type="dxa" w:w="1134"/>
            <w:vAlign w:val="center"/>
          </w:tcPr>
          <w:p>
            <w:pPr>
              <w:spacing w:after="0"/>
            </w:pPr>
            <w:r/>
            <w:r>
              <w:rPr>
                <w:b w:val="0"/>
                <w:sz w:val="16"/>
              </w:rPr>
              <w:t>CR-07</w:t>
            </w:r>
          </w:p>
        </w:tc>
        <w:tc>
          <w:tcPr>
            <w:tcW w:type="dxa" w:w="7937"/>
            <w:vAlign w:val="center"/>
          </w:tcPr>
          <w:p>
            <w:pPr>
              <w:spacing w:after="0"/>
            </w:pPr>
            <w:r/>
            <w:r>
              <w:rPr>
                <w:b w:val="0"/>
                <w:sz w:val="16"/>
              </w:rPr>
              <w:t>Un ancien impayé 2025-2026 reste visible dans le recouvrement 2026-2027 tant qu’il n’est pas soldé.</w:t>
            </w:r>
          </w:p>
        </w:tc>
      </w:tr>
      <w:tr>
        <w:tc>
          <w:tcPr>
            <w:tcW w:type="dxa" w:w="1134"/>
            <w:vAlign w:val="center"/>
            <w:shd w:fill="F2F6F4"/>
          </w:tcPr>
          <w:p>
            <w:pPr>
              <w:spacing w:after="0"/>
            </w:pPr>
            <w:r/>
            <w:r>
              <w:rPr>
                <w:b w:val="0"/>
                <w:sz w:val="16"/>
              </w:rPr>
              <w:t>CR-08</w:t>
            </w:r>
          </w:p>
        </w:tc>
        <w:tc>
          <w:tcPr>
            <w:tcW w:type="dxa" w:w="7937"/>
            <w:vAlign w:val="center"/>
            <w:shd w:fill="F2F6F4"/>
          </w:tcPr>
          <w:p>
            <w:pPr>
              <w:spacing w:after="0"/>
            </w:pPr>
            <w:r/>
            <w:r>
              <w:rPr>
                <w:b w:val="0"/>
                <w:sz w:val="16"/>
              </w:rPr>
              <w:t>Une recette de cantine augmente le total des entrées et la carte recettes diverses, mais pas le CA principal de scolarité.</w:t>
            </w:r>
          </w:p>
        </w:tc>
      </w:tr>
      <w:tr>
        <w:tc>
          <w:tcPr>
            <w:tcW w:type="dxa" w:w="1134"/>
            <w:vAlign w:val="center"/>
          </w:tcPr>
          <w:p>
            <w:pPr>
              <w:spacing w:after="0"/>
            </w:pPr>
            <w:r/>
            <w:r>
              <w:rPr>
                <w:b w:val="0"/>
                <w:sz w:val="16"/>
              </w:rPr>
              <w:t>CR-09</w:t>
            </w:r>
          </w:p>
        </w:tc>
        <w:tc>
          <w:tcPr>
            <w:tcW w:type="dxa" w:w="7937"/>
            <w:vAlign w:val="center"/>
          </w:tcPr>
          <w:p>
            <w:pPr>
              <w:spacing w:after="0"/>
            </w:pPr>
            <w:r/>
            <w:r>
              <w:rPr>
                <w:b w:val="0"/>
                <w:sz w:val="16"/>
              </w:rPr>
              <w:t>L’annulation d’un paiement restaure les soldes et laisse une piste d’audit complète.</w:t>
            </w:r>
          </w:p>
        </w:tc>
      </w:tr>
      <w:tr>
        <w:tc>
          <w:tcPr>
            <w:tcW w:type="dxa" w:w="1134"/>
            <w:vAlign w:val="center"/>
            <w:shd w:fill="F2F6F4"/>
          </w:tcPr>
          <w:p>
            <w:pPr>
              <w:spacing w:after="0"/>
            </w:pPr>
            <w:r/>
            <w:r>
              <w:rPr>
                <w:b w:val="0"/>
                <w:sz w:val="16"/>
              </w:rPr>
              <w:t>CR-10</w:t>
            </w:r>
          </w:p>
        </w:tc>
        <w:tc>
          <w:tcPr>
            <w:tcW w:type="dxa" w:w="7937"/>
            <w:vAlign w:val="center"/>
            <w:shd w:fill="F2F6F4"/>
          </w:tcPr>
          <w:p>
            <w:pPr>
              <w:spacing w:after="0"/>
            </w:pPr>
            <w:r/>
            <w:r>
              <w:rPr>
                <w:b w:val="0"/>
                <w:sz w:val="16"/>
              </w:rPr>
              <w:t>Le journal d’un jour donné peut être reconstitué à l’identique avec les reçus, moyens de paiement et agents.</w:t>
            </w:r>
          </w:p>
        </w:tc>
      </w:tr>
      <w:tr>
        <w:tc>
          <w:tcPr>
            <w:tcW w:type="dxa" w:w="1134"/>
            <w:vAlign w:val="center"/>
          </w:tcPr>
          <w:p>
            <w:pPr>
              <w:spacing w:after="0"/>
            </w:pPr>
            <w:r/>
            <w:r>
              <w:rPr>
                <w:b w:val="0"/>
                <w:sz w:val="16"/>
              </w:rPr>
              <w:t>CR-11</w:t>
            </w:r>
          </w:p>
        </w:tc>
        <w:tc>
          <w:tcPr>
            <w:tcW w:type="dxa" w:w="7937"/>
            <w:vAlign w:val="center"/>
          </w:tcPr>
          <w:p>
            <w:pPr>
              <w:spacing w:after="0"/>
            </w:pPr>
            <w:r/>
            <w:r>
              <w:rPr>
                <w:b w:val="0"/>
                <w:sz w:val="16"/>
              </w:rPr>
              <w:t>Les totaux d’un tableau de bord correspondent à la somme des lignes de détail accessibles au clic.</w:t>
            </w:r>
          </w:p>
        </w:tc>
      </w:tr>
      <w:tr>
        <w:tc>
          <w:tcPr>
            <w:tcW w:type="dxa" w:w="1134"/>
            <w:vAlign w:val="center"/>
            <w:shd w:fill="F2F6F4"/>
          </w:tcPr>
          <w:p>
            <w:pPr>
              <w:spacing w:after="0"/>
            </w:pPr>
            <w:r/>
            <w:r>
              <w:rPr>
                <w:b w:val="0"/>
                <w:sz w:val="16"/>
              </w:rPr>
              <w:t>CR-12</w:t>
            </w:r>
          </w:p>
        </w:tc>
        <w:tc>
          <w:tcPr>
            <w:tcW w:type="dxa" w:w="7937"/>
            <w:vAlign w:val="center"/>
            <w:shd w:fill="F2F6F4"/>
          </w:tcPr>
          <w:p>
            <w:pPr>
              <w:spacing w:after="0"/>
            </w:pPr>
            <w:r/>
            <w:r>
              <w:rPr>
                <w:b w:val="0"/>
                <w:sz w:val="16"/>
              </w:rPr>
              <w:t>Une grille tarifaire modifiée n’altère pas les engagements historiques déjà validés.</w:t>
            </w:r>
          </w:p>
        </w:tc>
      </w:tr>
      <w:tr>
        <w:tc>
          <w:tcPr>
            <w:tcW w:type="dxa" w:w="1134"/>
            <w:vAlign w:val="center"/>
          </w:tcPr>
          <w:p>
            <w:pPr>
              <w:spacing w:after="0"/>
            </w:pPr>
            <w:r/>
            <w:r>
              <w:rPr>
                <w:b w:val="0"/>
                <w:sz w:val="16"/>
              </w:rPr>
              <w:t>CR-13</w:t>
            </w:r>
          </w:p>
        </w:tc>
        <w:tc>
          <w:tcPr>
            <w:tcW w:type="dxa" w:w="7937"/>
            <w:vAlign w:val="center"/>
          </w:tcPr>
          <w:p>
            <w:pPr>
              <w:spacing w:after="0"/>
            </w:pPr>
            <w:r/>
            <w:r>
              <w:rPr>
                <w:b w:val="0"/>
                <w:sz w:val="16"/>
              </w:rPr>
              <w:t>Une journée clôturée ne peut être modifiée sans opération de correction autorisée.</w:t>
            </w:r>
          </w:p>
        </w:tc>
      </w:tr>
      <w:tr>
        <w:tc>
          <w:tcPr>
            <w:tcW w:type="dxa" w:w="1134"/>
            <w:vAlign w:val="center"/>
            <w:shd w:fill="F2F6F4"/>
          </w:tcPr>
          <w:p>
            <w:pPr>
              <w:spacing w:after="0"/>
            </w:pPr>
            <w:r/>
            <w:r>
              <w:rPr>
                <w:b w:val="0"/>
                <w:sz w:val="16"/>
              </w:rPr>
              <w:t>CR-14</w:t>
            </w:r>
          </w:p>
        </w:tc>
        <w:tc>
          <w:tcPr>
            <w:tcW w:type="dxa" w:w="7937"/>
            <w:vAlign w:val="center"/>
            <w:shd w:fill="F2F6F4"/>
          </w:tcPr>
          <w:p>
            <w:pPr>
              <w:spacing w:after="0"/>
            </w:pPr>
            <w:r/>
            <w:r>
              <w:rPr>
                <w:b w:val="0"/>
                <w:sz w:val="16"/>
              </w:rPr>
              <w:t>Les exports indiquent la date de situation, l’année scolaire, l’année civile et les autres filtres utilisés.</w:t>
            </w:r>
          </w:p>
        </w:tc>
      </w:tr>
    </w:tbl>
    <w:p>
      <w:pPr>
        <w:spacing w:after="0"/>
      </w:pPr>
    </w:p>
    <w:p>
      <w:pPr>
        <w:pStyle w:val="Heading1"/>
      </w:pPr>
      <w:r>
        <w:t>16. Exemple chiffré complet</w:t>
      </w:r>
    </w:p>
    <w:p>
      <w:r>
        <w:t>Hypothèse : un étudiant s’inscrit le 15 septembre 2026. Les frais d’inscription sont de 100 000 FCFA et la scolarité est de 1 000 000 FCFA, répartie en dix mensualités de 100 000 FCFA de septembre 2026 à juin 2027. Il ne bénéficie d’aucune remise.</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tblHeader w:val="true"/>
        </w:trPr>
        <w:tc>
          <w:tcPr>
            <w:tcW w:type="dxa" w:w="2835"/>
            <w:vAlign w:val="center"/>
            <w:shd w:fill="1F5E4A"/>
          </w:tcPr>
          <w:p>
            <w:pPr>
              <w:spacing w:after="0"/>
            </w:pPr>
            <w:r/>
            <w:r>
              <w:rPr>
                <w:b/>
                <w:color w:val="FFFFFF"/>
                <w:sz w:val="18"/>
              </w:rPr>
              <w:t>Élément</w:t>
            </w:r>
          </w:p>
        </w:tc>
        <w:tc>
          <w:tcPr>
            <w:tcW w:type="dxa" w:w="1417"/>
            <w:vAlign w:val="center"/>
            <w:shd w:fill="1F5E4A"/>
          </w:tcPr>
          <w:p>
            <w:pPr>
              <w:spacing w:after="0"/>
            </w:pPr>
            <w:r/>
            <w:r>
              <w:rPr>
                <w:b/>
                <w:color w:val="FFFFFF"/>
                <w:sz w:val="18"/>
              </w:rPr>
              <w:t>Montant</w:t>
            </w:r>
          </w:p>
        </w:tc>
        <w:tc>
          <w:tcPr>
            <w:tcW w:type="dxa" w:w="1984"/>
            <w:vAlign w:val="center"/>
            <w:shd w:fill="1F5E4A"/>
          </w:tcPr>
          <w:p>
            <w:pPr>
              <w:spacing w:after="0"/>
            </w:pPr>
            <w:r/>
            <w:r>
              <w:rPr>
                <w:b/>
                <w:color w:val="FFFFFF"/>
                <w:sz w:val="18"/>
              </w:rPr>
              <w:t>CA engagement 2026-2027</w:t>
            </w:r>
          </w:p>
        </w:tc>
        <w:tc>
          <w:tcPr>
            <w:tcW w:type="dxa" w:w="1587"/>
            <w:vAlign w:val="center"/>
            <w:shd w:fill="1F5E4A"/>
          </w:tcPr>
          <w:p>
            <w:pPr>
              <w:spacing w:after="0"/>
            </w:pPr>
            <w:r/>
            <w:r>
              <w:rPr>
                <w:b/>
                <w:color w:val="FFFFFF"/>
                <w:sz w:val="18"/>
              </w:rPr>
              <w:t>CA comptable 2026</w:t>
            </w:r>
          </w:p>
        </w:tc>
        <w:tc>
          <w:tcPr>
            <w:tcW w:type="dxa" w:w="1587"/>
            <w:vAlign w:val="center"/>
            <w:shd w:fill="1F5E4A"/>
          </w:tcPr>
          <w:p>
            <w:pPr>
              <w:spacing w:after="0"/>
            </w:pPr>
            <w:r/>
            <w:r>
              <w:rPr>
                <w:b/>
                <w:color w:val="FFFFFF"/>
                <w:sz w:val="18"/>
              </w:rPr>
              <w:t>CA comptable 2027</w:t>
            </w:r>
          </w:p>
        </w:tc>
      </w:tr>
      <w:tr>
        <w:tc>
          <w:tcPr>
            <w:tcW w:type="dxa" w:w="2835"/>
            <w:vAlign w:val="center"/>
          </w:tcPr>
          <w:p>
            <w:pPr>
              <w:spacing w:after="0"/>
            </w:pPr>
            <w:r/>
            <w:r>
              <w:rPr>
                <w:b w:val="0"/>
                <w:sz w:val="16"/>
              </w:rPr>
              <w:t>Inscription</w:t>
            </w:r>
          </w:p>
        </w:tc>
        <w:tc>
          <w:tcPr>
            <w:tcW w:type="dxa" w:w="1417"/>
            <w:vAlign w:val="center"/>
          </w:tcPr>
          <w:p>
            <w:pPr>
              <w:spacing w:after="0"/>
            </w:pPr>
            <w:r/>
            <w:r>
              <w:rPr>
                <w:b w:val="0"/>
                <w:sz w:val="16"/>
              </w:rPr>
              <w:t>100 000</w:t>
            </w:r>
          </w:p>
        </w:tc>
        <w:tc>
          <w:tcPr>
            <w:tcW w:type="dxa" w:w="1984"/>
            <w:vAlign w:val="center"/>
          </w:tcPr>
          <w:p>
            <w:pPr>
              <w:spacing w:after="0"/>
            </w:pPr>
            <w:r/>
            <w:r>
              <w:rPr>
                <w:b w:val="0"/>
                <w:sz w:val="16"/>
              </w:rPr>
              <w:t>100 000</w:t>
            </w:r>
          </w:p>
        </w:tc>
        <w:tc>
          <w:tcPr>
            <w:tcW w:type="dxa" w:w="1587"/>
            <w:vAlign w:val="center"/>
          </w:tcPr>
          <w:p>
            <w:pPr>
              <w:spacing w:after="0"/>
            </w:pPr>
            <w:r/>
            <w:r>
              <w:rPr>
                <w:b w:val="0"/>
                <w:sz w:val="16"/>
              </w:rPr>
              <w:t>100 000</w:t>
            </w:r>
          </w:p>
        </w:tc>
        <w:tc>
          <w:tcPr>
            <w:tcW w:type="dxa" w:w="1587"/>
            <w:vAlign w:val="center"/>
          </w:tcPr>
          <w:p>
            <w:pPr>
              <w:spacing w:after="0"/>
            </w:pPr>
            <w:r/>
            <w:r>
              <w:rPr>
                <w:b w:val="0"/>
                <w:sz w:val="16"/>
              </w:rPr>
              <w:t>0</w:t>
            </w:r>
          </w:p>
        </w:tc>
      </w:tr>
      <w:tr>
        <w:tc>
          <w:tcPr>
            <w:tcW w:type="dxa" w:w="2835"/>
            <w:vAlign w:val="center"/>
            <w:shd w:fill="F2F6F4"/>
          </w:tcPr>
          <w:p>
            <w:pPr>
              <w:spacing w:after="0"/>
            </w:pPr>
            <w:r/>
            <w:r>
              <w:rPr>
                <w:b w:val="0"/>
                <w:sz w:val="16"/>
              </w:rPr>
              <w:t>Sept. à déc. 2026 : 4 × 100 000</w:t>
            </w:r>
          </w:p>
        </w:tc>
        <w:tc>
          <w:tcPr>
            <w:tcW w:type="dxa" w:w="1417"/>
            <w:vAlign w:val="center"/>
            <w:shd w:fill="F2F6F4"/>
          </w:tcPr>
          <w:p>
            <w:pPr>
              <w:spacing w:after="0"/>
            </w:pPr>
            <w:r/>
            <w:r>
              <w:rPr>
                <w:b w:val="0"/>
                <w:sz w:val="16"/>
              </w:rPr>
              <w:t>400 000</w:t>
            </w:r>
          </w:p>
        </w:tc>
        <w:tc>
          <w:tcPr>
            <w:tcW w:type="dxa" w:w="1984"/>
            <w:vAlign w:val="center"/>
            <w:shd w:fill="F2F6F4"/>
          </w:tcPr>
          <w:p>
            <w:pPr>
              <w:spacing w:after="0"/>
            </w:pPr>
            <w:r/>
            <w:r>
              <w:rPr>
                <w:b w:val="0"/>
                <w:sz w:val="16"/>
              </w:rPr>
              <w:t>400 000</w:t>
            </w:r>
          </w:p>
        </w:tc>
        <w:tc>
          <w:tcPr>
            <w:tcW w:type="dxa" w:w="1587"/>
            <w:vAlign w:val="center"/>
            <w:shd w:fill="F2F6F4"/>
          </w:tcPr>
          <w:p>
            <w:pPr>
              <w:spacing w:after="0"/>
            </w:pPr>
            <w:r/>
            <w:r>
              <w:rPr>
                <w:b w:val="0"/>
                <w:sz w:val="16"/>
              </w:rPr>
              <w:t>400 000</w:t>
            </w:r>
          </w:p>
        </w:tc>
        <w:tc>
          <w:tcPr>
            <w:tcW w:type="dxa" w:w="1587"/>
            <w:vAlign w:val="center"/>
            <w:shd w:fill="F2F6F4"/>
          </w:tcPr>
          <w:p>
            <w:pPr>
              <w:spacing w:after="0"/>
            </w:pPr>
            <w:r/>
            <w:r>
              <w:rPr>
                <w:b w:val="0"/>
                <w:sz w:val="16"/>
              </w:rPr>
              <w:t>0</w:t>
            </w:r>
          </w:p>
        </w:tc>
      </w:tr>
      <w:tr>
        <w:tc>
          <w:tcPr>
            <w:tcW w:type="dxa" w:w="2835"/>
            <w:vAlign w:val="center"/>
          </w:tcPr>
          <w:p>
            <w:pPr>
              <w:spacing w:after="0"/>
            </w:pPr>
            <w:r/>
            <w:r>
              <w:rPr>
                <w:b w:val="0"/>
                <w:sz w:val="16"/>
              </w:rPr>
              <w:t>Janv. à juin 2027 : 6 × 100 000</w:t>
            </w:r>
          </w:p>
        </w:tc>
        <w:tc>
          <w:tcPr>
            <w:tcW w:type="dxa" w:w="1417"/>
            <w:vAlign w:val="center"/>
          </w:tcPr>
          <w:p>
            <w:pPr>
              <w:spacing w:after="0"/>
            </w:pPr>
            <w:r/>
            <w:r>
              <w:rPr>
                <w:b w:val="0"/>
                <w:sz w:val="16"/>
              </w:rPr>
              <w:t>600 000</w:t>
            </w:r>
          </w:p>
        </w:tc>
        <w:tc>
          <w:tcPr>
            <w:tcW w:type="dxa" w:w="1984"/>
            <w:vAlign w:val="center"/>
          </w:tcPr>
          <w:p>
            <w:pPr>
              <w:spacing w:after="0"/>
            </w:pPr>
            <w:r/>
            <w:r>
              <w:rPr>
                <w:b w:val="0"/>
                <w:sz w:val="16"/>
              </w:rPr>
              <w:t>600 000</w:t>
            </w:r>
          </w:p>
        </w:tc>
        <w:tc>
          <w:tcPr>
            <w:tcW w:type="dxa" w:w="1587"/>
            <w:vAlign w:val="center"/>
          </w:tcPr>
          <w:p>
            <w:pPr>
              <w:spacing w:after="0"/>
            </w:pPr>
            <w:r/>
            <w:r>
              <w:rPr>
                <w:b w:val="0"/>
                <w:sz w:val="16"/>
              </w:rPr>
              <w:t>0</w:t>
            </w:r>
          </w:p>
        </w:tc>
        <w:tc>
          <w:tcPr>
            <w:tcW w:type="dxa" w:w="1587"/>
            <w:vAlign w:val="center"/>
          </w:tcPr>
          <w:p>
            <w:pPr>
              <w:spacing w:after="0"/>
            </w:pPr>
            <w:r/>
            <w:r>
              <w:rPr>
                <w:b w:val="0"/>
                <w:sz w:val="16"/>
              </w:rPr>
              <w:t>600 000</w:t>
            </w:r>
          </w:p>
        </w:tc>
      </w:tr>
      <w:tr>
        <w:tc>
          <w:tcPr>
            <w:tcW w:type="dxa" w:w="2835"/>
            <w:vAlign w:val="center"/>
            <w:shd w:fill="F2F6F4"/>
          </w:tcPr>
          <w:p>
            <w:pPr>
              <w:spacing w:after="0"/>
            </w:pPr>
            <w:r/>
            <w:r>
              <w:rPr>
                <w:b w:val="0"/>
                <w:sz w:val="16"/>
              </w:rPr>
              <w:t>TOTAL</w:t>
            </w:r>
          </w:p>
        </w:tc>
        <w:tc>
          <w:tcPr>
            <w:tcW w:type="dxa" w:w="1417"/>
            <w:vAlign w:val="center"/>
            <w:shd w:fill="F2F6F4"/>
          </w:tcPr>
          <w:p>
            <w:pPr>
              <w:spacing w:after="0"/>
            </w:pPr>
            <w:r/>
            <w:r>
              <w:rPr>
                <w:b w:val="0"/>
                <w:sz w:val="16"/>
              </w:rPr>
              <w:t>1 100 000</w:t>
            </w:r>
          </w:p>
        </w:tc>
        <w:tc>
          <w:tcPr>
            <w:tcW w:type="dxa" w:w="1984"/>
            <w:vAlign w:val="center"/>
            <w:shd w:fill="F2F6F4"/>
          </w:tcPr>
          <w:p>
            <w:pPr>
              <w:spacing w:after="0"/>
            </w:pPr>
            <w:r/>
            <w:r>
              <w:rPr>
                <w:b w:val="0"/>
                <w:sz w:val="16"/>
              </w:rPr>
              <w:t>1 100 000</w:t>
            </w:r>
          </w:p>
        </w:tc>
        <w:tc>
          <w:tcPr>
            <w:tcW w:type="dxa" w:w="1587"/>
            <w:vAlign w:val="center"/>
            <w:shd w:fill="F2F6F4"/>
          </w:tcPr>
          <w:p>
            <w:pPr>
              <w:spacing w:after="0"/>
            </w:pPr>
            <w:r/>
            <w:r>
              <w:rPr>
                <w:b w:val="0"/>
                <w:sz w:val="16"/>
              </w:rPr>
              <w:t>500 000</w:t>
            </w:r>
          </w:p>
        </w:tc>
        <w:tc>
          <w:tcPr>
            <w:tcW w:type="dxa" w:w="1587"/>
            <w:vAlign w:val="center"/>
            <w:shd w:fill="F2F6F4"/>
          </w:tcPr>
          <w:p>
            <w:pPr>
              <w:spacing w:after="0"/>
            </w:pPr>
            <w:r/>
            <w:r>
              <w:rPr>
                <w:b w:val="0"/>
                <w:sz w:val="16"/>
              </w:rPr>
              <w:t>600 000</w:t>
            </w:r>
          </w:p>
        </w:tc>
      </w:tr>
    </w:tbl>
    <w:p>
      <w:pPr>
        <w:spacing w:after="0"/>
      </w:pPr>
    </w:p>
    <w:p>
      <w:pPr>
        <w:pStyle w:val="Heading2"/>
      </w:pPr>
      <w:r>
        <w:t>16.1 Scénario de paiement</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701"/>
            <w:vAlign w:val="center"/>
            <w:shd w:fill="1F5E4A"/>
          </w:tcPr>
          <w:p>
            <w:pPr>
              <w:spacing w:after="0"/>
            </w:pPr>
            <w:r/>
            <w:r>
              <w:rPr>
                <w:b/>
                <w:color w:val="FFFFFF"/>
                <w:sz w:val="18"/>
              </w:rPr>
              <w:t>Date</w:t>
            </w:r>
          </w:p>
        </w:tc>
        <w:tc>
          <w:tcPr>
            <w:tcW w:type="dxa" w:w="3685"/>
            <w:vAlign w:val="center"/>
            <w:shd w:fill="1F5E4A"/>
          </w:tcPr>
          <w:p>
            <w:pPr>
              <w:spacing w:after="0"/>
            </w:pPr>
            <w:r/>
            <w:r>
              <w:rPr>
                <w:b/>
                <w:color w:val="FFFFFF"/>
                <w:sz w:val="18"/>
              </w:rPr>
              <w:t>Opération</w:t>
            </w:r>
          </w:p>
        </w:tc>
        <w:tc>
          <w:tcPr>
            <w:tcW w:type="dxa" w:w="1814"/>
            <w:vAlign w:val="center"/>
            <w:shd w:fill="1F5E4A"/>
          </w:tcPr>
          <w:p>
            <w:pPr>
              <w:spacing w:after="0"/>
            </w:pPr>
            <w:r/>
            <w:r>
              <w:rPr>
                <w:b/>
                <w:color w:val="FFFFFF"/>
                <w:sz w:val="18"/>
              </w:rPr>
              <w:t>Impact encaissement</w:t>
            </w:r>
          </w:p>
        </w:tc>
        <w:tc>
          <w:tcPr>
            <w:tcW w:type="dxa" w:w="2438"/>
            <w:vAlign w:val="center"/>
            <w:shd w:fill="1F5E4A"/>
          </w:tcPr>
          <w:p>
            <w:pPr>
              <w:spacing w:after="0"/>
            </w:pPr>
            <w:r/>
            <w:r>
              <w:rPr>
                <w:b/>
                <w:color w:val="FFFFFF"/>
                <w:sz w:val="18"/>
              </w:rPr>
              <w:t>Impact recouvrement</w:t>
            </w:r>
          </w:p>
        </w:tc>
      </w:tr>
      <w:tr>
        <w:tc>
          <w:tcPr>
            <w:tcW w:type="dxa" w:w="1701"/>
            <w:vAlign w:val="center"/>
          </w:tcPr>
          <w:p>
            <w:pPr>
              <w:spacing w:after="0"/>
            </w:pPr>
            <w:r/>
            <w:r>
              <w:rPr>
                <w:b w:val="0"/>
                <w:sz w:val="16"/>
              </w:rPr>
              <w:t>15/09/2026</w:t>
            </w:r>
          </w:p>
        </w:tc>
        <w:tc>
          <w:tcPr>
            <w:tcW w:type="dxa" w:w="3685"/>
            <w:vAlign w:val="center"/>
          </w:tcPr>
          <w:p>
            <w:pPr>
              <w:spacing w:after="0"/>
            </w:pPr>
            <w:r/>
            <w:r>
              <w:rPr>
                <w:b w:val="0"/>
                <w:sz w:val="16"/>
              </w:rPr>
              <w:t>Paiement inscription + septembre : 200 000</w:t>
            </w:r>
          </w:p>
        </w:tc>
        <w:tc>
          <w:tcPr>
            <w:tcW w:type="dxa" w:w="1814"/>
            <w:vAlign w:val="center"/>
          </w:tcPr>
          <w:p>
            <w:pPr>
              <w:spacing w:after="0"/>
            </w:pPr>
            <w:r/>
            <w:r>
              <w:rPr>
                <w:b w:val="0"/>
                <w:sz w:val="16"/>
              </w:rPr>
              <w:t>+200 000 le 15/09</w:t>
            </w:r>
          </w:p>
        </w:tc>
        <w:tc>
          <w:tcPr>
            <w:tcW w:type="dxa" w:w="2438"/>
            <w:vAlign w:val="center"/>
          </w:tcPr>
          <w:p>
            <w:pPr>
              <w:spacing w:after="0"/>
            </w:pPr>
            <w:r/>
            <w:r>
              <w:rPr>
                <w:b w:val="0"/>
                <w:sz w:val="16"/>
              </w:rPr>
              <w:t>Aucun reliquat pour ces deux échéances</w:t>
            </w:r>
          </w:p>
        </w:tc>
      </w:tr>
      <w:tr>
        <w:tc>
          <w:tcPr>
            <w:tcW w:type="dxa" w:w="1701"/>
            <w:vAlign w:val="center"/>
            <w:shd w:fill="F2F6F4"/>
          </w:tcPr>
          <w:p>
            <w:pPr>
              <w:spacing w:after="0"/>
            </w:pPr>
            <w:r/>
            <w:r>
              <w:rPr>
                <w:b w:val="0"/>
                <w:sz w:val="16"/>
              </w:rPr>
              <w:t>10/10/2026</w:t>
            </w:r>
          </w:p>
        </w:tc>
        <w:tc>
          <w:tcPr>
            <w:tcW w:type="dxa" w:w="3685"/>
            <w:vAlign w:val="center"/>
            <w:shd w:fill="F2F6F4"/>
          </w:tcPr>
          <w:p>
            <w:pPr>
              <w:spacing w:after="0"/>
            </w:pPr>
            <w:r/>
            <w:r>
              <w:rPr>
                <w:b w:val="0"/>
                <w:sz w:val="16"/>
              </w:rPr>
              <w:t>Paiement partiel octobre : 60 000</w:t>
            </w:r>
          </w:p>
        </w:tc>
        <w:tc>
          <w:tcPr>
            <w:tcW w:type="dxa" w:w="1814"/>
            <w:vAlign w:val="center"/>
            <w:shd w:fill="F2F6F4"/>
          </w:tcPr>
          <w:p>
            <w:pPr>
              <w:spacing w:after="0"/>
            </w:pPr>
            <w:r/>
            <w:r>
              <w:rPr>
                <w:b w:val="0"/>
                <w:sz w:val="16"/>
              </w:rPr>
              <w:t>+60 000 le 10/10</w:t>
            </w:r>
          </w:p>
        </w:tc>
        <w:tc>
          <w:tcPr>
            <w:tcW w:type="dxa" w:w="2438"/>
            <w:vAlign w:val="center"/>
            <w:shd w:fill="F2F6F4"/>
          </w:tcPr>
          <w:p>
            <w:pPr>
              <w:spacing w:after="0"/>
            </w:pPr>
            <w:r/>
            <w:r>
              <w:rPr>
                <w:b w:val="0"/>
                <w:sz w:val="16"/>
              </w:rPr>
              <w:t>Reliquat de 40 000 après échéance et grâce</w:t>
            </w:r>
          </w:p>
        </w:tc>
      </w:tr>
      <w:tr>
        <w:tc>
          <w:tcPr>
            <w:tcW w:type="dxa" w:w="1701"/>
            <w:vAlign w:val="center"/>
          </w:tcPr>
          <w:p>
            <w:pPr>
              <w:spacing w:after="0"/>
            </w:pPr>
            <w:r/>
            <w:r>
              <w:rPr>
                <w:b w:val="0"/>
                <w:sz w:val="16"/>
              </w:rPr>
              <w:t>05/12/2026</w:t>
            </w:r>
          </w:p>
        </w:tc>
        <w:tc>
          <w:tcPr>
            <w:tcW w:type="dxa" w:w="3685"/>
            <w:vAlign w:val="center"/>
          </w:tcPr>
          <w:p>
            <w:pPr>
              <w:spacing w:after="0"/>
            </w:pPr>
            <w:r/>
            <w:r>
              <w:rPr>
                <w:b w:val="0"/>
                <w:sz w:val="16"/>
              </w:rPr>
              <w:t>Paiement de 240 000</w:t>
            </w:r>
          </w:p>
        </w:tc>
        <w:tc>
          <w:tcPr>
            <w:tcW w:type="dxa" w:w="1814"/>
            <w:vAlign w:val="center"/>
          </w:tcPr>
          <w:p>
            <w:pPr>
              <w:spacing w:after="0"/>
            </w:pPr>
            <w:r/>
            <w:r>
              <w:rPr>
                <w:b w:val="0"/>
                <w:sz w:val="16"/>
              </w:rPr>
              <w:t>+240 000 le 05/12</w:t>
            </w:r>
          </w:p>
        </w:tc>
        <w:tc>
          <w:tcPr>
            <w:tcW w:type="dxa" w:w="2438"/>
            <w:vAlign w:val="center"/>
          </w:tcPr>
          <w:p>
            <w:pPr>
              <w:spacing w:after="0"/>
            </w:pPr>
            <w:r/>
            <w:r>
              <w:rPr>
                <w:b w:val="0"/>
                <w:sz w:val="16"/>
              </w:rPr>
              <w:t>Affecté d’abord au reliquat d’octobre, puis novembre et décembre selon la règle</w:t>
            </w:r>
          </w:p>
        </w:tc>
      </w:tr>
      <w:tr>
        <w:tc>
          <w:tcPr>
            <w:tcW w:type="dxa" w:w="1701"/>
            <w:vAlign w:val="center"/>
            <w:shd w:fill="F2F6F4"/>
          </w:tcPr>
          <w:p>
            <w:pPr>
              <w:spacing w:after="0"/>
            </w:pPr>
            <w:r/>
            <w:r>
              <w:rPr>
                <w:b w:val="0"/>
                <w:sz w:val="16"/>
              </w:rPr>
              <w:t>20/01/2027</w:t>
            </w:r>
          </w:p>
        </w:tc>
        <w:tc>
          <w:tcPr>
            <w:tcW w:type="dxa" w:w="3685"/>
            <w:vAlign w:val="center"/>
            <w:shd w:fill="F2F6F4"/>
          </w:tcPr>
          <w:p>
            <w:pPr>
              <w:spacing w:after="0"/>
            </w:pPr>
            <w:r/>
            <w:r>
              <w:rPr>
                <w:b w:val="0"/>
                <w:sz w:val="16"/>
              </w:rPr>
              <w:t>Aucun paiement janvier</w:t>
            </w:r>
          </w:p>
        </w:tc>
        <w:tc>
          <w:tcPr>
            <w:tcW w:type="dxa" w:w="1814"/>
            <w:vAlign w:val="center"/>
            <w:shd w:fill="F2F6F4"/>
          </w:tcPr>
          <w:p>
            <w:pPr>
              <w:spacing w:after="0"/>
            </w:pPr>
            <w:r/>
            <w:r>
              <w:rPr>
                <w:b w:val="0"/>
                <w:sz w:val="16"/>
              </w:rPr>
              <w:t>0</w:t>
            </w:r>
          </w:p>
        </w:tc>
        <w:tc>
          <w:tcPr>
            <w:tcW w:type="dxa" w:w="2438"/>
            <w:vAlign w:val="center"/>
            <w:shd w:fill="F2F6F4"/>
          </w:tcPr>
          <w:p>
            <w:pPr>
              <w:spacing w:after="0"/>
            </w:pPr>
            <w:r/>
            <w:r>
              <w:rPr>
                <w:b w:val="0"/>
                <w:sz w:val="16"/>
              </w:rPr>
              <w:t>Janvier passe en recouvrement après sa date d’échéance et la grâce</w:t>
            </w:r>
          </w:p>
        </w:tc>
      </w:tr>
      <w:tr>
        <w:tc>
          <w:tcPr>
            <w:tcW w:type="dxa" w:w="1701"/>
            <w:vAlign w:val="center"/>
          </w:tcPr>
          <w:p>
            <w:pPr>
              <w:spacing w:after="0"/>
            </w:pPr>
            <w:r/>
            <w:r>
              <w:rPr>
                <w:b w:val="0"/>
                <w:sz w:val="16"/>
              </w:rPr>
              <w:t>01/03/2027</w:t>
            </w:r>
          </w:p>
        </w:tc>
        <w:tc>
          <w:tcPr>
            <w:tcW w:type="dxa" w:w="3685"/>
            <w:vAlign w:val="center"/>
          </w:tcPr>
          <w:p>
            <w:pPr>
              <w:spacing w:after="0"/>
            </w:pPr>
            <w:r/>
            <w:r>
              <w:rPr>
                <w:b w:val="0"/>
                <w:sz w:val="16"/>
              </w:rPr>
              <w:t>Paiement de 200 000</w:t>
            </w:r>
          </w:p>
        </w:tc>
        <w:tc>
          <w:tcPr>
            <w:tcW w:type="dxa" w:w="1814"/>
            <w:vAlign w:val="center"/>
          </w:tcPr>
          <w:p>
            <w:pPr>
              <w:spacing w:after="0"/>
            </w:pPr>
            <w:r/>
            <w:r>
              <w:rPr>
                <w:b w:val="0"/>
                <w:sz w:val="16"/>
              </w:rPr>
              <w:t>+200 000 le 01/03</w:t>
            </w:r>
          </w:p>
        </w:tc>
        <w:tc>
          <w:tcPr>
            <w:tcW w:type="dxa" w:w="2438"/>
            <w:vAlign w:val="center"/>
          </w:tcPr>
          <w:p>
            <w:pPr>
              <w:spacing w:after="0"/>
            </w:pPr>
            <w:r/>
            <w:r>
              <w:rPr>
                <w:b w:val="0"/>
                <w:sz w:val="16"/>
              </w:rPr>
              <w:t>Réduit les plus anciens impayés selon la règle d’affectation</w:t>
            </w:r>
          </w:p>
        </w:tc>
      </w:tr>
    </w:tbl>
    <w:p>
      <w:pPr>
        <w:spacing w:after="0"/>
      </w:pPr>
    </w:p>
    <w:tbl>
      <w:tblPr>
        <w:tblStyle w:val="TableGrid"/>
        <w:tblW w:type="auto" w:w="0"/>
        <w:jc w:val="center"/>
        <w:tblLook w:firstColumn="1" w:firstRow="1" w:lastColumn="0" w:lastRow="0" w:noHBand="0" w:noVBand="1" w:val="04A0"/>
      </w:tblPr>
      <w:tblGrid>
        <w:gridCol w:w="9972"/>
      </w:tblGrid>
      <w:tr>
        <w:tc>
          <w:tcPr>
            <w:tcW w:type="dxa" w:w="9972"/>
            <w:shd w:fill="EAF4F0"/>
          </w:tcPr>
          <w:p>
            <w:pPr>
              <w:spacing w:after="0"/>
            </w:pPr>
            <w:r/>
            <w:r>
              <w:rPr>
                <w:b/>
                <w:color w:val="1F5E4A"/>
              </w:rPr>
              <w:t xml:space="preserve">Contrôle de cohérence : </w:t>
            </w:r>
            <w:r>
              <w:t>À toute date : engagement net = montant encaissé affecté + solde à échoir + solde en recouvrement + montants annulés/avoirs selon leur présentation. Cette égalité doit être contrôlée par le système, avec une ventilation claire des ajustements.</w:t>
            </w:r>
          </w:p>
        </w:tc>
      </w:tr>
    </w:tbl>
    <w:p>
      <w:pPr>
        <w:spacing w:after="0"/>
      </w:pPr>
    </w:p>
    <w:p>
      <w:pPr>
        <w:pStyle w:val="Heading1"/>
      </w:pPr>
      <w:r>
        <w:t>17. Recommandations de mise en œuvre</w:t>
      </w:r>
    </w:p>
    <w:p>
      <w:pPr>
        <w:pStyle w:val="ListBullet"/>
        <w:spacing w:after="40"/>
      </w:pPr>
      <w:r>
        <w:t>Valider d’abord les définitions et formules avec le responsable financier avant de coder les cartes du tableau de bord.</w:t>
      </w:r>
    </w:p>
    <w:p>
      <w:pPr>
        <w:pStyle w:val="ListBullet"/>
        <w:spacing w:after="40"/>
      </w:pPr>
      <w:r>
        <w:t>Modéliser séparément engagement, échéance, paiement et affectation : cette séparation est indispensable pour les paiements anticipés, partiels et multi-échéances.</w:t>
      </w:r>
    </w:p>
    <w:p>
      <w:pPr>
        <w:pStyle w:val="ListBullet"/>
        <w:spacing w:after="40"/>
      </w:pPr>
      <w:r>
        <w:t>Utiliser la période de service comme source du CA comptable et la date de paiement comme source du journal de trésorerie.</w:t>
      </w:r>
    </w:p>
    <w:p>
      <w:pPr>
        <w:pStyle w:val="ListBullet"/>
        <w:spacing w:after="40"/>
      </w:pPr>
      <w:r>
        <w:t>Ne jamais modifier silencieusement une écriture validée ; utiliser des opérations correctrices.</w:t>
      </w:r>
    </w:p>
    <w:p>
      <w:pPr>
        <w:pStyle w:val="ListBullet"/>
        <w:spacing w:after="40"/>
      </w:pPr>
      <w:r>
        <w:t>Prévoir dès la première version les exports Excel/PDF, le journal d’audit et les filtres multi-établissements.</w:t>
      </w:r>
    </w:p>
    <w:p>
      <w:pPr>
        <w:pStyle w:val="ListBullet"/>
        <w:spacing w:after="40"/>
      </w:pPr>
      <w:r>
        <w:t>Afficher sur chaque indicateur sa définition, sa période et sa dernière date de mise à jour.</w:t>
      </w:r>
    </w:p>
    <w:p>
      <w:pPr>
        <w:spacing w:before="320"/>
        <w:jc w:val="center"/>
      </w:pPr>
      <w:r>
        <w:rPr>
          <w:b/>
          <w:color w:val="1F5E4A"/>
        </w:rPr>
        <w:t>— Fin de la spécification fonctionnelle —</w:t>
      </w:r>
    </w:p>
    <w:sectPr w:rsidR="00FC693F" w:rsidRPr="0006063C" w:rsidSect="00034616">
      <w:headerReference w:type="default" r:id="rId10"/>
      <w:footerReference w:type="default" r:id="rId11"/>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Spécification fonctionnelle • Version 1.0 • Août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Module Finance &amp; Comptabilité — Établissement scolaire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F5E4A"/>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30485F"/>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C0621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5E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jc w:val="center"/>
    </w:pPr>
    <w:rPr>
      <w:rFonts w:ascii="Aptos" w:hAnsi="Aptos"/>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Spécification fonctionnelle du module Finance et Comptabilité d’un établissement scolaire</dc:title>
  <dc:subject>Engagements, CA comptable, encaissements, créances à échoir et recouvrement</dc:subject>
  <dc:creator>OpenAI</dc:creator>
  <cp:keywords>école, finance, comptabilité, scolarité, recouvrement, encaissement</cp:keywords>
  <dc:description>generated by python-docx</dc:description>
  <cp:lastModifiedBy/>
  <cp:revision>1</cp:revision>
  <dcterms:created xsi:type="dcterms:W3CDTF">2013-12-23T23:15:00Z</dcterms:created>
  <dcterms:modified xsi:type="dcterms:W3CDTF">2013-12-23T23:15:00Z</dcterms:modified>
  <cp:category/>
</cp:coreProperties>
</file>