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3C4A0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新能源汽车智能检测软件</w:t>
      </w:r>
    </w:p>
    <w:p w14:paraId="15CA7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总的逐字稿：</w:t>
      </w:r>
    </w:p>
    <w:p w14:paraId="45AD245E">
      <w:pPr>
        <w:rPr>
          <w:rFonts w:hint="eastAsia"/>
        </w:rPr>
      </w:pPr>
      <w:r>
        <w:rPr>
          <w:rFonts w:hint="eastAsia"/>
        </w:rPr>
        <w:t>本新能源汽车智能检测软件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前端基于Vue3+TypeScript+ECharts，构建实时数据可视化交互界面；后端采用Python+Spring Boot，集成 python-can 解析车载总线数据，搭配MySQL+InfluxDB存储结构化及时序数据，依托MQTT协议实现车-云实时通信，Docker容器化部署保障系统稳定运行。</w:t>
      </w:r>
    </w:p>
    <w:p w14:paraId="6D00F5E9">
      <w:pPr>
        <w:rPr>
          <w:rFonts w:hint="eastAsia"/>
        </w:rPr>
      </w:pPr>
      <w:r>
        <w:rPr>
          <w:rFonts w:hint="eastAsia"/>
        </w:rPr>
        <w:t>本新能源汽车智能检测软件，可实时采集电池、电机、电控等核心数据，突破</w:t>
      </w:r>
      <w:r>
        <w:rPr>
          <w:rFonts w:hint="eastAsia"/>
          <w:lang w:val="en-US" w:eastAsia="zh-CN"/>
        </w:rPr>
        <w:t>不同</w:t>
      </w:r>
      <w:r>
        <w:rPr>
          <w:rFonts w:hint="eastAsia"/>
        </w:rPr>
        <w:t>品牌车型通信协议壁垒。软件深度对标国标，重构标准化CAN报文解析规则，无需依赖车企私有协议。同时整合诊断、维修、监控管理、溯源全流程功能，搭建数据驱动的闭环服务体系，为新能源汽车研发、维保及教学实训提供高效、统一的技术支撑。</w:t>
      </w:r>
    </w:p>
    <w:p w14:paraId="573CF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下面我为大家演示一下通讯协议及数据的导入。</w:t>
      </w:r>
    </w:p>
    <w:p w14:paraId="7969ECF0">
      <w:pPr>
        <w:rPr>
          <w:rFonts w:hint="eastAsia"/>
        </w:rPr>
      </w:pPr>
      <w:r>
        <w:rPr>
          <w:rFonts w:hint="eastAsia"/>
          <w:lang w:val="en-US" w:eastAsia="zh-CN"/>
        </w:rPr>
        <w:t>我们根据国标通信协议及数据格式，把通讯协议转化成markdown形式，导入到平台进而</w:t>
      </w:r>
      <w:r>
        <w:rPr>
          <w:rFonts w:hint="eastAsia"/>
        </w:rPr>
        <w:t>搭建数据驱动的闭环服务体系，为新能源汽车研发、维保及教学实训提供高效、统一的技术支撑。</w:t>
      </w:r>
    </w:p>
    <w:p w14:paraId="090345A6">
      <w:r>
        <w:rPr>
          <w:rFonts w:hint="eastAsia"/>
          <w:lang w:val="en-US" w:eastAsia="zh-CN"/>
        </w:rPr>
        <w:t>先点击：word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04570" cy="118745"/>
            <wp:effectExtent l="0" t="0" r="5080" b="5080"/>
            <wp:docPr id="2" name="图片 2" descr="30a42c83-4a75-4362-9ef4-81d96083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0a42c83-4a75-4362-9ef4-81d9608317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，（把这个协议滚动给大家看一下，并说明因为时间关系，已经提前把通讯协议转成markdown格式），然后回到新能源汽车检测这个平台，点击数据导入，选择markdown格式的</w:t>
      </w:r>
      <w:r>
        <w:drawing>
          <wp:inline distT="0" distB="0" distL="114300" distR="114300">
            <wp:extent cx="773430" cy="234315"/>
            <wp:effectExtent l="0" t="0" r="762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23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230" cy="2712085"/>
            <wp:effectExtent l="0" t="0" r="7620" b="2540"/>
            <wp:docPr id="4" name="图片 4" descr="126adeb6-bbba-47d2-bbfb-e3c2141fa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6adeb6-bbba-47d2-bbfb-e3c2141fad7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71BCA"/>
    <w:rsid w:val="21271BCA"/>
    <w:rsid w:val="6909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2026-01-02T08:55:00Z</dcterms:created>
  <dc:creator>zmh</dc:creator>
  <cp:lastModifiedBy>zmh</cp:lastModifiedBy>
  <dcterms:modified xsi:type="dcterms:W3CDTF">2026-01-02T09:09:30Z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4AA4560A7E464E888AAF6C0FC03C6D35_11</vt:lpwstr>
  </property>
  <property fmtid="{D5CDD505-2E9C-101B-9397-08002B2CF9AE}" pid="4" name="KSOTemplateDocerSaveRecord">
    <vt:lpwstr>eyJoZGlkIjoiZWEwM2M0MTZmMGNkMzEyZWI1OGNiZWViMjBiNDBmYjgiLCJ1c2VySWQiOiI2OTExMTA0ODIifQ==</vt:lpwstr>
  </property>
</Properties>
</file>